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3E65" w14:paraId="33A84D67" w14:textId="77777777" w:rsidTr="0010095E">
        <w:trPr>
          <w:trHeight w:hRule="exact" w:val="1418"/>
        </w:trPr>
        <w:tc>
          <w:tcPr>
            <w:tcW w:w="6804" w:type="dxa"/>
            <w:shd w:val="clear" w:color="auto" w:fill="auto"/>
            <w:vAlign w:val="center"/>
          </w:tcPr>
          <w:p w14:paraId="7CB3F080" w14:textId="77777777" w:rsidR="00751A4A" w:rsidRPr="004F3E65" w:rsidRDefault="00F12AA7" w:rsidP="0010095E">
            <w:pPr>
              <w:pStyle w:val="EPName"/>
            </w:pPr>
            <w:r w:rsidRPr="004F3E65">
              <w:t>Eiropas Parlaments</w:t>
            </w:r>
          </w:p>
          <w:p w14:paraId="1E1E544A" w14:textId="77777777" w:rsidR="00751A4A" w:rsidRPr="004F3E65" w:rsidRDefault="005F1B17" w:rsidP="005F1B17">
            <w:pPr>
              <w:pStyle w:val="EPTerm"/>
              <w:rPr>
                <w:rStyle w:val="HideTWBExt"/>
                <w:noProof w:val="0"/>
                <w:vanish w:val="0"/>
                <w:color w:val="auto"/>
              </w:rPr>
            </w:pPr>
            <w:r w:rsidRPr="004F3E65">
              <w:t>2024</w:t>
            </w:r>
            <w:r w:rsidR="00817416" w:rsidRPr="004F3E65">
              <w:t>-202</w:t>
            </w:r>
            <w:r w:rsidRPr="004F3E65">
              <w:t>9</w:t>
            </w:r>
          </w:p>
        </w:tc>
        <w:tc>
          <w:tcPr>
            <w:tcW w:w="2268" w:type="dxa"/>
            <w:shd w:val="clear" w:color="auto" w:fill="auto"/>
          </w:tcPr>
          <w:p w14:paraId="0C94630B" w14:textId="77777777" w:rsidR="00751A4A" w:rsidRPr="004F3E65" w:rsidRDefault="00187494" w:rsidP="0010095E">
            <w:pPr>
              <w:pStyle w:val="EPLogo"/>
            </w:pPr>
            <w:r w:rsidRPr="004F3E65">
              <w:rPr>
                <w:noProof/>
                <w:lang w:eastAsia="ja-JP"/>
              </w:rPr>
              <w:drawing>
                <wp:inline distT="0" distB="0" distL="0" distR="0" wp14:anchorId="2868E62D" wp14:editId="5B5306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AE28EE" w14:textId="77777777" w:rsidR="00D058B8" w:rsidRPr="004F3E65" w:rsidRDefault="00D058B8" w:rsidP="004C5D52">
      <w:pPr>
        <w:pStyle w:val="LineTop"/>
      </w:pPr>
    </w:p>
    <w:p w14:paraId="66651B5C" w14:textId="77777777" w:rsidR="00680577" w:rsidRPr="004F3E65" w:rsidRDefault="00F12AA7" w:rsidP="00680577">
      <w:pPr>
        <w:pStyle w:val="EPBodyTA1"/>
      </w:pPr>
      <w:r w:rsidRPr="004F3E65">
        <w:t>PIEŅEMTIE TEKSTI</w:t>
      </w:r>
    </w:p>
    <w:p w14:paraId="4FD77DA6" w14:textId="77777777" w:rsidR="00D058B8" w:rsidRPr="004F3E65" w:rsidRDefault="00D058B8" w:rsidP="00D058B8">
      <w:pPr>
        <w:pStyle w:val="LineBottom"/>
      </w:pPr>
    </w:p>
    <w:p w14:paraId="18FC325B" w14:textId="5D53C6DD" w:rsidR="00F12AA7" w:rsidRPr="004F3E65" w:rsidRDefault="00F12AA7" w:rsidP="00F12AA7">
      <w:pPr>
        <w:pStyle w:val="ATHeading1"/>
      </w:pPr>
      <w:bookmarkStart w:id="0" w:name="TANumber"/>
      <w:r w:rsidRPr="004F3E65">
        <w:t>P10_TA(2025)0</w:t>
      </w:r>
      <w:bookmarkEnd w:id="0"/>
      <w:r w:rsidR="004F3E65" w:rsidRPr="004F3E65">
        <w:t>246</w:t>
      </w:r>
    </w:p>
    <w:p w14:paraId="1E2499DD" w14:textId="77777777" w:rsidR="00F12AA7" w:rsidRPr="004F3E65" w:rsidRDefault="00F12AA7" w:rsidP="00F12AA7">
      <w:pPr>
        <w:pStyle w:val="ATHeading2"/>
      </w:pPr>
      <w:bookmarkStart w:id="1" w:name="title"/>
      <w:r w:rsidRPr="004F3E65">
        <w:t>2023. finanšu gada budžeta izpildes apstiprināšana — aģentūras</w:t>
      </w:r>
      <w:bookmarkEnd w:id="1"/>
    </w:p>
    <w:p w14:paraId="7D2F6DBA" w14:textId="77777777" w:rsidR="00F12AA7" w:rsidRPr="004F3E65" w:rsidRDefault="00F12AA7" w:rsidP="00F12AA7">
      <w:pPr>
        <w:rPr>
          <w:i/>
          <w:vanish/>
        </w:rPr>
      </w:pPr>
      <w:r w:rsidRPr="004F3E65">
        <w:rPr>
          <w:i/>
        </w:rPr>
        <w:fldChar w:fldCharType="begin"/>
      </w:r>
      <w:r w:rsidRPr="004F3E65">
        <w:rPr>
          <w:i/>
        </w:rPr>
        <w:instrText xml:space="preserve"> TC"(</w:instrText>
      </w:r>
      <w:bookmarkStart w:id="2" w:name="DocNumber"/>
      <w:r w:rsidRPr="004F3E65">
        <w:rPr>
          <w:i/>
        </w:rPr>
        <w:instrText>A10-0169/2025</w:instrText>
      </w:r>
      <w:bookmarkEnd w:id="2"/>
      <w:r w:rsidRPr="004F3E65">
        <w:rPr>
          <w:i/>
        </w:rPr>
        <w:instrText xml:space="preserve"> - Referents: Erik Marquardt)"\l3 \n&gt; \* MERGEFORMAT </w:instrText>
      </w:r>
      <w:r w:rsidRPr="004F3E65">
        <w:rPr>
          <w:i/>
        </w:rPr>
        <w:fldChar w:fldCharType="end"/>
      </w:r>
    </w:p>
    <w:p w14:paraId="1F916C7D" w14:textId="77777777" w:rsidR="00F12AA7" w:rsidRPr="004F3E65" w:rsidRDefault="00F12AA7" w:rsidP="00F12AA7">
      <w:pPr>
        <w:rPr>
          <w:vanish/>
        </w:rPr>
      </w:pPr>
      <w:bookmarkStart w:id="3" w:name="Commission"/>
      <w:r w:rsidRPr="004F3E65">
        <w:rPr>
          <w:vanish/>
        </w:rPr>
        <w:t>Budžeta kontroles komiteja</w:t>
      </w:r>
      <w:bookmarkEnd w:id="3"/>
    </w:p>
    <w:p w14:paraId="28FBAAE3" w14:textId="77777777" w:rsidR="00F12AA7" w:rsidRPr="004F3E65" w:rsidRDefault="00F12AA7" w:rsidP="00F12AA7">
      <w:pPr>
        <w:rPr>
          <w:vanish/>
        </w:rPr>
      </w:pPr>
      <w:bookmarkStart w:id="4" w:name="PE"/>
      <w:r w:rsidRPr="004F3E65">
        <w:rPr>
          <w:vanish/>
        </w:rPr>
        <w:t>PE774.259</w:t>
      </w:r>
      <w:bookmarkEnd w:id="4"/>
    </w:p>
    <w:p w14:paraId="4A39F4C1" w14:textId="4E245643" w:rsidR="00AF43DC" w:rsidRPr="004F3E65" w:rsidRDefault="00584DFD" w:rsidP="00584DFD">
      <w:pPr>
        <w:pStyle w:val="ATHeading3"/>
      </w:pPr>
      <w:bookmarkStart w:id="5" w:name="Sujet"/>
      <w:r w:rsidRPr="004F3E65">
        <w:t xml:space="preserve">1. </w:t>
      </w:r>
      <w:r w:rsidR="00F12AA7" w:rsidRPr="004F3E65">
        <w:t xml:space="preserve">Eiropas Parlamenta 2025. gada </w:t>
      </w:r>
      <w:r w:rsidRPr="004F3E65">
        <w:t>22</w:t>
      </w:r>
      <w:r w:rsidR="00F12AA7" w:rsidRPr="004F3E65">
        <w:t xml:space="preserve">. </w:t>
      </w:r>
      <w:r w:rsidRPr="004F3E65">
        <w:t>oktobra</w:t>
      </w:r>
      <w:r w:rsidR="00F12AA7" w:rsidRPr="004F3E65">
        <w:t xml:space="preserve"> lēmums par </w:t>
      </w:r>
      <w:r w:rsidR="00E1708D" w:rsidRPr="00E1708D">
        <w:t xml:space="preserve">Eiropas Savienības Patvēruma aģentūras </w:t>
      </w:r>
      <w:r w:rsidR="00F12AA7" w:rsidRPr="004F3E65">
        <w:t>2023. finanšu gada budžeta izpildes apstiprināšanu</w:t>
      </w:r>
      <w:bookmarkEnd w:id="5"/>
      <w:r w:rsidR="00F12AA7" w:rsidRPr="004F3E65">
        <w:t xml:space="preserve"> </w:t>
      </w:r>
      <w:bookmarkStart w:id="6" w:name="References"/>
      <w:r w:rsidR="00F12AA7" w:rsidRPr="004F3E65">
        <w:t>(2024/2030(DEC))</w:t>
      </w:r>
      <w:bookmarkStart w:id="7" w:name="TextBodyBegin"/>
      <w:bookmarkEnd w:id="6"/>
      <w:bookmarkEnd w:id="7"/>
    </w:p>
    <w:p w14:paraId="2C6F660F" w14:textId="77777777" w:rsidR="00AF43DC" w:rsidRPr="004F3E65" w:rsidRDefault="00AF43DC" w:rsidP="00AF43DC">
      <w:pPr>
        <w:pStyle w:val="EPComma"/>
      </w:pPr>
      <w:r w:rsidRPr="004F3E65">
        <w:rPr>
          <w:i/>
        </w:rPr>
        <w:t>Eiropas Parlaments</w:t>
      </w:r>
      <w:r w:rsidRPr="004F3E65">
        <w:t>,</w:t>
      </w:r>
    </w:p>
    <w:p w14:paraId="48AB0E0A" w14:textId="77777777" w:rsidR="00AF43DC" w:rsidRPr="004F3E65" w:rsidRDefault="00AF43DC" w:rsidP="00AF43DC">
      <w:pPr>
        <w:pStyle w:val="NormalHanging12a"/>
      </w:pPr>
      <w:r w:rsidRPr="004F3E65">
        <w:t>–</w:t>
      </w:r>
      <w:r w:rsidRPr="004F3E65">
        <w:tab/>
        <w:t>ņemot vērā Eiropas Savienības Patvēruma aģentūras 2023. finanšu gada galīgos pārskatus,</w:t>
      </w:r>
    </w:p>
    <w:p w14:paraId="65465F23" w14:textId="77777777" w:rsidR="00AF43DC" w:rsidRPr="004F3E65" w:rsidRDefault="00AF43DC" w:rsidP="00AF43DC">
      <w:pPr>
        <w:pStyle w:val="NormalHanging12a"/>
      </w:pPr>
      <w:r w:rsidRPr="004F3E65">
        <w:t>–</w:t>
      </w:r>
      <w:r w:rsidRPr="004F3E65">
        <w:tab/>
        <w:t>ņemot vērā Revīzijas palātas gada ziņojumu par ES aģentūrām attiecībā uz 2023. finanšu gadu ar aģentūru atbildēm</w:t>
      </w:r>
      <w:r w:rsidRPr="004F3E65">
        <w:rPr>
          <w:rStyle w:val="FootnoteReference"/>
        </w:rPr>
        <w:footnoteReference w:id="1"/>
      </w:r>
      <w:r w:rsidRPr="004F3E65">
        <w:t>,</w:t>
      </w:r>
    </w:p>
    <w:p w14:paraId="57BCA2D2" w14:textId="77777777" w:rsidR="00AF43DC" w:rsidRPr="004F3E65" w:rsidRDefault="00AF43DC" w:rsidP="00AF43DC">
      <w:pPr>
        <w:pStyle w:val="NormalHanging12a"/>
      </w:pPr>
      <w:r w:rsidRPr="004F3E65">
        <w:t>–</w:t>
      </w:r>
      <w:r w:rsidRPr="004F3E65">
        <w:tab/>
        <w:t>ņemot vērā deklarāciju par pārskatu ticamību</w:t>
      </w:r>
      <w:r w:rsidRPr="004F3E65">
        <w:rPr>
          <w:rStyle w:val="FootnoteReference"/>
        </w:rPr>
        <w:footnoteReference w:id="2"/>
      </w:r>
      <w:r w:rsidRPr="004F3E65">
        <w:t>, kā arī par pakārtoto darījumu likumību un pareizību, kuru Revīzijas palāta sniegusi par 2023. finanšu gadu saskaņā ar Līguma par Eiropas Savienības darbību 287. pantu,</w:t>
      </w:r>
    </w:p>
    <w:p w14:paraId="7ABF3BB6" w14:textId="77777777" w:rsidR="00AF43DC" w:rsidRPr="004F3E65" w:rsidRDefault="00AF43DC" w:rsidP="00AF43DC">
      <w:pPr>
        <w:pStyle w:val="NormalHanging12a"/>
      </w:pPr>
      <w:r w:rsidRPr="004F3E65">
        <w:t>–</w:t>
      </w:r>
      <w:r w:rsidRPr="004F3E65">
        <w:tab/>
        <w:t>ņemot vērā Padomes 2025. gada 17. februāra ieteikumu par apstiprinājumu, ko sniedz Aģentūrai par 2023. finanšu gada budžeta izpildi (05755/2025 – C10</w:t>
      </w:r>
      <w:r w:rsidRPr="004F3E65">
        <w:noBreakHyphen/>
        <w:t>0024/2025),</w:t>
      </w:r>
    </w:p>
    <w:p w14:paraId="1562A4C3" w14:textId="77777777" w:rsidR="00AF43DC" w:rsidRPr="004F3E65" w:rsidRDefault="00AF43DC" w:rsidP="00AF43DC">
      <w:pPr>
        <w:pStyle w:val="NormalHanging12a"/>
      </w:pPr>
      <w:r w:rsidRPr="004F3E65">
        <w:t>–</w:t>
      </w:r>
      <w:r w:rsidRPr="004F3E65">
        <w:tab/>
        <w:t>ņemot vērā 2025. gada 7. maija lēmumu</w:t>
      </w:r>
      <w:r w:rsidRPr="004F3E65">
        <w:rPr>
          <w:rStyle w:val="FootnoteReference"/>
        </w:rPr>
        <w:footnoteReference w:id="3"/>
      </w:r>
      <w:r w:rsidRPr="004F3E65">
        <w:t xml:space="preserve"> atlikt lēmuma pieņemšanu par 2023. finanšu gada budžeta izpildes apstiprināšanu, kā arī Eiropas Savienības Patvēruma aģentūras izpilddirektores atbildes,</w:t>
      </w:r>
    </w:p>
    <w:p w14:paraId="04579932" w14:textId="77777777" w:rsidR="00AF43DC" w:rsidRPr="004F3E65" w:rsidRDefault="00AF43DC" w:rsidP="00AF43DC">
      <w:pPr>
        <w:pStyle w:val="NormalHanging12a"/>
      </w:pPr>
      <w:r w:rsidRPr="004F3E65">
        <w:t>–</w:t>
      </w:r>
      <w:r w:rsidRPr="004F3E65">
        <w:tab/>
        <w:t>ņemot vērā Līguma par Eiropas Savienības darbību 319. pantu,</w:t>
      </w:r>
    </w:p>
    <w:p w14:paraId="2F9CCA2A" w14:textId="77777777" w:rsidR="00AF43DC" w:rsidRPr="004F3E65" w:rsidRDefault="00AF43DC" w:rsidP="00AF43DC">
      <w:pPr>
        <w:pStyle w:val="NormalHanging12a"/>
      </w:pPr>
      <w:r w:rsidRPr="004F3E65">
        <w:t>–</w:t>
      </w:r>
      <w:r w:rsidRPr="004F3E65">
        <w:tab/>
        <w:t xml:space="preserve">ņemot vērā Eiropas Parlamenta un Padomes 2018. gada 18. jūlija Regulu (ES, </w:t>
      </w:r>
      <w:r w:rsidRPr="004F3E65">
        <w:rPr>
          <w:i/>
          <w:iCs/>
        </w:rPr>
        <w:t>Euratom</w:t>
      </w:r>
      <w:r w:rsidRPr="004F3E6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F3E65">
        <w:rPr>
          <w:i/>
          <w:iCs/>
        </w:rPr>
        <w:t>Euratom</w:t>
      </w:r>
      <w:r w:rsidRPr="004F3E65">
        <w:t xml:space="preserve">) </w:t>
      </w:r>
      <w:r w:rsidRPr="004F3E65">
        <w:lastRenderedPageBreak/>
        <w:t>Nr. 966/2012</w:t>
      </w:r>
      <w:r w:rsidRPr="004F3E65">
        <w:rPr>
          <w:rStyle w:val="FootnoteReference"/>
        </w:rPr>
        <w:footnoteReference w:id="4"/>
      </w:r>
      <w:r w:rsidRPr="004F3E65">
        <w:t>, un jo īpaši tās 70. pantu,</w:t>
      </w:r>
    </w:p>
    <w:p w14:paraId="2D046D2C" w14:textId="77777777" w:rsidR="00AF43DC" w:rsidRPr="004F3E65" w:rsidRDefault="00AF43DC" w:rsidP="00AF43DC">
      <w:pPr>
        <w:pStyle w:val="NormalHanging12a"/>
      </w:pPr>
      <w:r w:rsidRPr="004F3E65">
        <w:t>–</w:t>
      </w:r>
      <w:r w:rsidRPr="004F3E65">
        <w:tab/>
        <w:t xml:space="preserve">ņemot vērā Eiropas Parlamenta un Padomes 2024. gada 23. septembra Regulu (ES, </w:t>
      </w:r>
      <w:r w:rsidRPr="004F3E65">
        <w:rPr>
          <w:i/>
          <w:iCs/>
        </w:rPr>
        <w:t>Euratom</w:t>
      </w:r>
      <w:r w:rsidRPr="004F3E65">
        <w:t>) 2024/2509 par finanšu noteikumiem, ko piemēro Savienības vispārējam budžetam</w:t>
      </w:r>
      <w:r w:rsidRPr="004F3E65">
        <w:rPr>
          <w:rStyle w:val="FootnoteReference"/>
        </w:rPr>
        <w:footnoteReference w:id="5"/>
      </w:r>
      <w:r w:rsidRPr="004F3E65">
        <w:t>, un jo īpaši tās 70. pantu,</w:t>
      </w:r>
    </w:p>
    <w:p w14:paraId="1DDD0881" w14:textId="77777777" w:rsidR="00AF43DC" w:rsidRPr="004F3E65" w:rsidRDefault="00AF43DC" w:rsidP="00AF43DC">
      <w:pPr>
        <w:pStyle w:val="NormalHanging12a"/>
      </w:pPr>
      <w:r w:rsidRPr="004F3E65">
        <w:t>–</w:t>
      </w:r>
      <w:r w:rsidRPr="004F3E65">
        <w:tab/>
        <w:t>ņemot vērā Eiropas Parlamenta un Padomes 2010. gada 19. maija Regulu (ES) Nr. 439/2010, ar ko izveido Eiropas Patvēruma atbalsta biroju</w:t>
      </w:r>
      <w:r w:rsidRPr="004F3E65">
        <w:rPr>
          <w:rStyle w:val="FootnoteReference"/>
        </w:rPr>
        <w:footnoteReference w:id="6"/>
      </w:r>
      <w:r w:rsidRPr="004F3E65">
        <w:t>, un jo īpaši tās 36. pantu,</w:t>
      </w:r>
    </w:p>
    <w:p w14:paraId="439BF655" w14:textId="77777777" w:rsidR="00AF43DC" w:rsidRPr="004F3E65" w:rsidRDefault="00AF43DC" w:rsidP="00AF43DC">
      <w:pPr>
        <w:pStyle w:val="NormalHanging12a"/>
      </w:pPr>
      <w:r w:rsidRPr="004F3E65">
        <w:t>–</w:t>
      </w:r>
      <w:r w:rsidRPr="004F3E65">
        <w:tab/>
        <w:t>ņemot vērā Eiropas Parlamenta un Padomes 2021. gada 15. decembra Regulu (ES) 2021/2303 par Eiropas Savienības Patvēruma aģentūru un ar ko atceļ Regulu (ES) Nr. 439/2010</w:t>
      </w:r>
      <w:r w:rsidRPr="004F3E65">
        <w:rPr>
          <w:rStyle w:val="FootnoteReference"/>
        </w:rPr>
        <w:footnoteReference w:id="7"/>
      </w:r>
      <w:r w:rsidRPr="004F3E65">
        <w:t>, un jo īpaši tās 55. pantu,</w:t>
      </w:r>
    </w:p>
    <w:p w14:paraId="514600EE" w14:textId="77777777" w:rsidR="00AF43DC" w:rsidRPr="004F3E65" w:rsidRDefault="00AF43DC" w:rsidP="00AF43DC">
      <w:pPr>
        <w:pStyle w:val="NormalHanging12a"/>
      </w:pPr>
      <w:r w:rsidRPr="004F3E65">
        <w:t>–</w:t>
      </w:r>
      <w:r w:rsidRPr="004F3E65">
        <w:tab/>
        <w:t xml:space="preserve">ņemot vērā Komisijas 2018. gada 18. decembra Deleģēto regulu (ES) 2019/715 par finanšu pamatregulu struktūrām, kas izveidotas saskaņā ar LESD un </w:t>
      </w:r>
      <w:r w:rsidRPr="004F3E65">
        <w:rPr>
          <w:i/>
          <w:iCs/>
        </w:rPr>
        <w:t>Euratom</w:t>
      </w:r>
      <w:r w:rsidRPr="004F3E65">
        <w:t xml:space="preserve"> līgumu un minētas Eiropas Parlamenta un Padomes Regulas (ES, </w:t>
      </w:r>
      <w:r w:rsidRPr="004F3E65">
        <w:rPr>
          <w:i/>
          <w:iCs/>
        </w:rPr>
        <w:t>Euratom</w:t>
      </w:r>
      <w:r w:rsidRPr="004F3E65">
        <w:t>) 2018/1046 70. pantā</w:t>
      </w:r>
      <w:r w:rsidRPr="004F3E65">
        <w:rPr>
          <w:rStyle w:val="FootnoteReference"/>
        </w:rPr>
        <w:footnoteReference w:id="8"/>
      </w:r>
      <w:r w:rsidRPr="004F3E65">
        <w:t>, un jo īpaši tās 105. pantu,</w:t>
      </w:r>
    </w:p>
    <w:p w14:paraId="059E9370" w14:textId="77777777" w:rsidR="00AF43DC" w:rsidRPr="004F3E65" w:rsidRDefault="00AF43DC" w:rsidP="00AF43DC">
      <w:pPr>
        <w:pStyle w:val="NormalHanging12a"/>
      </w:pPr>
      <w:r w:rsidRPr="004F3E65">
        <w:t>–</w:t>
      </w:r>
      <w:r w:rsidRPr="004F3E65">
        <w:tab/>
        <w:t>ņemot vērā Reglamenta 102. pantu un V pielikumu,</w:t>
      </w:r>
    </w:p>
    <w:p w14:paraId="2F8AF586" w14:textId="77777777" w:rsidR="00AF43DC" w:rsidRPr="004F3E65" w:rsidRDefault="00AF43DC" w:rsidP="00AF43DC">
      <w:pPr>
        <w:pStyle w:val="NormalHanging12a"/>
      </w:pPr>
      <w:r w:rsidRPr="004F3E65">
        <w:t>–</w:t>
      </w:r>
      <w:r w:rsidRPr="004F3E65">
        <w:tab/>
        <w:t>ņemot vērā Budžeta kontroles komitejas otro ziņojumu (A10-0169/2025),</w:t>
      </w:r>
    </w:p>
    <w:p w14:paraId="00F9D440" w14:textId="77777777" w:rsidR="00AF43DC" w:rsidRPr="004F3E65" w:rsidRDefault="00AF43DC" w:rsidP="00AF43DC">
      <w:pPr>
        <w:pStyle w:val="NormalHanging12a"/>
      </w:pPr>
      <w:r w:rsidRPr="004F3E65">
        <w:t>1.</w:t>
      </w:r>
      <w:r w:rsidRPr="004F3E65">
        <w:tab/>
        <w:t>sniedz Eiropas Savienības Patvēruma aģentūras izpilddirektorei apstiprinājumu par Aģentūras 2023. finanšu gada budžeta izpildi;</w:t>
      </w:r>
    </w:p>
    <w:p w14:paraId="0B504211" w14:textId="77777777" w:rsidR="00AF43DC" w:rsidRPr="004F3E65" w:rsidRDefault="00AF43DC" w:rsidP="00AF43DC">
      <w:pPr>
        <w:pStyle w:val="NormalHanging12a"/>
      </w:pPr>
      <w:r w:rsidRPr="004F3E65">
        <w:t>2.</w:t>
      </w:r>
      <w:r w:rsidRPr="004F3E65">
        <w:tab/>
        <w:t>izklāsta savus konstatējumus turpmāk tekstā iekļautajā rezolūcijā;</w:t>
      </w:r>
    </w:p>
    <w:p w14:paraId="21033D1A" w14:textId="77777777" w:rsidR="00AF43DC" w:rsidRPr="004F3E65" w:rsidRDefault="00AF43DC" w:rsidP="00AF43DC">
      <w:pPr>
        <w:pStyle w:val="NormalHanging12a"/>
      </w:pPr>
      <w:r w:rsidRPr="004F3E65">
        <w:t>3.</w:t>
      </w:r>
      <w:r w:rsidRPr="004F3E65">
        <w:tab/>
        <w:t xml:space="preserve">uzdod priekšsēdētājai šo lēmumu un rezolūciju, kas ir tā neatņemama daļa, nosūtīt Eiropas Savienības Patvēruma aģentūras izpilddirektorei, Padomei, Komisijai un Revīzijas palātai un nodrošināt to publicēšanu </w:t>
      </w:r>
      <w:r w:rsidRPr="004F3E65">
        <w:rPr>
          <w:i/>
        </w:rPr>
        <w:t>Eiropas Savienības Oficiālajā Vēstnesī</w:t>
      </w:r>
      <w:r w:rsidRPr="004F3E65">
        <w:t xml:space="preserve"> (L sērijā).</w:t>
      </w:r>
    </w:p>
    <w:p w14:paraId="144BD2E5" w14:textId="77777777" w:rsidR="00AF43DC" w:rsidRPr="004F3E65" w:rsidRDefault="00AF43DC" w:rsidP="00AF43DC"/>
    <w:p w14:paraId="3BE65F1D" w14:textId="77777777" w:rsidR="00AF43DC" w:rsidRPr="004F3E65" w:rsidRDefault="00AF43DC" w:rsidP="00AF43DC">
      <w:pPr>
        <w:pStyle w:val="PageHeadingDec"/>
        <w:sectPr w:rsidR="00AF43DC" w:rsidRPr="004F3E65" w:rsidSect="00E250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00B183" w14:textId="7B9AFB42" w:rsidR="00AF43DC" w:rsidRPr="004F3E65" w:rsidRDefault="00584DFD" w:rsidP="00584DFD">
      <w:pPr>
        <w:pStyle w:val="ATHeading3"/>
      </w:pPr>
      <w:r w:rsidRPr="004F3E65">
        <w:lastRenderedPageBreak/>
        <w:t xml:space="preserve">2. Eiropas Parlamenta 2025. gada 22. oktobra lēmums par </w:t>
      </w:r>
      <w:r w:rsidR="00AF43DC" w:rsidRPr="004F3E65">
        <w:t>Eiropas Savienības Patvēruma aģentūras 2023. finanšu gada pārskatu apstiprināšanu</w:t>
      </w:r>
      <w:r w:rsidRPr="004F3E65">
        <w:t xml:space="preserve"> </w:t>
      </w:r>
      <w:r w:rsidR="00AF43DC" w:rsidRPr="004F3E65">
        <w:t>(2024/2030(DEC))</w:t>
      </w:r>
    </w:p>
    <w:p w14:paraId="5BA6C9ED" w14:textId="77777777" w:rsidR="00AF43DC" w:rsidRPr="004F3E65" w:rsidRDefault="00AF43DC" w:rsidP="00AF43DC">
      <w:pPr>
        <w:pStyle w:val="EPComma"/>
      </w:pPr>
      <w:r w:rsidRPr="004F3E65">
        <w:rPr>
          <w:i/>
        </w:rPr>
        <w:t>Eiropas Parlaments</w:t>
      </w:r>
      <w:r w:rsidRPr="004F3E65">
        <w:t>,</w:t>
      </w:r>
    </w:p>
    <w:p w14:paraId="289D730C" w14:textId="77777777" w:rsidR="00AF43DC" w:rsidRPr="004F3E65" w:rsidRDefault="00AF43DC" w:rsidP="00AF43DC">
      <w:pPr>
        <w:pStyle w:val="NormalHanging12a"/>
      </w:pPr>
      <w:r w:rsidRPr="004F3E65">
        <w:t>–</w:t>
      </w:r>
      <w:r w:rsidRPr="004F3E65">
        <w:tab/>
        <w:t>ņemot vērā Eiropas Savienības Patvēruma aģentūras 2023. finanšu gada galīgos pārskatus,</w:t>
      </w:r>
    </w:p>
    <w:p w14:paraId="3B53670E" w14:textId="77777777" w:rsidR="00AF43DC" w:rsidRPr="004F3E65" w:rsidRDefault="00AF43DC" w:rsidP="00AF43DC">
      <w:pPr>
        <w:pStyle w:val="NormalHanging12a"/>
      </w:pPr>
      <w:r w:rsidRPr="004F3E65">
        <w:t>–</w:t>
      </w:r>
      <w:r w:rsidRPr="004F3E65">
        <w:tab/>
        <w:t>ņemot vērā Revīzijas palātas gada ziņojumu par ES aģentūrām attiecībā uz 2023. finanšu gadu ar aģentūru atbildēm</w:t>
      </w:r>
      <w:r w:rsidRPr="004F3E65">
        <w:rPr>
          <w:rStyle w:val="FootnoteReference"/>
        </w:rPr>
        <w:footnoteReference w:id="9"/>
      </w:r>
      <w:r w:rsidRPr="004F3E65">
        <w:t>,</w:t>
      </w:r>
    </w:p>
    <w:p w14:paraId="09A559CF" w14:textId="77777777" w:rsidR="00AF43DC" w:rsidRPr="004F3E65" w:rsidRDefault="00AF43DC" w:rsidP="00AF43DC">
      <w:pPr>
        <w:pStyle w:val="NormalHanging12a"/>
      </w:pPr>
      <w:r w:rsidRPr="004F3E65">
        <w:t>–</w:t>
      </w:r>
      <w:r w:rsidRPr="004F3E65">
        <w:tab/>
        <w:t>ņemot vērā deklarāciju par pārskatu ticamību</w:t>
      </w:r>
      <w:r w:rsidRPr="004F3E65">
        <w:rPr>
          <w:rStyle w:val="FootnoteReference"/>
        </w:rPr>
        <w:footnoteReference w:id="10"/>
      </w:r>
      <w:r w:rsidRPr="004F3E65">
        <w:t>, kā arī par pakārtoto darījumu likumību un pareizību, kuru Revīzijas palāta sniegusi par 2023. finanšu gadu saskaņā ar Līguma par Eiropas Savienības darbību 287. pantu,</w:t>
      </w:r>
    </w:p>
    <w:p w14:paraId="277305E2" w14:textId="77777777" w:rsidR="00AF43DC" w:rsidRPr="004F3E65" w:rsidRDefault="00AF43DC" w:rsidP="00AF43DC">
      <w:pPr>
        <w:pStyle w:val="NormalHanging12a"/>
      </w:pPr>
      <w:r w:rsidRPr="004F3E65">
        <w:t>–</w:t>
      </w:r>
      <w:r w:rsidRPr="004F3E65">
        <w:tab/>
        <w:t>ņemot vērā Padomes 2025. gada 17. februāra ieteikumu par apstiprinājumu, ko sniedz Aģentūrai par 2023. finanšu gada budžeta izpildi (05755/2025 – C10</w:t>
      </w:r>
      <w:r w:rsidRPr="004F3E65">
        <w:noBreakHyphen/>
        <w:t>0024/2025),</w:t>
      </w:r>
    </w:p>
    <w:p w14:paraId="02B584F9" w14:textId="77777777" w:rsidR="00AF43DC" w:rsidRPr="004F3E65" w:rsidRDefault="00AF43DC" w:rsidP="00AF43DC">
      <w:pPr>
        <w:pStyle w:val="NormalHanging12a"/>
      </w:pPr>
      <w:r w:rsidRPr="004F3E65">
        <w:t>–</w:t>
      </w:r>
      <w:r w:rsidRPr="004F3E65">
        <w:tab/>
        <w:t>ņemot vērā 2025. gada 7. maija lēmumu</w:t>
      </w:r>
      <w:r w:rsidRPr="004F3E65">
        <w:rPr>
          <w:rStyle w:val="FootnoteReference"/>
        </w:rPr>
        <w:footnoteReference w:id="11"/>
      </w:r>
      <w:r w:rsidRPr="004F3E65">
        <w:t xml:space="preserve"> atlikt lēmuma pieņemšanu par 2023. finanšu gada budžeta izpildes apstiprināšanu, kā arī Eiropas Savienības Patvēruma aģentūras izpilddirektores atbildes,</w:t>
      </w:r>
    </w:p>
    <w:p w14:paraId="08BAFE15" w14:textId="77777777" w:rsidR="00AF43DC" w:rsidRPr="004F3E65" w:rsidRDefault="00AF43DC" w:rsidP="00AF43DC">
      <w:pPr>
        <w:pStyle w:val="NormalHanging12a"/>
      </w:pPr>
      <w:r w:rsidRPr="004F3E65">
        <w:t>–</w:t>
      </w:r>
      <w:r w:rsidRPr="004F3E65">
        <w:tab/>
        <w:t>ņemot vērā Līguma par Eiropas Savienības darbību 319. pantu,</w:t>
      </w:r>
    </w:p>
    <w:p w14:paraId="08B212E6" w14:textId="77777777" w:rsidR="00AF43DC" w:rsidRPr="004F3E65" w:rsidRDefault="00AF43DC" w:rsidP="00AF43DC">
      <w:pPr>
        <w:pStyle w:val="NormalHanging12a"/>
      </w:pPr>
      <w:r w:rsidRPr="004F3E65">
        <w:t>–</w:t>
      </w:r>
      <w:r w:rsidRPr="004F3E65">
        <w:tab/>
        <w:t xml:space="preserve">ņemot vērā Eiropas Parlamenta un Padomes 2018. gada 18. jūlija Regulu (ES, </w:t>
      </w:r>
      <w:r w:rsidRPr="004F3E65">
        <w:rPr>
          <w:i/>
          <w:iCs/>
        </w:rPr>
        <w:t>Euratom</w:t>
      </w:r>
      <w:r w:rsidRPr="004F3E6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F3E65">
        <w:rPr>
          <w:i/>
          <w:iCs/>
        </w:rPr>
        <w:t>Euratom</w:t>
      </w:r>
      <w:r w:rsidRPr="004F3E65">
        <w:t>) Nr. 966/2012</w:t>
      </w:r>
      <w:r w:rsidRPr="004F3E65">
        <w:rPr>
          <w:rStyle w:val="FootnoteReference"/>
        </w:rPr>
        <w:footnoteReference w:id="12"/>
      </w:r>
      <w:r w:rsidRPr="004F3E65">
        <w:t>, un jo īpaši tās 70. pantu,</w:t>
      </w:r>
    </w:p>
    <w:p w14:paraId="328BAC8E" w14:textId="77777777" w:rsidR="00AF43DC" w:rsidRPr="004F3E65" w:rsidRDefault="00AF43DC" w:rsidP="00AF43DC">
      <w:pPr>
        <w:pStyle w:val="NormalHanging12a"/>
      </w:pPr>
      <w:r w:rsidRPr="004F3E65">
        <w:t>–</w:t>
      </w:r>
      <w:r w:rsidRPr="004F3E65">
        <w:tab/>
        <w:t xml:space="preserve">ņemot vērā Eiropas Parlamenta un Padomes 2024. gada 23. septembra Regulu (ES, </w:t>
      </w:r>
      <w:r w:rsidRPr="004F3E65">
        <w:rPr>
          <w:i/>
          <w:iCs/>
        </w:rPr>
        <w:t>Euratom</w:t>
      </w:r>
      <w:r w:rsidRPr="004F3E65">
        <w:t>) 2024/2509 par finanšu noteikumiem, ko piemēro Savienības vispārējam budžetam</w:t>
      </w:r>
      <w:r w:rsidRPr="004F3E65">
        <w:rPr>
          <w:rStyle w:val="FootnoteReference"/>
        </w:rPr>
        <w:footnoteReference w:id="13"/>
      </w:r>
      <w:r w:rsidRPr="004F3E65">
        <w:t>, un jo īpaši tās 70. pantu,</w:t>
      </w:r>
    </w:p>
    <w:p w14:paraId="33679836" w14:textId="77777777" w:rsidR="00AF43DC" w:rsidRPr="004F3E65" w:rsidRDefault="00AF43DC" w:rsidP="00AF43DC">
      <w:pPr>
        <w:pStyle w:val="NormalHanging12a"/>
      </w:pPr>
      <w:r w:rsidRPr="004F3E65">
        <w:t>–</w:t>
      </w:r>
      <w:r w:rsidRPr="004F3E65">
        <w:tab/>
        <w:t>ņemot vērā Eiropas Parlamenta un Padomes 2010. gada 19. maija Regulu (ES) Nr. 439/2010, ar ko izveido Eiropas Patvēruma atbalsta biroju</w:t>
      </w:r>
      <w:r w:rsidRPr="004F3E65">
        <w:rPr>
          <w:rStyle w:val="FootnoteReference"/>
        </w:rPr>
        <w:footnoteReference w:id="14"/>
      </w:r>
      <w:r w:rsidRPr="004F3E65">
        <w:t>, un jo īpaši tās 36. pantu,</w:t>
      </w:r>
    </w:p>
    <w:p w14:paraId="28470D49" w14:textId="77777777" w:rsidR="00AF43DC" w:rsidRPr="004F3E65" w:rsidRDefault="00AF43DC" w:rsidP="00AF43DC">
      <w:pPr>
        <w:pStyle w:val="NormalHanging12a"/>
      </w:pPr>
      <w:r w:rsidRPr="004F3E65">
        <w:t>–</w:t>
      </w:r>
      <w:r w:rsidRPr="004F3E65">
        <w:tab/>
        <w:t>ņemot vērā Eiropas Parlamenta un Padomes 2021. gada 15. decembra Regulu (ES) 2021/2303 par Eiropas Savienības Patvēruma aģentūru un ar ko atceļ Regulu (ES) Nr. 439/2010</w:t>
      </w:r>
      <w:r w:rsidRPr="004F3E65">
        <w:rPr>
          <w:rStyle w:val="FootnoteReference"/>
        </w:rPr>
        <w:footnoteReference w:id="15"/>
      </w:r>
      <w:r w:rsidRPr="004F3E65">
        <w:t>, un jo īpaši tās 55. pantu,</w:t>
      </w:r>
    </w:p>
    <w:p w14:paraId="48D56FCD" w14:textId="77777777" w:rsidR="00AF43DC" w:rsidRPr="004F3E65" w:rsidRDefault="00AF43DC" w:rsidP="00AF43DC">
      <w:pPr>
        <w:pStyle w:val="NormalHanging12a"/>
      </w:pPr>
      <w:r w:rsidRPr="004F3E65">
        <w:t>–</w:t>
      </w:r>
      <w:r w:rsidRPr="004F3E65">
        <w:tab/>
        <w:t xml:space="preserve">ņemot vērā Komisijas 2018. gada 18. decembra Deleģēto regulu (ES) 2019/715 par finanšu pamatregulu struktūrām, kas izveidotas saskaņā ar LESD un </w:t>
      </w:r>
      <w:r w:rsidRPr="004F3E65">
        <w:rPr>
          <w:i/>
          <w:iCs/>
        </w:rPr>
        <w:t>Euratom</w:t>
      </w:r>
      <w:r w:rsidRPr="004F3E65">
        <w:t xml:space="preserve"> līgumu un </w:t>
      </w:r>
      <w:r w:rsidRPr="004F3E65">
        <w:lastRenderedPageBreak/>
        <w:t xml:space="preserve">minētas Eiropas Parlamenta un Padomes Regulas (ES, </w:t>
      </w:r>
      <w:r w:rsidRPr="004F3E65">
        <w:rPr>
          <w:i/>
          <w:iCs/>
        </w:rPr>
        <w:t>Euratom</w:t>
      </w:r>
      <w:r w:rsidRPr="004F3E65">
        <w:t>) 2018/1046 70. pantā</w:t>
      </w:r>
      <w:r w:rsidRPr="004F3E65">
        <w:rPr>
          <w:rStyle w:val="FootnoteReference"/>
        </w:rPr>
        <w:footnoteReference w:id="16"/>
      </w:r>
      <w:r w:rsidRPr="004F3E65">
        <w:t>, un jo īpaši tās 105. pantu,</w:t>
      </w:r>
    </w:p>
    <w:p w14:paraId="3F2EF3D9" w14:textId="77777777" w:rsidR="00AF43DC" w:rsidRPr="004F3E65" w:rsidRDefault="00AF43DC" w:rsidP="00AF43DC">
      <w:pPr>
        <w:pStyle w:val="NormalHanging12a"/>
      </w:pPr>
      <w:r w:rsidRPr="004F3E65">
        <w:t>–</w:t>
      </w:r>
      <w:r w:rsidRPr="004F3E65">
        <w:tab/>
        <w:t>ņemot vērā Reglamenta 102. pantu un V pielikumu,</w:t>
      </w:r>
    </w:p>
    <w:p w14:paraId="074DA6A6" w14:textId="77777777" w:rsidR="00AF43DC" w:rsidRPr="004F3E65" w:rsidRDefault="00AF43DC" w:rsidP="00AF43DC">
      <w:pPr>
        <w:pStyle w:val="NormalHanging12a"/>
      </w:pPr>
      <w:r w:rsidRPr="004F3E65">
        <w:t>–</w:t>
      </w:r>
      <w:r w:rsidRPr="004F3E65">
        <w:tab/>
        <w:t>ņemot vērā Budžeta kontroles komitejas otro ziņojumu (A10-0169/2025),</w:t>
      </w:r>
    </w:p>
    <w:p w14:paraId="48FEE77A" w14:textId="77777777" w:rsidR="00AF43DC" w:rsidRPr="004F3E65" w:rsidRDefault="00AF43DC" w:rsidP="00AF43DC">
      <w:pPr>
        <w:pStyle w:val="NormalHanging12a"/>
      </w:pPr>
      <w:r w:rsidRPr="004F3E65">
        <w:t>1.</w:t>
      </w:r>
      <w:r w:rsidRPr="004F3E65">
        <w:tab/>
        <w:t>apstiprina Eiropas Savienības Patvēruma aģentūras 2023. finanšu gada pārskatus;</w:t>
      </w:r>
    </w:p>
    <w:p w14:paraId="7602FD7F" w14:textId="77777777" w:rsidR="00AF43DC" w:rsidRPr="004F3E65" w:rsidRDefault="00AF43DC" w:rsidP="00AF43DC">
      <w:pPr>
        <w:pStyle w:val="NormalHanging12a"/>
      </w:pPr>
      <w:r w:rsidRPr="004F3E65">
        <w:t>2.</w:t>
      </w:r>
      <w:r w:rsidRPr="004F3E65">
        <w:tab/>
        <w:t xml:space="preserve">uzdod priekšsēdētājai šo lēmumu nosūtīt Eiropas Savienības Patvēruma aģentūras izpilddirektorei, Padomei, Komisijai un Revīzijas palātai un nodrošināt tā publicēšanu </w:t>
      </w:r>
      <w:r w:rsidRPr="004F3E65">
        <w:rPr>
          <w:i/>
        </w:rPr>
        <w:t>Eiropas Savienības Oficiālajā Vēstnesī</w:t>
      </w:r>
      <w:r w:rsidRPr="004F3E65">
        <w:t xml:space="preserve"> (L sērijā).</w:t>
      </w:r>
    </w:p>
    <w:p w14:paraId="6BC3EA98" w14:textId="77777777" w:rsidR="00AF43DC" w:rsidRPr="004F3E65" w:rsidRDefault="00AF43DC" w:rsidP="00AF43DC"/>
    <w:p w14:paraId="560BB3FE" w14:textId="77777777" w:rsidR="00AF43DC" w:rsidRPr="004F3E65" w:rsidRDefault="00AF43DC" w:rsidP="00AF43DC"/>
    <w:p w14:paraId="1A04EAF9" w14:textId="77777777" w:rsidR="00AF43DC" w:rsidRPr="004F3E65" w:rsidRDefault="00AF43DC" w:rsidP="00AF43DC">
      <w:pPr>
        <w:pStyle w:val="PageHeadingDec"/>
        <w:sectPr w:rsidR="00AF43DC" w:rsidRPr="004F3E65" w:rsidSect="00E25045">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19E88A" w14:textId="2B97CB7C" w:rsidR="00AF43DC" w:rsidRPr="004F3E65" w:rsidRDefault="00584DFD" w:rsidP="00584DFD">
      <w:pPr>
        <w:pStyle w:val="ATHeading3"/>
      </w:pPr>
      <w:r w:rsidRPr="004F3E65">
        <w:lastRenderedPageBreak/>
        <w:t>3. Eiropas Parlamenta 2025. gada 22. oktobra rezolūcija ar konstatējumiem, kas ir neatņemama daļa no lēmumiem par Eiropas Savienības aģentūru 2023. finanšu gada budžeta izpildes apstiprināšanu (2024/2030(DEC))</w:t>
      </w:r>
    </w:p>
    <w:p w14:paraId="25FAD61E" w14:textId="77777777" w:rsidR="00AF43DC" w:rsidRPr="004F3E65" w:rsidRDefault="00AF43DC" w:rsidP="00AF43DC">
      <w:pPr>
        <w:pStyle w:val="EPComma"/>
      </w:pPr>
      <w:r w:rsidRPr="004F3E65">
        <w:rPr>
          <w:i/>
        </w:rPr>
        <w:t>Eiropas Parlaments</w:t>
      </w:r>
      <w:r w:rsidRPr="004F3E65">
        <w:t>,</w:t>
      </w:r>
    </w:p>
    <w:p w14:paraId="22F50A87" w14:textId="77777777" w:rsidR="00AF43DC" w:rsidRPr="004F3E65" w:rsidRDefault="00AF43DC" w:rsidP="00AF43DC">
      <w:pPr>
        <w:pStyle w:val="NormalHanging12a"/>
      </w:pPr>
      <w:r w:rsidRPr="004F3E65">
        <w:t>–</w:t>
      </w:r>
      <w:r w:rsidRPr="004F3E65">
        <w:tab/>
        <w:t>ņemot vērā lēmumu par Eiropas Savienības Patvēruma aģentūras 2023. finanšu gada budžeta izpildes apstiprināšanu,</w:t>
      </w:r>
    </w:p>
    <w:p w14:paraId="2DA1976A" w14:textId="77777777" w:rsidR="00AF43DC" w:rsidRPr="004F3E65" w:rsidRDefault="00AF43DC" w:rsidP="00AF43DC">
      <w:pPr>
        <w:pStyle w:val="NormalHanging12a"/>
      </w:pPr>
      <w:r w:rsidRPr="004F3E65">
        <w:t>–</w:t>
      </w:r>
      <w:r w:rsidRPr="004F3E65">
        <w:tab/>
        <w:t>ņemot vērā Reglamenta 102. pantu un V pielikumu,</w:t>
      </w:r>
    </w:p>
    <w:p w14:paraId="2B3A8418" w14:textId="6178B3C1" w:rsidR="00AF43DC" w:rsidRPr="004F3E65" w:rsidRDefault="00AF43DC" w:rsidP="00AF43DC">
      <w:pPr>
        <w:pStyle w:val="NormalHanging12a"/>
      </w:pPr>
      <w:r w:rsidRPr="004F3E65">
        <w:t>–</w:t>
      </w:r>
      <w:r w:rsidRPr="004F3E65">
        <w:tab/>
        <w:t xml:space="preserve">ņemot vērā kopējās Eiropas patvēruma sistēmas darbību, noteikumu ievērošanai un pienācīgai īstenošanai un izpildei un ilgtspējīgam un pienācīgam </w:t>
      </w:r>
      <w:r w:rsidR="00AC6962" w:rsidRPr="004F3E65">
        <w:t>Eiropas Savienības Patvēruma aģentūras</w:t>
      </w:r>
      <w:r w:rsidRPr="004F3E65">
        <w:t xml:space="preserve"> finansiālajam atbalstam ir būtiska nozīme, lai nodrošinātu kopīgas atbildības un solidaritātes sistēmu starp Eiropas Savienības dalībvalstīm;</w:t>
      </w:r>
    </w:p>
    <w:p w14:paraId="7EEA443D" w14:textId="77777777" w:rsidR="00AF43DC" w:rsidRPr="004F3E65" w:rsidRDefault="00AF43DC" w:rsidP="00AF43DC">
      <w:pPr>
        <w:pStyle w:val="NormalHanging12a"/>
      </w:pPr>
      <w:r w:rsidRPr="004F3E65">
        <w:t>–</w:t>
      </w:r>
      <w:r w:rsidRPr="004F3E65">
        <w:tab/>
        <w:t xml:space="preserve">ņemot vērā </w:t>
      </w:r>
      <w:r w:rsidRPr="004F3E65">
        <w:rPr>
          <w:i/>
          <w:iCs/>
        </w:rPr>
        <w:t>OLAF</w:t>
      </w:r>
      <w:r w:rsidRPr="004F3E65">
        <w:t xml:space="preserve"> galīgo ziņojumu (OC-2022-0717) par Eiropas Savienības Patvēruma aģentūru, kurš sagatavots 2024. gada oktobrī un darīts pieejams Budžeta kontroles komitejas locekļiem 2025. gada martā,</w:t>
      </w:r>
    </w:p>
    <w:p w14:paraId="7C48C8D9" w14:textId="6E94E00E" w:rsidR="00AF43DC" w:rsidRPr="004F3E65" w:rsidRDefault="00AF43DC" w:rsidP="00AF43DC">
      <w:pPr>
        <w:pStyle w:val="NormalHanging12a"/>
        <w:rPr>
          <w:bCs/>
        </w:rPr>
      </w:pPr>
      <w:r w:rsidRPr="004F3E65">
        <w:t>–</w:t>
      </w:r>
      <w:r w:rsidRPr="004F3E65">
        <w:tab/>
        <w:t xml:space="preserve">ņemot vērā </w:t>
      </w:r>
      <w:r w:rsidR="00AC6962" w:rsidRPr="004F3E65">
        <w:t>Eiropas Savienības Patvēruma aģentūras</w:t>
      </w:r>
      <w:r w:rsidRPr="004F3E65">
        <w:t xml:space="preserve"> valdes priekšsēdētājas 2025. gada martā un Eiropas Savienības Patvēruma aģentūras izpilddirektores 2025. gada jūlijā nosūtītās vēstules,</w:t>
      </w:r>
    </w:p>
    <w:p w14:paraId="0F4E343B" w14:textId="77777777" w:rsidR="00AF43DC" w:rsidRPr="004F3E65" w:rsidRDefault="00AF43DC" w:rsidP="00AF43DC">
      <w:pPr>
        <w:pStyle w:val="NormalHanging12a"/>
      </w:pPr>
      <w:r w:rsidRPr="004F3E65">
        <w:t xml:space="preserve">– </w:t>
      </w:r>
      <w:r w:rsidRPr="004F3E65">
        <w:tab/>
        <w:t xml:space="preserve">ņemot vērā viedokļu apmaiņu ar </w:t>
      </w:r>
      <w:r w:rsidRPr="004F3E65">
        <w:rPr>
          <w:i/>
          <w:iCs/>
        </w:rPr>
        <w:t>OLAF</w:t>
      </w:r>
      <w:r w:rsidRPr="004F3E65">
        <w:t>, Eiropas Savienības Patvēruma aģentūras un DG HOME pārstāvjiem 2025. gada 15. jūlijā,</w:t>
      </w:r>
    </w:p>
    <w:p w14:paraId="4636779A" w14:textId="77777777" w:rsidR="00AF43DC" w:rsidRPr="004F3E65" w:rsidRDefault="00AF43DC" w:rsidP="00AF43DC">
      <w:pPr>
        <w:pStyle w:val="NormalHanging12a"/>
      </w:pPr>
      <w:r w:rsidRPr="004F3E65">
        <w:t>–</w:t>
      </w:r>
      <w:r w:rsidRPr="004F3E65">
        <w:tab/>
        <w:t>ņemot vērā Budžeta kontroles komitejas otro ziņojumu (A10-0169/2025),</w:t>
      </w:r>
    </w:p>
    <w:p w14:paraId="32972351" w14:textId="77777777" w:rsidR="00AF43DC" w:rsidRPr="004F3E65" w:rsidRDefault="00AF43DC" w:rsidP="00AF43DC">
      <w:pPr>
        <w:pStyle w:val="NormalHanging12a"/>
      </w:pPr>
      <w:r w:rsidRPr="004F3E65">
        <w:t>A.</w:t>
      </w:r>
      <w:r w:rsidRPr="004F3E65">
        <w:tab/>
        <w:t>tā kā visām Savienības decentralizētajām aģentūrām jābūt pārredzamām un pilnībā atbildīgām Savienības pilsoņu priekšā par līdzekļiem, kas uzticēti tām kā Savienības struktūrām;</w:t>
      </w:r>
    </w:p>
    <w:p w14:paraId="6B32A221" w14:textId="77777777" w:rsidR="00AF43DC" w:rsidRPr="004F3E65" w:rsidRDefault="00AF43DC" w:rsidP="00AF43DC">
      <w:pPr>
        <w:pStyle w:val="NormalHanging12a"/>
      </w:pPr>
      <w:r w:rsidRPr="004F3E65">
        <w:t>B.</w:t>
      </w:r>
      <w:r w:rsidRPr="004F3E65">
        <w:tab/>
        <w:t>tā kā Eiropas Savienības Patvēruma aģentūrai kā Savienības struktūrai, kurai ir uzticēti būtiski pienākumi un resursi, ir atbilstošs pienākums rīkoties, ievērojot visaugstākos pārredzamības, pārskatatbildības un priekšzīmīgas rīcības standartus un tādējādi nodrošinot Savienības pilsoņu un iestāžu uzticēšanos;</w:t>
      </w:r>
    </w:p>
    <w:p w14:paraId="1082C5AD" w14:textId="77777777" w:rsidR="00AF43DC" w:rsidRPr="004F3E65" w:rsidRDefault="00AF43DC" w:rsidP="00AF43DC">
      <w:pPr>
        <w:pStyle w:val="NormalHanging12a"/>
      </w:pPr>
      <w:r w:rsidRPr="004F3E65">
        <w:t>C.</w:t>
      </w:r>
      <w:r w:rsidRPr="004F3E65">
        <w:tab/>
        <w:t>tā kā Parlamenta loma attiecībā uz budžeta izpildes apstiprināšanu ir noteikta Līgumā par Eiropas Savienības darbību (LESD), Finanšu regulā un finanšu pamatregulās;</w:t>
      </w:r>
    </w:p>
    <w:p w14:paraId="03E630BA" w14:textId="77777777" w:rsidR="00AF43DC" w:rsidRPr="004F3E65" w:rsidRDefault="00AF43DC" w:rsidP="00AF43DC">
      <w:pPr>
        <w:pStyle w:val="NormalHanging12a"/>
      </w:pPr>
      <w:r w:rsidRPr="004F3E65">
        <w:t>D.</w:t>
      </w:r>
      <w:r w:rsidRPr="004F3E65">
        <w:tab/>
        <w:t xml:space="preserve">tā kā </w:t>
      </w:r>
      <w:r w:rsidRPr="004F3E65">
        <w:rPr>
          <w:i/>
          <w:iCs/>
        </w:rPr>
        <w:t>OLAF</w:t>
      </w:r>
      <w:r w:rsidRPr="004F3E65">
        <w:t xml:space="preserve"> kā Savienības struktūrai, kas cīnās pret krāpšanu, ir pienākums nodrošināt Eiropas Parlamentam savlaicīgu un pienācīgu piekļuvi tās konstatējumiem, lai ļautu efektīvi kontrolēt budžeta izpildes apstiprināšanu,</w:t>
      </w:r>
    </w:p>
    <w:p w14:paraId="30E80FDC" w14:textId="77777777" w:rsidR="00AF43DC" w:rsidRPr="004F3E65" w:rsidRDefault="00AF43DC" w:rsidP="00AF43DC">
      <w:pPr>
        <w:pStyle w:val="NormalHanging12a"/>
      </w:pPr>
      <w:r w:rsidRPr="004F3E65">
        <w:t>1.</w:t>
      </w:r>
      <w:r w:rsidRPr="004F3E65">
        <w:tab/>
        <w:t>atgādina, kāda ir Parlamenta loma budžeta izpildes apstiprinājuma procedūrā saskaņā ar LESD, Finanšu regulu un tā reglamentu;</w:t>
      </w:r>
    </w:p>
    <w:p w14:paraId="51B53EEA" w14:textId="77777777" w:rsidR="00AF43DC" w:rsidRPr="004F3E65" w:rsidRDefault="00AF43DC" w:rsidP="00AF43DC">
      <w:pPr>
        <w:pStyle w:val="NormalHanging12a"/>
      </w:pPr>
      <w:r w:rsidRPr="004F3E65">
        <w:t>2.</w:t>
      </w:r>
      <w:r w:rsidRPr="004F3E65">
        <w:tab/>
        <w:t>atgādina, ka Parlaments 2025. gada 7. maijā nolēma atlikt lēmuma pieņemšanu par Eiropas Savienības Patvēruma aģentūras (“Aģentūra”) 2023. finanšu gada budžeta izpildes apstiprināšanu;</w:t>
      </w:r>
    </w:p>
    <w:p w14:paraId="313B889A" w14:textId="77777777" w:rsidR="00AF43DC" w:rsidRPr="004F3E65" w:rsidRDefault="00AF43DC" w:rsidP="00AF43DC">
      <w:pPr>
        <w:pStyle w:val="NormalHanging12a"/>
      </w:pPr>
      <w:r w:rsidRPr="004F3E65">
        <w:lastRenderedPageBreak/>
        <w:t>3.</w:t>
      </w:r>
      <w:r w:rsidRPr="004F3E65">
        <w:tab/>
        <w:t>uzsver to, ka ārkārtīgi svarīgi ir Savienības budžeta izpildē rīkoties atbildīgi un pārredzami; uzstāj, ka šo principu neievērošana būtiski mazina sabiedrības uzticēšanos;</w:t>
      </w:r>
    </w:p>
    <w:p w14:paraId="53F43D82" w14:textId="77777777" w:rsidR="00AF43DC" w:rsidRPr="004F3E65" w:rsidRDefault="00AF43DC" w:rsidP="00AF43DC">
      <w:pPr>
        <w:pStyle w:val="NormalHanging12a"/>
        <w:rPr>
          <w:b/>
          <w:i/>
        </w:rPr>
      </w:pPr>
      <w:r w:rsidRPr="004F3E65">
        <w:rPr>
          <w:b/>
          <w:i/>
        </w:rPr>
        <w:t>Eiropas Biroja krāpšanas apkarošanai (</w:t>
      </w:r>
      <w:r w:rsidRPr="004F3E65">
        <w:rPr>
          <w:b/>
        </w:rPr>
        <w:t>OLAF</w:t>
      </w:r>
      <w:r w:rsidRPr="004F3E65">
        <w:rPr>
          <w:b/>
          <w:i/>
        </w:rPr>
        <w:t>) veiktās izmeklēšanas rezultāti</w:t>
      </w:r>
    </w:p>
    <w:p w14:paraId="5BE87B97" w14:textId="77777777" w:rsidR="00AF43DC" w:rsidRPr="004F3E65" w:rsidRDefault="00AF43DC" w:rsidP="00AF43DC">
      <w:pPr>
        <w:pStyle w:val="NormalHanging12a"/>
      </w:pPr>
      <w:r w:rsidRPr="004F3E65">
        <w:t>4.</w:t>
      </w:r>
      <w:r w:rsidRPr="004F3E65">
        <w:tab/>
        <w:t xml:space="preserve">norāda, ka </w:t>
      </w:r>
      <w:r w:rsidRPr="004F3E65">
        <w:rPr>
          <w:i/>
          <w:iCs/>
        </w:rPr>
        <w:t>OLAF</w:t>
      </w:r>
      <w:r w:rsidRPr="004F3E65">
        <w:t xml:space="preserve"> 2025. gada martā Budžeta kontroles komitejas locekļiem un 2025. gada jūlijā Pilsoņu brīvību, tieslietu un iekšlietu komitejai darīja pieejamu sava izmeklēšanas galīgā ziņojuma anonimizētu versiju; pauž nožēlu par to, ka piekļuve izmeklēšanai tika piešķirta novēloti, proti, tikai martā, lai gan referents bija pieprasījis piekļuvi 2024. gada decembrī, — </w:t>
      </w:r>
      <w:r w:rsidRPr="004F3E65">
        <w:rPr>
          <w:i/>
          <w:iCs/>
        </w:rPr>
        <w:t>OLAF</w:t>
      </w:r>
      <w:r w:rsidRPr="004F3E65">
        <w:t xml:space="preserve"> atbildē bija minēti Eiropas Savienības Patvēruma aģentūras valdes iebildumi; uzstāj, ka piekļuvi ziņojumam CONT komitejas locekļiem būtu bijis jāpiešķir agrāk, lai garantētu viņu pilnvaru pienācīgu īstenošanu;</w:t>
      </w:r>
    </w:p>
    <w:p w14:paraId="00DA481F" w14:textId="77777777" w:rsidR="00AF43DC" w:rsidRPr="004F3E65" w:rsidRDefault="00AF43DC" w:rsidP="00AF43DC">
      <w:pPr>
        <w:pStyle w:val="NormalHanging12a"/>
      </w:pPr>
      <w:r w:rsidRPr="004F3E65">
        <w:t>5.</w:t>
      </w:r>
      <w:r w:rsidRPr="004F3E65">
        <w:tab/>
        <w:t xml:space="preserve">apzinās, ka </w:t>
      </w:r>
      <w:r w:rsidRPr="004F3E65">
        <w:rPr>
          <w:i/>
          <w:iCs/>
        </w:rPr>
        <w:t>OLAF</w:t>
      </w:r>
      <w:r w:rsidRPr="004F3E65">
        <w:t xml:space="preserve"> izmeklēšanu veic nepārtraukti laikposmā, kam jābūt samērīgam ar lietas apstākļiem un sarežģītību; pauž bažas par </w:t>
      </w:r>
      <w:r w:rsidRPr="004F3E65">
        <w:rPr>
          <w:i/>
          <w:iCs/>
        </w:rPr>
        <w:t>OLAF</w:t>
      </w:r>
      <w:r w:rsidRPr="004F3E65">
        <w:t xml:space="preserve"> veikto izmeklēšanu ilgumu, jo tas mazina budžeta izpildes apstiprinātājiestādes spēju efektīvi izvērtēt izmeklēšanā konstatēto; uzstāj, ka savlaicīgai izmeklēšanai ir izšķiroša nozīme efektīvas Parlamenta īstenotas pārraudzības saglabāšanā; aicina </w:t>
      </w:r>
      <w:r w:rsidRPr="004F3E65">
        <w:rPr>
          <w:i/>
          <w:iCs/>
        </w:rPr>
        <w:t>OLAF</w:t>
      </w:r>
      <w:r w:rsidRPr="004F3E65">
        <w:t xml:space="preserve"> pārskatīt un paātrināt izmeklēšanas procedūru un izmeklēšanā izdarīto konstatējumu nodošanu budžeta izpildes apstiprinātājiestādei; uzsver, ka šāda kavēšanās mazina CONT komitejas locekļu spēju efektīvi īstenot savas pārraudzības pilnvaras, un aicina veikt pasākumus, lai nākotnē nodrošinātu ātru piekļuvi izmeklēšanas ziņojumiem;</w:t>
      </w:r>
    </w:p>
    <w:p w14:paraId="510D6ED4" w14:textId="77777777" w:rsidR="00AF43DC" w:rsidRPr="004F3E65" w:rsidRDefault="00AF43DC" w:rsidP="00AF43DC">
      <w:pPr>
        <w:pStyle w:val="NormalHanging12a"/>
      </w:pPr>
      <w:r w:rsidRPr="004F3E65">
        <w:t>6.</w:t>
      </w:r>
      <w:r w:rsidRPr="004F3E65">
        <w:tab/>
        <w:t xml:space="preserve">uzsver, ka Savienības budžeta aizsardzībai arī turpmāk jābūt pareizas finanšu pārvaldības pamatvērtībai un ka tā ir jāievēro visām Savienības iestādēm, tostarp aģentūrām un decentralizētajām struktūrām, kurām ir jārāda nepārprotams atbildības un pārredzamības piemērs Eiropas publisko līdzekļu izmantošanā; atkārtoti norāda, ka iestāžu krāpšanas apkarošanas sistēmā ir jāstiprina koordinācija un sadarbība, jo īpaši lai varētu risināt nepieciešamību pēc ātrākām un efektīvākām </w:t>
      </w:r>
      <w:r w:rsidRPr="004F3E65">
        <w:rPr>
          <w:i/>
          <w:iCs/>
        </w:rPr>
        <w:t>OLAF</w:t>
      </w:r>
      <w:r w:rsidRPr="004F3E65">
        <w:t xml:space="preserve"> izmeklēšanām, tādējādi saskaņojot šos centienus ar vispārējo mērķi aizsargāt Savienības finanses;</w:t>
      </w:r>
    </w:p>
    <w:p w14:paraId="0B61A33F" w14:textId="77777777" w:rsidR="00AF43DC" w:rsidRPr="004F3E65" w:rsidRDefault="00AF43DC" w:rsidP="00AF43DC">
      <w:pPr>
        <w:pStyle w:val="NormalHanging12a"/>
      </w:pPr>
      <w:r w:rsidRPr="004F3E65">
        <w:t>7.</w:t>
      </w:r>
      <w:r w:rsidRPr="004F3E65">
        <w:tab/>
        <w:t xml:space="preserve">aicina Aģentūru un </w:t>
      </w:r>
      <w:r w:rsidRPr="004F3E65">
        <w:rPr>
          <w:i/>
          <w:iCs/>
        </w:rPr>
        <w:t>OLAF</w:t>
      </w:r>
      <w:r w:rsidRPr="004F3E65">
        <w:t xml:space="preserve"> pārredzamības un sabiedrības uzticēšanās labad, ciktāl tas juridiski iespējams, darīt publiski pieejamu anonimizētu </w:t>
      </w:r>
      <w:r w:rsidRPr="004F3E65">
        <w:rPr>
          <w:i/>
          <w:iCs/>
        </w:rPr>
        <w:t>OLAF</w:t>
      </w:r>
      <w:r w:rsidRPr="004F3E65">
        <w:t xml:space="preserve"> ziņojuma kopsavilkumu;</w:t>
      </w:r>
    </w:p>
    <w:p w14:paraId="3BC059DD" w14:textId="77777777" w:rsidR="00AF43DC" w:rsidRPr="004F3E65" w:rsidRDefault="00AF43DC" w:rsidP="00AF43DC">
      <w:pPr>
        <w:pStyle w:val="NormalHanging12a"/>
      </w:pPr>
      <w:r w:rsidRPr="004F3E65">
        <w:t>8.</w:t>
      </w:r>
      <w:r w:rsidRPr="004F3E65">
        <w:tab/>
        <w:t xml:space="preserve">pieņem zināšanai, ka </w:t>
      </w:r>
      <w:r w:rsidRPr="004F3E65">
        <w:rPr>
          <w:i/>
          <w:iCs/>
        </w:rPr>
        <w:t>OLAF</w:t>
      </w:r>
      <w:r w:rsidRPr="004F3E65">
        <w:t xml:space="preserve"> pēc izmeklēšanas sniedza disciplinārus un administratīvus ieteikumus;</w:t>
      </w:r>
    </w:p>
    <w:p w14:paraId="5D44530B" w14:textId="77777777" w:rsidR="00AF43DC" w:rsidRPr="004F3E65" w:rsidRDefault="00AF43DC" w:rsidP="00AF43DC">
      <w:pPr>
        <w:pStyle w:val="NormalHanging12a"/>
      </w:pPr>
      <w:r w:rsidRPr="004F3E65">
        <w:t>9.</w:t>
      </w:r>
      <w:r w:rsidRPr="004F3E65">
        <w:tab/>
        <w:t>konstatē, ka, veicot turpmākus pasākumus attiecībā uz disciplinārajiem ieteikumiem, valde nolēma nesākt disciplinārlietu un tā vietā sniedza rakstiskus ieteikumus ar brīdinājumu un pieprasīja izpilddirektorei konkrētus korektīvu pasākumu priekšlikumus un grafiku to īstenošanai pēc iespējas drīzāk; pieņem zināšanai, ka saskaņā ar šo pieprasījumu izpilddirektore ir iesniegusi valdei šādus dokumentus, tostarp:</w:t>
      </w:r>
    </w:p>
    <w:p w14:paraId="2132AC15" w14:textId="77777777" w:rsidR="00AF43DC" w:rsidRPr="004F3E65" w:rsidRDefault="00AF43DC" w:rsidP="00AF43DC">
      <w:pPr>
        <w:pStyle w:val="NormalHanging12a"/>
        <w:ind w:left="927" w:hanging="360"/>
      </w:pPr>
      <w:r w:rsidRPr="004F3E65">
        <w:t>–</w:t>
      </w:r>
      <w:r w:rsidRPr="004F3E65">
        <w:tab/>
        <w:t>valdes sniegtos ieteikumus,</w:t>
      </w:r>
    </w:p>
    <w:p w14:paraId="3000685D" w14:textId="77777777" w:rsidR="00AF43DC" w:rsidRPr="004F3E65" w:rsidRDefault="00AF43DC" w:rsidP="00AF43DC">
      <w:pPr>
        <w:pStyle w:val="NormalHanging12a"/>
        <w:ind w:left="927" w:hanging="360"/>
      </w:pPr>
      <w:r w:rsidRPr="004F3E65">
        <w:t>–</w:t>
      </w:r>
      <w:r w:rsidRPr="004F3E65">
        <w:tab/>
        <w:t>aprakstu par to, kāda pašreiz Aģentūrā ir situācija attiecībā uz katru ieteikumu, kā arī</w:t>
      </w:r>
    </w:p>
    <w:p w14:paraId="1AB07D3F" w14:textId="77777777" w:rsidR="00AF43DC" w:rsidRPr="004F3E65" w:rsidRDefault="00AF43DC" w:rsidP="00AF43DC">
      <w:pPr>
        <w:pStyle w:val="NormalHanging12a"/>
        <w:ind w:left="927" w:hanging="360"/>
      </w:pPr>
      <w:r w:rsidRPr="004F3E65">
        <w:t>–</w:t>
      </w:r>
      <w:r w:rsidRPr="004F3E65">
        <w:tab/>
        <w:t>īstenojamos papildu korektīvos pasākumus un provizorisku to īstenošanas grafiku; aicina valdi veikt turpmākus pasākumus saistībā ar ieteikumiem un ziņot budžeta izpildes apstiprinātājiestādei par to pilnīgu un savlaicīgu īstenošanu;</w:t>
      </w:r>
    </w:p>
    <w:p w14:paraId="7FC19BF8" w14:textId="0A2916A6" w:rsidR="00AF43DC" w:rsidRPr="004F3E65" w:rsidRDefault="00AF43DC" w:rsidP="00AF43DC">
      <w:pPr>
        <w:pStyle w:val="NormalHanging12a"/>
      </w:pPr>
      <w:r w:rsidRPr="004F3E65">
        <w:lastRenderedPageBreak/>
        <w:t>10.</w:t>
      </w:r>
      <w:r w:rsidRPr="004F3E65">
        <w:tab/>
        <w:t xml:space="preserve">pauž nožēlu par to, ka valde pēc intensīvām apspriedēm ir nolēmusi neīstenot </w:t>
      </w:r>
      <w:r w:rsidRPr="004F3E65">
        <w:rPr>
          <w:i/>
          <w:iCs/>
        </w:rPr>
        <w:t>OLAF</w:t>
      </w:r>
      <w:r w:rsidRPr="004F3E65">
        <w:t xml:space="preserve"> disciplināros ieteikumus, tostarp ieteikumu sākt disciplinārlietu pret </w:t>
      </w:r>
      <w:r w:rsidR="00AC6962" w:rsidRPr="004F3E65">
        <w:t xml:space="preserve">Eiropas Savienības Patvēruma aģentūras </w:t>
      </w:r>
      <w:r w:rsidRPr="004F3E65">
        <w:t xml:space="preserve">izpilddirektori vai citiem Aģentūras darbiniekiem, neraugoties uz </w:t>
      </w:r>
      <w:r w:rsidRPr="004F3E65">
        <w:rPr>
          <w:i/>
          <w:iCs/>
        </w:rPr>
        <w:t>OLAF</w:t>
      </w:r>
      <w:r w:rsidRPr="004F3E65">
        <w:t xml:space="preserve"> būtiskajiem konstatējumiem par pārkāpumiem, kas šķiet sistemātiski un mazina uzticēšanos Aģentūras vadībai; uzsver, ka šis lēmums liek apšaubīt valdes apņemšanos nodrošināt pārskatatbildību un atbildību atbilstoši institucionāli gaidītajam, un pieņem zināšanai valdes apzināto izvēli neīstenot ieteikumus pēc izvirzīto problēmu izskatīšanas; uzsver, ka Parlaments arī turpmāk īpašu uzmanību pievērsīs īstenotajiem korektīvajiem pasākumiem; cer, ka Aģentūra demonstrēs priekšzīmīgu turpmāko rīcību, augstus standartus, nepārprotamu atbildību attiecībā uz korektīvo pasākumu īstenošanu un pilnīgu pārskatatbildību; aicina Aģentūru nodrošināt pārredzamu ziņošanu Parlamentam, cita starpā darot Parlamentam pieejamus valdes apspriežu protokolus, lai stiprinātu parlamentāro pārraudzību;</w:t>
      </w:r>
    </w:p>
    <w:p w14:paraId="4189813D" w14:textId="77777777" w:rsidR="00AF43DC" w:rsidRPr="004F3E65" w:rsidRDefault="00AF43DC" w:rsidP="00AF43DC">
      <w:pPr>
        <w:pStyle w:val="NormalHanging12a"/>
      </w:pPr>
      <w:r w:rsidRPr="004F3E65">
        <w:t>11.</w:t>
      </w:r>
      <w:r w:rsidRPr="004F3E65">
        <w:tab/>
        <w:t xml:space="preserve">norāda, ka izpilddirektore ir sagatavojusi dokumentu “Vision Statement on leadership implementing the changes in EUAA” (Paziņojums par redzējumu attiecībā uz vadību pārmaiņu īstenošanā </w:t>
      </w:r>
      <w:r w:rsidRPr="004F3E65">
        <w:rPr>
          <w:i/>
          <w:iCs/>
        </w:rPr>
        <w:t>EUAA</w:t>
      </w:r>
      <w:r w:rsidRPr="004F3E65">
        <w:t>), kurā iekļauti īstenotie un īstenojamie korektīvie pasākumi; prasa Aģentūrai informēt budžeta izpildes apstiprinātājiestādi par īstenotajiem un īstenojamajiem korektīvajiem pasākumiem, kā arī to īstenošanas termiņiem;</w:t>
      </w:r>
    </w:p>
    <w:p w14:paraId="532FDCA6" w14:textId="77777777" w:rsidR="00AF43DC" w:rsidRPr="004F3E65" w:rsidRDefault="00AF43DC" w:rsidP="00AF43DC">
      <w:pPr>
        <w:pStyle w:val="NormalHanging12a"/>
      </w:pPr>
      <w:r w:rsidRPr="004F3E65">
        <w:t>12.</w:t>
      </w:r>
      <w:r w:rsidRPr="004F3E65">
        <w:tab/>
        <w:t>pauž bažas par to, ka administratīvie ieteikumi attiecās uz darbinieku novērtēšanu, ko veic sektoru vadītāji, nevis nodaļu vadītāji, kā arī uz trūkumiem interešu konfliktu pārvaldībā Aģentūrā;</w:t>
      </w:r>
    </w:p>
    <w:p w14:paraId="6E309DD3" w14:textId="77777777" w:rsidR="00AF43DC" w:rsidRPr="004F3E65" w:rsidRDefault="00AF43DC" w:rsidP="00AF43DC">
      <w:pPr>
        <w:pStyle w:val="NormalHanging12a"/>
      </w:pPr>
      <w:r w:rsidRPr="004F3E65">
        <w:t>13.</w:t>
      </w:r>
      <w:r w:rsidRPr="004F3E65">
        <w:tab/>
        <w:t>atzinīgi vērtē to, ka no 2025. gada personāla novērtējumus veiks nodaļu vadītāji, kā paredzēts piemērojamajos noteikumos;</w:t>
      </w:r>
    </w:p>
    <w:p w14:paraId="5A239978" w14:textId="77777777" w:rsidR="00AF43DC" w:rsidRPr="004F3E65" w:rsidRDefault="00AF43DC" w:rsidP="00AF43DC">
      <w:pPr>
        <w:pStyle w:val="NormalHanging12a"/>
      </w:pPr>
      <w:r w:rsidRPr="004F3E65">
        <w:t>14.</w:t>
      </w:r>
      <w:r w:rsidRPr="004F3E65">
        <w:tab/>
        <w:t>stingri nosoda nepilnības interešu konfliktu pārvaldībā Aģentūrā, jo īpaši kļūdas valdes veiktajā sūdzību izskatīšanā attiecībā uz izpilddirektores pieņemtajiem lēmumiem; uzstāj, ka šāda prakse mazina Aģentūras godprātību un uzticamību; aicina Aģentūru nekavējoties informēt budžeta izpildes apstiprinātājiestādi par ieviestajiem korektīvajiem pasākumiem un organizatoriskajām izmaiņām; uzsver, ka par pieņemamu tiks uzskatīta tikai stabila un priekšzīmīga interešu konfliktu pārvaldības sistēma;</w:t>
      </w:r>
    </w:p>
    <w:p w14:paraId="22C36723" w14:textId="77777777" w:rsidR="00AF43DC" w:rsidRPr="004F3E65" w:rsidRDefault="00AF43DC" w:rsidP="00AF43DC">
      <w:pPr>
        <w:pStyle w:val="NormalHanging12a"/>
      </w:pPr>
      <w:r w:rsidRPr="004F3E65">
        <w:t>15.</w:t>
      </w:r>
      <w:r w:rsidRPr="004F3E65">
        <w:tab/>
        <w:t>norāda, ka gan valde, gan izpilddirektore ir atzinusi konkrēto aizrādījumu un attiecīgo problēmu nopietnību; pieņem zināšanai, ka izpilddirektore tomēr ir paudusi skepsi un atsaukusies uz ārkārtas darba slodzi krīžu laikā, ko nevar izmantot kā pamatojumu konstatēto pārkāpumu noraidīšanai; uzskata, ka pārkāpumu atzīšanai ir jāiet rokrokā ar izlēmīgiem korektīviem pasākumiem, savlaicīgu īstenošanu un pilnīgu pārskatatbildību attiecībā uz budžeta izpildes apstiprinātājiestādi;</w:t>
      </w:r>
    </w:p>
    <w:p w14:paraId="3D587BB0" w14:textId="77777777" w:rsidR="00AF43DC" w:rsidRPr="004F3E65" w:rsidRDefault="00AF43DC" w:rsidP="00AF43DC">
      <w:pPr>
        <w:pStyle w:val="NormalHanging12a"/>
      </w:pPr>
      <w:r w:rsidRPr="004F3E65">
        <w:t>16.</w:t>
      </w:r>
      <w:r w:rsidRPr="004F3E65">
        <w:tab/>
        <w:t>ar bažām norāda uz atkārtoto nevarīgumu pārvaldībā, tostarp valdes nespēju veikt savlaicīgu un efektīvu pārraudzību; pauž nožēlu par to, ka vairākus pārkāpumus būtu bijis iespējams novērst, ja būtu bijusi labāka iekšējā kontrole un valde būtu proaktīvi iesaistījusies; uzstāj, ka šis institucionālais nevarīgums ir jārisina ne vien procesuāli, bet strukturāli;</w:t>
      </w:r>
    </w:p>
    <w:p w14:paraId="068DDDD7" w14:textId="65569FF1" w:rsidR="00AF43DC" w:rsidRPr="004F3E65" w:rsidRDefault="00AF43DC" w:rsidP="00AF43DC">
      <w:pPr>
        <w:pStyle w:val="NormalHanging12a"/>
      </w:pPr>
      <w:r w:rsidRPr="004F3E65">
        <w:t>17.</w:t>
      </w:r>
      <w:r w:rsidRPr="004F3E65">
        <w:tab/>
        <w:t xml:space="preserve">pauž nožēlu par sliktas pārvaldības problēmām, jo īpaši cilvēkresursu jomā, kurā notiek nopietni pārkāpumi, konkrēti, iecelšanas un atlases procedūrās, kas tiek īstenotas neatbilstoši Civildienesta noteikumiem un Savienības pārējo darbinieku nodarbināšanas kārtībai; apzinās, ka laikposmā no 2019. gada līdz 2022. gadam Aģentūra saskārās ar </w:t>
      </w:r>
      <w:r w:rsidRPr="004F3E65">
        <w:lastRenderedPageBreak/>
        <w:t xml:space="preserve">tādiem sarežģītiem apstākļiem kā Covid-19 pandēmija, Pagaidu aizsardzības direktīvas aktivizēšana un </w:t>
      </w:r>
      <w:r w:rsidR="00AC6962" w:rsidRPr="004F3E65">
        <w:t>Aģentūras</w:t>
      </w:r>
      <w:r w:rsidRPr="004F3E65">
        <w:t xml:space="preserve"> regulas</w:t>
      </w:r>
      <w:r w:rsidR="008E4874" w:rsidRPr="004F3E65">
        <w:rPr>
          <w:rStyle w:val="FootnoteReference"/>
        </w:rPr>
        <w:footnoteReference w:id="17"/>
      </w:r>
      <w:r w:rsidRPr="004F3E65">
        <w:t xml:space="preserve"> stāšanās spēkā, kas radīja jaunas pilnvaras, kompetences un pienākumus; tomēr noraida jebkādus mēģinājumus šādus apstākļus izmantot kā pamatojumu saistošo tiesību aktu neievērošanai; aicina Aģentūru, pieņemot darbā, pilnībā ievērot piemērojamos noteikumus un uzstāj, ka ir jāpieņem stingras, pārredzamas un uz nopelniem balstītas procedūras, kuras jāpapildina ar izpildāmām pamatnostādnēm un kuras cieši jāuzrauga budžeta izpildes apstiprinātājiestādei;</w:t>
      </w:r>
    </w:p>
    <w:p w14:paraId="0B843EDA" w14:textId="77777777" w:rsidR="00AF43DC" w:rsidRPr="004F3E65" w:rsidRDefault="00AF43DC" w:rsidP="00AF43DC">
      <w:pPr>
        <w:pStyle w:val="NormalHanging12a"/>
      </w:pPr>
      <w:r w:rsidRPr="004F3E65">
        <w:t>18.</w:t>
      </w:r>
      <w:r w:rsidRPr="004F3E65">
        <w:tab/>
        <w:t xml:space="preserve">atzinīgi vērtē to, ka no 2023. gada janvāra ir pārtraukta vadītāju </w:t>
      </w:r>
      <w:r w:rsidRPr="004F3E65">
        <w:rPr>
          <w:i/>
        </w:rPr>
        <w:t>ad interim</w:t>
      </w:r>
      <w:r w:rsidRPr="004F3E65">
        <w:t xml:space="preserve"> iecelšanas prakse;</w:t>
      </w:r>
    </w:p>
    <w:p w14:paraId="6B6BD815" w14:textId="77777777" w:rsidR="00AF43DC" w:rsidRPr="004F3E65" w:rsidRDefault="00AF43DC" w:rsidP="00AF43DC">
      <w:pPr>
        <w:pStyle w:val="NormalHanging12a"/>
      </w:pPr>
      <w:r w:rsidRPr="004F3E65">
        <w:t>19.</w:t>
      </w:r>
      <w:r w:rsidRPr="004F3E65">
        <w:tab/>
        <w:t>atgādina, ka viens no galvenajiem valdes pienākumiem ir sniegt vispārēju ievirzi Aģentūras darbībām un nodrošināt, ka Aģentūra efektīvi pilda savas pilnvaras; uzskata — lai sniegtu vispārēju ievirzi, valdei ir jābūt zinošai un pienācīgi informētai par tiesību aktiem, kas piemērojami Aģentūrai, kā arī par būtiskām norisēm Aģentūras pārvaldībā; pauž nožēlu par vairākkārt konstatētajām nepilnībām šajā jomā un aicina Aģentūru izveidot efektīvas, sistemātiskas un pārredzamas procedūras saziņai ar valdi;</w:t>
      </w:r>
    </w:p>
    <w:p w14:paraId="234D81E3" w14:textId="77777777" w:rsidR="00AF43DC" w:rsidRPr="004F3E65" w:rsidRDefault="00AF43DC" w:rsidP="00AF43DC">
      <w:pPr>
        <w:pStyle w:val="NormalHanging12a"/>
      </w:pPr>
      <w:r w:rsidRPr="004F3E65">
        <w:t>20.</w:t>
      </w:r>
      <w:r w:rsidRPr="004F3E65">
        <w:tab/>
        <w:t>aicina Eiropas Komisiju, kuru valdē pārstāv divi locekļi, aktīvi atbalstīt pārējos valdes locekļus un palīdzēt viņiem Aģentūrai piemērojamo noteikumu izprašanā, kā arī apzināt šajā lietā gūtās atziņas un, izvēršot pārkāpumu novēršanas centienus, izplatīt šīs atziņas plašāk; aicina Aģentūru ziņot budžeta izpildes apstiprinātājiestādei par pasākumiem, kas veikti, lai uzlabotu saziņu ar valdi;</w:t>
      </w:r>
    </w:p>
    <w:p w14:paraId="6F7C9670" w14:textId="77777777" w:rsidR="00AF43DC" w:rsidRPr="004F3E65" w:rsidRDefault="00AF43DC" w:rsidP="00AF43DC">
      <w:pPr>
        <w:pStyle w:val="NormalHanging12a"/>
      </w:pPr>
      <w:r w:rsidRPr="004F3E65">
        <w:t>21.</w:t>
      </w:r>
      <w:r w:rsidRPr="004F3E65">
        <w:tab/>
        <w:t>atzinīgi vērtē ierosinājumu, ko Komisija paudusi viedokļu apmaiņā, par iespēju decentralizētajās aģentūrās dažās horizontālajās jomās izmantot Kopīgos dienestus, jo tas palīdzētu labāk pārvaldīt procesus un efektīvāk izmantot resursus; mudina Komisiju šo iespēju izpētīt un šajā sakarībā ierosināt konkrētus pasākumus;</w:t>
      </w:r>
    </w:p>
    <w:p w14:paraId="19A430A4" w14:textId="77777777" w:rsidR="00AF43DC" w:rsidRPr="004F3E65" w:rsidRDefault="00AF43DC" w:rsidP="00AF43DC">
      <w:pPr>
        <w:pStyle w:val="NormalHanging12a"/>
      </w:pPr>
      <w:r w:rsidRPr="004F3E65">
        <w:t>22.</w:t>
      </w:r>
      <w:r w:rsidRPr="004F3E65">
        <w:tab/>
        <w:t>aicina Aģentūru izveidot neatkarīgu iekšējās ētikas funkciju un uzsver, ka ir svarīgi ieviest stingrus trauksmes cēlēju aizsardzības noteikumus saskaņā ar Direktīvu (ES) 2019/1937; uzsver, ka iekšējiem ziņošanas kanāliem jābūt konfidenciāliem, uzticamiem un tādiem, kas vieš uzticību visu līmeņu darbiniekiem;</w:t>
      </w:r>
    </w:p>
    <w:p w14:paraId="4AEAB10F" w14:textId="77777777" w:rsidR="00AF43DC" w:rsidRPr="004F3E65" w:rsidRDefault="00AF43DC" w:rsidP="00AF43DC">
      <w:pPr>
        <w:pStyle w:val="NormalHanging12a"/>
      </w:pPr>
      <w:r w:rsidRPr="004F3E65">
        <w:t>23.</w:t>
      </w:r>
      <w:r w:rsidRPr="004F3E65">
        <w:tab/>
        <w:t xml:space="preserve">uzsver — lai gan daži atgadījumi notika 2021. gadā, 2022. gadā un vēl agrāk, </w:t>
      </w:r>
      <w:r w:rsidRPr="004F3E65">
        <w:rPr>
          <w:i/>
          <w:iCs/>
        </w:rPr>
        <w:t>OLAF</w:t>
      </w:r>
      <w:r w:rsidRPr="004F3E65">
        <w:t xml:space="preserve"> veiktā izmeklēšana noslēdzās tikai 2024. gadā; uzsver, ka šīs problēmas vēl nevar uzskatīt par pilnībā atrisinātām; uzsver, ka budžeta izpildes apstiprinātājiestādei ir visas tiesības pildīt savus pārraudzības pienākumus līdz brīdim, kad situācija būs pilnībā novērsta un noskaidrota; aicina izpilddirektori un valdi atzīt un novērst jebkādus strukturālus trūkumus gan Aģentūras cilvēkresursu pārvaldībā, gan valdes pārraudzības funkcijās un veikt efektīvus pasākumus, lai novērstu līdzīgu problēmu atkārtošanos, un patur tiesības atlikt turpmāku lēmumu pieņemšanu par budžeta izpildes apstiprināšanu vai izvirzīt nosacījumus attiecībā uz šādiem turpmākiem lēmumiem, ja Aģentūra nebūs īstenojusi pilnīgu strukturālo reformu;</w:t>
      </w:r>
    </w:p>
    <w:p w14:paraId="2897701B" w14:textId="77777777" w:rsidR="00AF43DC" w:rsidRPr="004F3E65" w:rsidRDefault="00AF43DC" w:rsidP="00AF43DC">
      <w:pPr>
        <w:pStyle w:val="NormalHanging12a"/>
      </w:pPr>
      <w:r w:rsidRPr="004F3E65">
        <w:t>24.</w:t>
      </w:r>
      <w:r w:rsidRPr="004F3E65">
        <w:tab/>
        <w:t xml:space="preserve">ar īpašām bažām norāda uz ārkārtīgi biežo kadru mainību, kas minēta </w:t>
      </w:r>
      <w:r w:rsidRPr="004F3E65">
        <w:rPr>
          <w:i/>
          <w:iCs/>
        </w:rPr>
        <w:t>OLAF</w:t>
      </w:r>
      <w:r w:rsidRPr="004F3E65">
        <w:t xml:space="preserve"> ziņojumā, un vadības nespēju pienācīgi izskaidrot šīs mainības iemeslu; aicina izpilddirektori un </w:t>
      </w:r>
      <w:r w:rsidRPr="004F3E65">
        <w:lastRenderedPageBreak/>
        <w:t>valdi — jo īpaši Komisijas pārstāvjus tajā — ieviest sistemātiskas noslēdzošās pārrunas ar visiem aizejošajiem darbiniekiem, plaši dokumentēt konstatējumus un ziņot budžeta izpildes apstiprinātājiestādei par rezultātiem un progresu, kas šajā ziņā panākts saistībā ar 2024. gada budžeta izpildes apstiprināšanas procedūru;</w:t>
      </w:r>
    </w:p>
    <w:p w14:paraId="54B4859D" w14:textId="77777777" w:rsidR="00AF43DC" w:rsidRPr="004F3E65" w:rsidRDefault="00AF43DC" w:rsidP="00AF43DC">
      <w:pPr>
        <w:pStyle w:val="NormalHanging12a"/>
      </w:pPr>
      <w:r w:rsidRPr="004F3E65">
        <w:t>25.</w:t>
      </w:r>
      <w:r w:rsidRPr="004F3E65">
        <w:tab/>
        <w:t>atzinīgi vērtē Aģentūras darbinieku atdevi un apņemšanos pildīt savus uzdevumus, neraugoties uz sarežģītajiem apstākļiem; uzskata, ka ir būtiski veicināt pozitīvu darba vidi, veicinot labu praksi cilvēkresursu līmenī un atalgojot sniegumu pēc nopelniem; mudina valdi un izpilddirektori nodrošināt, ka Aģentūra ir droša un atbalstoša darba vieta, kas veicina atklātu saziņu un dod cilvēkiem iespēju izteikties bez bailēm no represijām; aicina Aģentūru nodrošināt, ka visi ziņojumi par pārkāpumiem saistībā ar profesionālo darbību tiek uztverti nopietni un rūpīgi izmeklēti un ka tāpēc tiek veikti atbilstoši turpmākie pasākumi, lai organizācijā saglabātu godprātību un uzticēšanos;</w:t>
      </w:r>
    </w:p>
    <w:p w14:paraId="2C76AEA7" w14:textId="77777777" w:rsidR="00AF43DC" w:rsidRPr="004F3E65" w:rsidRDefault="00AF43DC" w:rsidP="00AF43DC">
      <w:pPr>
        <w:pStyle w:val="NormalHanging12a"/>
        <w:jc w:val="center"/>
      </w:pPr>
      <w:r w:rsidRPr="004F3E65">
        <w:t>°</w:t>
      </w:r>
    </w:p>
    <w:p w14:paraId="6017159B" w14:textId="77777777" w:rsidR="00AF43DC" w:rsidRPr="004F3E65" w:rsidRDefault="00AF43DC" w:rsidP="00AF43DC">
      <w:pPr>
        <w:pStyle w:val="NormalHanging12a"/>
        <w:jc w:val="center"/>
      </w:pPr>
      <w:r w:rsidRPr="004F3E65">
        <w:t>°</w:t>
      </w:r>
      <w:r w:rsidRPr="004F3E65">
        <w:tab/>
        <w:t>°</w:t>
      </w:r>
    </w:p>
    <w:p w14:paraId="70A4CC73" w14:textId="4636162E" w:rsidR="00E25045" w:rsidRPr="004F3E65" w:rsidRDefault="00AF43DC" w:rsidP="00E25045">
      <w:pPr>
        <w:pStyle w:val="CM1"/>
        <w:spacing w:before="120" w:after="120"/>
        <w:ind w:left="567" w:hanging="567"/>
      </w:pPr>
      <w:r w:rsidRPr="004F3E65">
        <w:rPr>
          <w:rFonts w:ascii="Times New Roman" w:hAnsi="Times New Roman"/>
          <w:snapToGrid w:val="0"/>
        </w:rPr>
        <w:t>26.</w:t>
      </w:r>
      <w:r w:rsidRPr="004F3E65">
        <w:rPr>
          <w:rFonts w:ascii="Times New Roman" w:hAnsi="Times New Roman"/>
          <w:snapToGrid w:val="0"/>
        </w:rPr>
        <w:tab/>
        <w:t>attiecībā uz pārējiem konstatējumiem atsaucas uz savu 2025. gada 7. maija rezolūciju</w:t>
      </w:r>
      <w:r w:rsidRPr="004F3E65">
        <w:rPr>
          <w:rStyle w:val="FootnoteReference"/>
          <w:rFonts w:ascii="Times New Roman" w:hAnsi="Times New Roman"/>
          <w:snapToGrid w:val="0"/>
        </w:rPr>
        <w:footnoteReference w:id="18"/>
      </w:r>
      <w:r w:rsidRPr="004F3E65">
        <w:rPr>
          <w:rFonts w:ascii="Times New Roman" w:hAnsi="Times New Roman"/>
          <w:snapToGrid w:val="0"/>
        </w:rPr>
        <w:t xml:space="preserve"> ar konstatējumiem, kas ir neatņemama daļa no lēmumiem par Eiropas Savienības aģentūru budžeta izpildes apstiprināšanu.</w:t>
      </w:r>
    </w:p>
    <w:p w14:paraId="6D6C2705" w14:textId="1F18DE5B" w:rsidR="00E365E1" w:rsidRPr="004F3E65" w:rsidRDefault="00E365E1" w:rsidP="00F12AA7"/>
    <w:sectPr w:rsidR="00E365E1" w:rsidRPr="004F3E65" w:rsidSect="00E25045">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08E1E" w14:textId="77777777" w:rsidR="00F12AA7" w:rsidRPr="00E25045" w:rsidRDefault="00F12AA7">
      <w:r w:rsidRPr="00E25045">
        <w:separator/>
      </w:r>
    </w:p>
  </w:endnote>
  <w:endnote w:type="continuationSeparator" w:id="0">
    <w:p w14:paraId="04144EC1" w14:textId="77777777" w:rsidR="00F12AA7" w:rsidRPr="00E25045" w:rsidRDefault="00F12AA7">
      <w:r w:rsidRPr="00E250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C4BAD" w14:textId="77777777" w:rsidR="00E25045" w:rsidRPr="00E25045" w:rsidRDefault="00E250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7DC9" w14:textId="77777777" w:rsidR="00E25045" w:rsidRPr="00E25045" w:rsidRDefault="00E250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1D837" w14:textId="77777777" w:rsidR="00AF43DC" w:rsidRPr="00E25045" w:rsidRDefault="00AF43DC" w:rsidP="00806EEE">
    <w:pPr>
      <w:pStyle w:val="EPFooter"/>
    </w:pPr>
    <w:r w:rsidRPr="00E25045">
      <w:rPr>
        <w:rStyle w:val="HideTWBExt"/>
      </w:rPr>
      <w:t>&lt;PathFdR&gt;</w:t>
    </w:r>
    <w:r w:rsidRPr="00E25045">
      <w:t>PR\1321847LV.docx</w:t>
    </w:r>
    <w:r w:rsidRPr="00E25045">
      <w:rPr>
        <w:rStyle w:val="HideTWBExt"/>
      </w:rPr>
      <w:t>&lt;/PathFdR&gt;</w:t>
    </w:r>
    <w:r w:rsidRPr="00E25045">
      <w:tab/>
    </w:r>
    <w:r w:rsidRPr="00E25045">
      <w:fldChar w:fldCharType="begin"/>
    </w:r>
    <w:r w:rsidRPr="00E25045">
      <w:instrText xml:space="preserve"> PAGE </w:instrText>
    </w:r>
    <w:r w:rsidRPr="00E25045">
      <w:fldChar w:fldCharType="separate"/>
    </w:r>
    <w:r w:rsidRPr="00E25045">
      <w:rPr>
        <w:noProof/>
      </w:rPr>
      <w:t>4</w:t>
    </w:r>
    <w:r w:rsidRPr="00E25045">
      <w:fldChar w:fldCharType="end"/>
    </w:r>
    <w:r w:rsidRPr="00E25045">
      <w:t>/</w:t>
    </w:r>
    <w:r w:rsidRPr="00E25045">
      <w:fldChar w:fldCharType="begin"/>
    </w:r>
    <w:r w:rsidRPr="00E25045">
      <w:instrText xml:space="preserve"> NUMPAGES </w:instrText>
    </w:r>
    <w:r w:rsidRPr="00E25045">
      <w:fldChar w:fldCharType="separate"/>
    </w:r>
    <w:r w:rsidRPr="00E25045">
      <w:rPr>
        <w:noProof/>
      </w:rPr>
      <w:t>11</w:t>
    </w:r>
    <w:r w:rsidRPr="00E25045">
      <w:rPr>
        <w:noProof/>
      </w:rPr>
      <w:fldChar w:fldCharType="end"/>
    </w:r>
    <w:r w:rsidRPr="00E25045">
      <w:tab/>
      <w:t>PE</w:t>
    </w:r>
    <w:r w:rsidRPr="00E25045">
      <w:rPr>
        <w:rStyle w:val="HideTWBExt"/>
      </w:rPr>
      <w:t>&lt;NoPE&gt;</w:t>
    </w:r>
    <w:r w:rsidRPr="00E25045">
      <w:t>774.259</w:t>
    </w:r>
    <w:r w:rsidRPr="00E25045">
      <w:rPr>
        <w:rStyle w:val="HideTWBExt"/>
      </w:rPr>
      <w:t>&lt;/NoPE&gt;&lt;Version&gt;</w:t>
    </w:r>
    <w:r w:rsidRPr="00E25045">
      <w:t>v01-00</w:t>
    </w:r>
    <w:r w:rsidRPr="00E25045">
      <w:rPr>
        <w:rStyle w:val="HideTWBExt"/>
      </w:rPr>
      <w:t>&lt;/Version&gt;</w:t>
    </w:r>
  </w:p>
  <w:p w14:paraId="337079A4" w14:textId="77777777" w:rsidR="00AF43DC" w:rsidRPr="00E25045" w:rsidRDefault="00AF43DC" w:rsidP="00806EEE">
    <w:pPr>
      <w:pStyle w:val="EPFooter2"/>
    </w:pPr>
    <w:r w:rsidRPr="00E25045">
      <w:tab/>
    </w:r>
    <w:r w:rsidRPr="00E25045">
      <w:tab/>
    </w:r>
    <w:r w:rsidRPr="00E25045">
      <w:fldChar w:fldCharType="begin"/>
    </w:r>
    <w:r w:rsidRPr="00E25045">
      <w:instrText xml:space="preserve"> DOCPROPERTY "&lt;Extension&gt;" </w:instrText>
    </w:r>
    <w:r w:rsidRPr="00E25045">
      <w:fldChar w:fldCharType="separate"/>
    </w:r>
    <w:r w:rsidRPr="00E25045">
      <w:t>LV</w:t>
    </w:r>
    <w:r w:rsidRPr="00E25045">
      <w:fldChar w:fldCharType="end"/>
    </w:r>
  </w:p>
  <w:p w14:paraId="7CF7633D" w14:textId="77777777" w:rsidR="00AF43DC" w:rsidRPr="00E25045" w:rsidRDefault="00AF43DC"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55EC2" w14:textId="77777777" w:rsidR="00AF43DC" w:rsidRPr="00E25045" w:rsidRDefault="00AF43DC" w:rsidP="00806EEE">
    <w:pPr>
      <w:pStyle w:val="EPFooter"/>
    </w:pPr>
    <w:r w:rsidRPr="00E25045">
      <w:rPr>
        <w:rStyle w:val="HideTWBExt"/>
        <w:rFonts w:eastAsiaTheme="majorEastAsia"/>
      </w:rPr>
      <w:t>&lt;PathFdR&gt;</w:t>
    </w:r>
    <w:r w:rsidRPr="00E25045">
      <w:t>PR\1321847LV.docx</w:t>
    </w:r>
    <w:r w:rsidRPr="00E25045">
      <w:rPr>
        <w:rStyle w:val="HideTWBExt"/>
        <w:rFonts w:eastAsiaTheme="majorEastAsia"/>
      </w:rPr>
      <w:t>&lt;/PathFdR&gt;</w:t>
    </w:r>
    <w:r w:rsidRPr="00E25045">
      <w:tab/>
    </w:r>
    <w:r w:rsidRPr="00E25045">
      <w:fldChar w:fldCharType="begin"/>
    </w:r>
    <w:r w:rsidRPr="00E25045">
      <w:instrText xml:space="preserve"> PAGE </w:instrText>
    </w:r>
    <w:r w:rsidRPr="00E25045">
      <w:fldChar w:fldCharType="separate"/>
    </w:r>
    <w:r w:rsidRPr="00E25045">
      <w:rPr>
        <w:noProof/>
      </w:rPr>
      <w:t>6</w:t>
    </w:r>
    <w:r w:rsidRPr="00E25045">
      <w:fldChar w:fldCharType="end"/>
    </w:r>
    <w:r w:rsidRPr="00E25045">
      <w:t>/</w:t>
    </w:r>
    <w:r w:rsidRPr="00E25045">
      <w:fldChar w:fldCharType="begin"/>
    </w:r>
    <w:r w:rsidRPr="00E25045">
      <w:instrText xml:space="preserve"> NUMPAGES </w:instrText>
    </w:r>
    <w:r w:rsidRPr="00E25045">
      <w:fldChar w:fldCharType="separate"/>
    </w:r>
    <w:r w:rsidRPr="00E25045">
      <w:rPr>
        <w:noProof/>
      </w:rPr>
      <w:t>11</w:t>
    </w:r>
    <w:r w:rsidRPr="00E25045">
      <w:rPr>
        <w:noProof/>
      </w:rPr>
      <w:fldChar w:fldCharType="end"/>
    </w:r>
    <w:r w:rsidRPr="00E25045">
      <w:tab/>
      <w:t>PE</w:t>
    </w:r>
    <w:r w:rsidRPr="00E25045">
      <w:rPr>
        <w:rStyle w:val="HideTWBExt"/>
        <w:rFonts w:eastAsiaTheme="majorEastAsia"/>
      </w:rPr>
      <w:t>&lt;NoPE&gt;</w:t>
    </w:r>
    <w:r w:rsidRPr="00E25045">
      <w:t>774.259</w:t>
    </w:r>
    <w:r w:rsidRPr="00E25045">
      <w:rPr>
        <w:rStyle w:val="HideTWBExt"/>
        <w:rFonts w:eastAsiaTheme="majorEastAsia"/>
      </w:rPr>
      <w:t>&lt;/NoPE&gt;&lt;Version&gt;</w:t>
    </w:r>
    <w:r w:rsidRPr="00E25045">
      <w:t>v01-00</w:t>
    </w:r>
    <w:r w:rsidRPr="00E25045">
      <w:rPr>
        <w:rStyle w:val="HideTWBExt"/>
        <w:rFonts w:eastAsiaTheme="majorEastAsia"/>
      </w:rPr>
      <w:t>&lt;/Version&gt;</w:t>
    </w:r>
  </w:p>
  <w:p w14:paraId="526111CA" w14:textId="77777777" w:rsidR="00AF43DC" w:rsidRPr="00E25045" w:rsidRDefault="00AF43DC" w:rsidP="00806EEE">
    <w:pPr>
      <w:pStyle w:val="EPFooter2"/>
    </w:pPr>
    <w:r w:rsidRPr="00E25045">
      <w:tab/>
    </w:r>
    <w:r w:rsidRPr="00E25045">
      <w:tab/>
    </w:r>
    <w:r w:rsidRPr="00E25045">
      <w:fldChar w:fldCharType="begin"/>
    </w:r>
    <w:r w:rsidRPr="00E25045">
      <w:instrText xml:space="preserve"> DOCPROPERTY "&lt;Extension&gt;" </w:instrText>
    </w:r>
    <w:r w:rsidRPr="00E25045">
      <w:fldChar w:fldCharType="separate"/>
    </w:r>
    <w:r w:rsidRPr="00E25045">
      <w:t>LV</w:t>
    </w:r>
    <w:r w:rsidRPr="00E25045">
      <w:fldChar w:fldCharType="end"/>
    </w:r>
  </w:p>
  <w:p w14:paraId="70F46000" w14:textId="77777777" w:rsidR="00AF43DC" w:rsidRPr="00E25045" w:rsidRDefault="00AF43DC"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AB8FE" w14:textId="77777777" w:rsidR="00064002" w:rsidRPr="00E2504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24B2D" w14:textId="77777777" w:rsidR="00064002" w:rsidRPr="00E25045"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A1778" w14:textId="77777777" w:rsidR="00064002" w:rsidRPr="00E250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2D499" w14:textId="77777777" w:rsidR="00F12AA7" w:rsidRPr="00E25045" w:rsidRDefault="00F12AA7">
      <w:r w:rsidRPr="00E25045">
        <w:separator/>
      </w:r>
    </w:p>
  </w:footnote>
  <w:footnote w:type="continuationSeparator" w:id="0">
    <w:p w14:paraId="1B119D8B" w14:textId="77777777" w:rsidR="00F12AA7" w:rsidRPr="00E25045" w:rsidRDefault="00F12AA7">
      <w:r w:rsidRPr="00E25045">
        <w:continuationSeparator/>
      </w:r>
    </w:p>
  </w:footnote>
  <w:footnote w:id="1">
    <w:p w14:paraId="3DC879C8" w14:textId="5A0D699D"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C, C/2024/6332, 24.10.2024., ELI: </w:t>
      </w:r>
      <w:hyperlink r:id="rId1" w:history="1">
        <w:r w:rsidRPr="00E25045">
          <w:rPr>
            <w:rStyle w:val="Hyperlink"/>
            <w:sz w:val="24"/>
            <w:lang w:val="lv-LV"/>
          </w:rPr>
          <w:t>http://data.europa.eu/eli/C/2024/6332/oj</w:t>
        </w:r>
      </w:hyperlink>
      <w:r w:rsidRPr="00E25045">
        <w:rPr>
          <w:sz w:val="24"/>
          <w:lang w:val="lv-LV"/>
        </w:rPr>
        <w:t>.</w:t>
      </w:r>
    </w:p>
  </w:footnote>
  <w:footnote w:id="2">
    <w:p w14:paraId="4EF4C459" w14:textId="359FD0A7" w:rsidR="00AF43DC" w:rsidRPr="00FA0422"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C, C/2024/6041, 10.10.2024., ELI: </w:t>
      </w:r>
      <w:hyperlink r:id="rId2" w:history="1">
        <w:r w:rsidRPr="00FA0422">
          <w:rPr>
            <w:rStyle w:val="Hyperlink"/>
            <w:sz w:val="24"/>
            <w:lang w:val="lv-LV"/>
          </w:rPr>
          <w:t>http://data.europa.eu/eli/C/2024/6041/oj</w:t>
        </w:r>
      </w:hyperlink>
      <w:r w:rsidRPr="00FA0422">
        <w:rPr>
          <w:sz w:val="24"/>
          <w:lang w:val="lv-LV"/>
        </w:rPr>
        <w:t>.</w:t>
      </w:r>
    </w:p>
  </w:footnote>
  <w:footnote w:id="3">
    <w:p w14:paraId="1F1D6A3E" w14:textId="332D64D4" w:rsidR="00AF43DC" w:rsidRPr="00E25045" w:rsidRDefault="00AF43DC" w:rsidP="00E25045">
      <w:pPr>
        <w:pStyle w:val="FootnoteText"/>
        <w:ind w:left="567" w:hanging="567"/>
        <w:rPr>
          <w:sz w:val="24"/>
          <w:lang w:val="lv-LV"/>
        </w:rPr>
      </w:pPr>
      <w:r w:rsidRPr="00FA0422">
        <w:rPr>
          <w:rStyle w:val="FootnoteReference"/>
          <w:sz w:val="24"/>
          <w:lang w:val="lv-LV"/>
        </w:rPr>
        <w:footnoteRef/>
      </w:r>
      <w:r w:rsidR="00E25045" w:rsidRPr="00FA0422">
        <w:rPr>
          <w:sz w:val="24"/>
          <w:lang w:val="lv-LV"/>
        </w:rPr>
        <w:t xml:space="preserve"> </w:t>
      </w:r>
      <w:r w:rsidR="00E25045" w:rsidRPr="00FA0422">
        <w:rPr>
          <w:sz w:val="24"/>
          <w:lang w:val="lv-LV"/>
        </w:rPr>
        <w:tab/>
      </w:r>
      <w:r w:rsidR="00E1708D" w:rsidRPr="00FA0422">
        <w:rPr>
          <w:sz w:val="24"/>
          <w:szCs w:val="24"/>
          <w:lang w:val="da-DK"/>
        </w:rPr>
        <w:t>OV L, 2025/16</w:t>
      </w:r>
      <w:r w:rsidR="00FA0422" w:rsidRPr="00FA0422">
        <w:rPr>
          <w:sz w:val="24"/>
          <w:szCs w:val="24"/>
          <w:lang w:val="da-DK"/>
        </w:rPr>
        <w:t>63</w:t>
      </w:r>
      <w:r w:rsidR="00E1708D" w:rsidRPr="00FA0422">
        <w:rPr>
          <w:sz w:val="24"/>
          <w:szCs w:val="24"/>
          <w:lang w:val="da-DK"/>
        </w:rPr>
        <w:t>, 8.10.2025., ELI:</w:t>
      </w:r>
      <w:r w:rsidR="00E1708D" w:rsidRPr="00E1708D">
        <w:rPr>
          <w:sz w:val="24"/>
          <w:szCs w:val="24"/>
          <w:lang w:val="da-DK"/>
        </w:rPr>
        <w:t> </w:t>
      </w:r>
      <w:hyperlink r:id="rId3" w:tgtFrame="_blank" w:tooltip="Gives access to this document through its ELI URI." w:history="1">
        <w:r w:rsidR="00FA0422" w:rsidRPr="00FA0422">
          <w:rPr>
            <w:rStyle w:val="Hyperlink"/>
            <w:sz w:val="24"/>
            <w:szCs w:val="24"/>
            <w:lang w:val="da-DK"/>
          </w:rPr>
          <w:t>http://data.europa.eu/eli/dec/2025/1663/oj</w:t>
        </w:r>
      </w:hyperlink>
      <w:r w:rsidRPr="00E1708D">
        <w:rPr>
          <w:sz w:val="24"/>
          <w:lang w:val="lv-LV"/>
        </w:rPr>
        <w:t>.</w:t>
      </w:r>
    </w:p>
  </w:footnote>
  <w:footnote w:id="4">
    <w:p w14:paraId="4681932E" w14:textId="3DEEDB25"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193, 30.7.2018., 1. lpp., ELI: </w:t>
      </w:r>
      <w:hyperlink r:id="rId4" w:history="1">
        <w:r w:rsidRPr="00E25045">
          <w:rPr>
            <w:rStyle w:val="Hyperlink"/>
            <w:sz w:val="24"/>
            <w:lang w:val="lv-LV"/>
          </w:rPr>
          <w:t>http://data.europa.eu/eli/reg/2018/1046/oj</w:t>
        </w:r>
      </w:hyperlink>
      <w:r w:rsidRPr="00E25045">
        <w:rPr>
          <w:sz w:val="24"/>
          <w:lang w:val="lv-LV"/>
        </w:rPr>
        <w:t>.</w:t>
      </w:r>
    </w:p>
  </w:footnote>
  <w:footnote w:id="5">
    <w:p w14:paraId="73F83090" w14:textId="00093C58"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2024/2509, 26.9.2024., ELI: </w:t>
      </w:r>
      <w:hyperlink r:id="rId5" w:history="1">
        <w:r w:rsidRPr="00E25045">
          <w:rPr>
            <w:rStyle w:val="Hyperlink"/>
            <w:sz w:val="24"/>
            <w:lang w:val="lv-LV"/>
          </w:rPr>
          <w:t>http://data.europa.eu/eli/reg/2024/2509/oj</w:t>
        </w:r>
      </w:hyperlink>
      <w:r w:rsidRPr="00E25045">
        <w:rPr>
          <w:sz w:val="24"/>
          <w:lang w:val="lv-LV"/>
        </w:rPr>
        <w:t>.</w:t>
      </w:r>
    </w:p>
  </w:footnote>
  <w:footnote w:id="6">
    <w:p w14:paraId="136BF0E3" w14:textId="14D524B4"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132, 29.5.2010., 11. lpp., ELI: </w:t>
      </w:r>
      <w:hyperlink r:id="rId6" w:history="1">
        <w:r w:rsidRPr="00E25045">
          <w:rPr>
            <w:rStyle w:val="Hyperlink"/>
            <w:sz w:val="24"/>
            <w:lang w:val="lv-LV"/>
          </w:rPr>
          <w:t>http://data.europa.eu/eli/reg/2010/439/oj</w:t>
        </w:r>
      </w:hyperlink>
      <w:r w:rsidRPr="00E25045">
        <w:rPr>
          <w:sz w:val="24"/>
          <w:lang w:val="lv-LV"/>
        </w:rPr>
        <w:t>.</w:t>
      </w:r>
    </w:p>
  </w:footnote>
  <w:footnote w:id="7">
    <w:p w14:paraId="2F04EF96" w14:textId="65F0398F"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468, 30.12.2021., 1. lpp., ELI: </w:t>
      </w:r>
      <w:hyperlink r:id="rId7" w:history="1">
        <w:r w:rsidRPr="00E25045">
          <w:rPr>
            <w:rStyle w:val="Hyperlink"/>
            <w:sz w:val="24"/>
            <w:lang w:val="lv-LV"/>
          </w:rPr>
          <w:t>http://data.europa.eu/eli/reg/2021/2303/oj</w:t>
        </w:r>
      </w:hyperlink>
      <w:r w:rsidRPr="00E25045">
        <w:rPr>
          <w:sz w:val="24"/>
          <w:lang w:val="lv-LV"/>
        </w:rPr>
        <w:t>.</w:t>
      </w:r>
    </w:p>
  </w:footnote>
  <w:footnote w:id="8">
    <w:p w14:paraId="6B680D07" w14:textId="6F8D6835"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122, 10.5.2019., 1. lpp., ELI: </w:t>
      </w:r>
      <w:hyperlink r:id="rId8" w:history="1">
        <w:r w:rsidRPr="00E25045">
          <w:rPr>
            <w:rStyle w:val="Hyperlink"/>
            <w:sz w:val="24"/>
            <w:lang w:val="lv-LV"/>
          </w:rPr>
          <w:t>http://data.europa.eu/eli/reg_del/2019/715/oj</w:t>
        </w:r>
      </w:hyperlink>
      <w:r w:rsidRPr="00E25045">
        <w:rPr>
          <w:sz w:val="24"/>
          <w:lang w:val="lv-LV"/>
        </w:rPr>
        <w:t>.</w:t>
      </w:r>
    </w:p>
  </w:footnote>
  <w:footnote w:id="9">
    <w:p w14:paraId="11C8C6F3" w14:textId="018BD10B"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C, C/2024/6332, 24.10.2024., ELI: </w:t>
      </w:r>
      <w:hyperlink r:id="rId9" w:history="1">
        <w:r w:rsidRPr="00E25045">
          <w:rPr>
            <w:rStyle w:val="Hyperlink"/>
            <w:sz w:val="24"/>
            <w:lang w:val="lv-LV"/>
          </w:rPr>
          <w:t>http://data.europa.eu/eli/C/2024/6332/oj</w:t>
        </w:r>
      </w:hyperlink>
      <w:r w:rsidRPr="00E25045">
        <w:rPr>
          <w:sz w:val="24"/>
          <w:lang w:val="lv-LV"/>
        </w:rPr>
        <w:t>.</w:t>
      </w:r>
    </w:p>
  </w:footnote>
  <w:footnote w:id="10">
    <w:p w14:paraId="5E850010" w14:textId="26CCF595"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C, C/2024/6041, 10.10.2024., ELI: </w:t>
      </w:r>
      <w:hyperlink r:id="rId10" w:history="1">
        <w:r w:rsidRPr="00E25045">
          <w:rPr>
            <w:rStyle w:val="Hyperlink"/>
            <w:sz w:val="24"/>
            <w:lang w:val="lv-LV"/>
          </w:rPr>
          <w:t>http://data.europa.eu/eli/C/2024/6041/oj</w:t>
        </w:r>
      </w:hyperlink>
      <w:r w:rsidRPr="00E25045">
        <w:rPr>
          <w:sz w:val="24"/>
          <w:lang w:val="lv-LV"/>
        </w:rPr>
        <w:t>.</w:t>
      </w:r>
    </w:p>
  </w:footnote>
  <w:footnote w:id="11">
    <w:p w14:paraId="2F6050F6" w14:textId="5C5BE002" w:rsidR="00AF43DC" w:rsidRPr="00E1708D" w:rsidRDefault="00AF43DC" w:rsidP="00E25045">
      <w:pPr>
        <w:pStyle w:val="FootnoteText"/>
        <w:ind w:left="567" w:hanging="567"/>
        <w:rPr>
          <w:sz w:val="24"/>
          <w:szCs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00E1708D" w:rsidRPr="00E1708D">
        <w:rPr>
          <w:sz w:val="24"/>
          <w:szCs w:val="24"/>
          <w:lang w:val="fi-FI"/>
        </w:rPr>
        <w:t>O</w:t>
      </w:r>
      <w:r w:rsidR="00E1708D">
        <w:rPr>
          <w:sz w:val="24"/>
          <w:szCs w:val="24"/>
          <w:lang w:val="fi-FI"/>
        </w:rPr>
        <w:t>V</w:t>
      </w:r>
      <w:r w:rsidR="00E1708D" w:rsidRPr="00E1708D">
        <w:rPr>
          <w:sz w:val="24"/>
          <w:szCs w:val="24"/>
          <w:lang w:val="fi-FI"/>
        </w:rPr>
        <w:t xml:space="preserve"> L, 2025/16</w:t>
      </w:r>
      <w:r w:rsidR="00FA0422">
        <w:rPr>
          <w:sz w:val="24"/>
          <w:szCs w:val="24"/>
          <w:lang w:val="fi-FI"/>
        </w:rPr>
        <w:t>63</w:t>
      </w:r>
      <w:r w:rsidR="00E1708D" w:rsidRPr="00E1708D">
        <w:rPr>
          <w:sz w:val="24"/>
          <w:szCs w:val="24"/>
          <w:lang w:val="fi-FI"/>
        </w:rPr>
        <w:t>, 8.10.2025</w:t>
      </w:r>
      <w:r w:rsidR="00E1708D">
        <w:rPr>
          <w:sz w:val="24"/>
          <w:szCs w:val="24"/>
          <w:lang w:val="fi-FI"/>
        </w:rPr>
        <w:t>.</w:t>
      </w:r>
      <w:r w:rsidR="00E1708D" w:rsidRPr="00E1708D">
        <w:rPr>
          <w:sz w:val="24"/>
          <w:szCs w:val="24"/>
          <w:lang w:val="fi-FI"/>
        </w:rPr>
        <w:t xml:space="preserve">, ELI: </w:t>
      </w:r>
      <w:hyperlink r:id="rId11" w:tgtFrame="_blank" w:tooltip="Gives access to this document through its ELI URI." w:history="1">
        <w:r w:rsidR="00FA0422" w:rsidRPr="00FA0422">
          <w:rPr>
            <w:rStyle w:val="Hyperlink"/>
            <w:sz w:val="24"/>
            <w:szCs w:val="24"/>
            <w:lang w:val="fi-FI"/>
          </w:rPr>
          <w:t>http://data.europa.eu/eli/dec/2025/1663/oj</w:t>
        </w:r>
      </w:hyperlink>
      <w:r w:rsidRPr="00E1708D">
        <w:rPr>
          <w:sz w:val="24"/>
          <w:szCs w:val="24"/>
          <w:lang w:val="lv-LV"/>
        </w:rPr>
        <w:t>.</w:t>
      </w:r>
    </w:p>
  </w:footnote>
  <w:footnote w:id="12">
    <w:p w14:paraId="1D0EBD78" w14:textId="4AC14614"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193, 30.7.2018., 1. lpp., ELI: </w:t>
      </w:r>
      <w:hyperlink r:id="rId12" w:history="1">
        <w:r w:rsidRPr="00E25045">
          <w:rPr>
            <w:rStyle w:val="Hyperlink"/>
            <w:sz w:val="24"/>
            <w:lang w:val="lv-LV"/>
          </w:rPr>
          <w:t>http://data.europa.eu/eli/reg/2018/1046/oj</w:t>
        </w:r>
      </w:hyperlink>
      <w:r w:rsidRPr="00E25045">
        <w:rPr>
          <w:sz w:val="24"/>
          <w:lang w:val="lv-LV"/>
        </w:rPr>
        <w:t>.</w:t>
      </w:r>
    </w:p>
  </w:footnote>
  <w:footnote w:id="13">
    <w:p w14:paraId="59875EBD" w14:textId="7D5CA04E"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2024/2509, 26.9.2024., ELI: </w:t>
      </w:r>
      <w:hyperlink r:id="rId13" w:history="1">
        <w:r w:rsidRPr="00E25045">
          <w:rPr>
            <w:rStyle w:val="Hyperlink"/>
            <w:sz w:val="24"/>
            <w:lang w:val="lv-LV"/>
          </w:rPr>
          <w:t>http://data.europa.eu/eli/reg/2024/2509/oj</w:t>
        </w:r>
      </w:hyperlink>
      <w:r w:rsidRPr="00E25045">
        <w:rPr>
          <w:sz w:val="24"/>
          <w:lang w:val="lv-LV"/>
        </w:rPr>
        <w:t>.</w:t>
      </w:r>
    </w:p>
  </w:footnote>
  <w:footnote w:id="14">
    <w:p w14:paraId="394A50B4" w14:textId="6A6D5974"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132, 29.5.2010., 11. lpp., ELI: </w:t>
      </w:r>
      <w:hyperlink r:id="rId14" w:history="1">
        <w:r w:rsidRPr="00E25045">
          <w:rPr>
            <w:rStyle w:val="Hyperlink"/>
            <w:sz w:val="24"/>
            <w:lang w:val="lv-LV"/>
          </w:rPr>
          <w:t>http://data.europa.eu/eli/reg/2010/439/oj</w:t>
        </w:r>
      </w:hyperlink>
      <w:r w:rsidRPr="00E25045">
        <w:rPr>
          <w:sz w:val="24"/>
          <w:lang w:val="lv-LV"/>
        </w:rPr>
        <w:t>.</w:t>
      </w:r>
    </w:p>
  </w:footnote>
  <w:footnote w:id="15">
    <w:p w14:paraId="7306CD46" w14:textId="0458279D"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468, 30.12.2021., 1. lpp., ELI: </w:t>
      </w:r>
      <w:hyperlink r:id="rId15" w:history="1">
        <w:r w:rsidRPr="00E25045">
          <w:rPr>
            <w:rStyle w:val="Hyperlink"/>
            <w:sz w:val="24"/>
            <w:lang w:val="lv-LV"/>
          </w:rPr>
          <w:t>http://data.europa.eu/eli/reg/2021/2303/oj</w:t>
        </w:r>
      </w:hyperlink>
      <w:r w:rsidRPr="00E25045">
        <w:rPr>
          <w:sz w:val="24"/>
          <w:lang w:val="lv-LV"/>
        </w:rPr>
        <w:t>.</w:t>
      </w:r>
    </w:p>
  </w:footnote>
  <w:footnote w:id="16">
    <w:p w14:paraId="66FDE5FF" w14:textId="0CC8AC11"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Pr="00E25045">
        <w:rPr>
          <w:sz w:val="24"/>
          <w:lang w:val="lv-LV"/>
        </w:rPr>
        <w:t xml:space="preserve">OV L 122, 10.5.2019., 1. lpp., ELI: </w:t>
      </w:r>
      <w:hyperlink r:id="rId16" w:history="1">
        <w:r w:rsidRPr="00E25045">
          <w:rPr>
            <w:rStyle w:val="Hyperlink"/>
            <w:sz w:val="24"/>
            <w:lang w:val="lv-LV"/>
          </w:rPr>
          <w:t>http://data.europa.eu/eli/reg_del/2019/715/oj</w:t>
        </w:r>
      </w:hyperlink>
      <w:r w:rsidRPr="00E25045">
        <w:rPr>
          <w:sz w:val="24"/>
          <w:lang w:val="lv-LV"/>
        </w:rPr>
        <w:t>.</w:t>
      </w:r>
    </w:p>
  </w:footnote>
  <w:footnote w:id="17">
    <w:p w14:paraId="73EED290" w14:textId="2A0B81B1" w:rsidR="008E4874" w:rsidRPr="004F3E65" w:rsidRDefault="008E4874">
      <w:pPr>
        <w:pStyle w:val="FootnoteText"/>
        <w:rPr>
          <w:sz w:val="24"/>
          <w:szCs w:val="24"/>
          <w:lang w:val="lv-LV"/>
        </w:rPr>
      </w:pPr>
      <w:r w:rsidRPr="004F3E65">
        <w:rPr>
          <w:rStyle w:val="FootnoteReference"/>
          <w:sz w:val="24"/>
          <w:szCs w:val="24"/>
        </w:rPr>
        <w:footnoteRef/>
      </w:r>
      <w:r w:rsidRPr="004F3E65">
        <w:rPr>
          <w:sz w:val="24"/>
          <w:szCs w:val="24"/>
          <w:lang w:val="lv-LV"/>
        </w:rPr>
        <w:t xml:space="preserve"> </w:t>
      </w:r>
      <w:r w:rsidRPr="004F3E65">
        <w:rPr>
          <w:sz w:val="24"/>
          <w:szCs w:val="24"/>
          <w:lang w:val="lv-LV"/>
        </w:rPr>
        <w:tab/>
        <w:t xml:space="preserve">Eiropas Parlamenta un Padomes Regula (ES) 2021/2303 (2021. gada 15. decembris) par Eiropas Savienības Patvēruma aģentūru un ar ko atceļ Regulu (ES) Nr. 439/2010 (OV L 468, 30.12.2021., 1. lpp., ELI: </w:t>
      </w:r>
      <w:hyperlink r:id="rId17" w:history="1">
        <w:r w:rsidRPr="004F3E65">
          <w:rPr>
            <w:rStyle w:val="Hyperlink"/>
            <w:sz w:val="24"/>
            <w:szCs w:val="24"/>
            <w:lang w:val="lv-LV"/>
          </w:rPr>
          <w:t>http://data.europa.eu/eli/reg/2021/2303/oj</w:t>
        </w:r>
      </w:hyperlink>
      <w:r w:rsidRPr="004F3E65">
        <w:rPr>
          <w:sz w:val="24"/>
          <w:szCs w:val="24"/>
          <w:lang w:val="lv-LV"/>
        </w:rPr>
        <w:t>).</w:t>
      </w:r>
    </w:p>
  </w:footnote>
  <w:footnote w:id="18">
    <w:p w14:paraId="356D534F" w14:textId="1337BB60" w:rsidR="00AF43DC" w:rsidRPr="00E25045" w:rsidRDefault="00AF43DC" w:rsidP="00E25045">
      <w:pPr>
        <w:pStyle w:val="FootnoteText"/>
        <w:ind w:left="567" w:hanging="567"/>
        <w:rPr>
          <w:sz w:val="24"/>
          <w:lang w:val="lv-LV"/>
        </w:rPr>
      </w:pPr>
      <w:r w:rsidRPr="00E25045">
        <w:rPr>
          <w:rStyle w:val="FootnoteReference"/>
          <w:sz w:val="24"/>
          <w:lang w:val="lv-LV"/>
        </w:rPr>
        <w:footnoteRef/>
      </w:r>
      <w:r w:rsidR="00E25045" w:rsidRPr="00E25045">
        <w:rPr>
          <w:sz w:val="24"/>
          <w:lang w:val="lv-LV"/>
        </w:rPr>
        <w:t xml:space="preserve"> </w:t>
      </w:r>
      <w:r w:rsidR="00E25045" w:rsidRPr="00E25045">
        <w:rPr>
          <w:sz w:val="24"/>
          <w:lang w:val="lv-LV"/>
        </w:rPr>
        <w:tab/>
      </w:r>
      <w:r w:rsidR="00E1708D" w:rsidRPr="00E1708D">
        <w:rPr>
          <w:sz w:val="24"/>
          <w:szCs w:val="24"/>
          <w:lang w:val="da-DK"/>
        </w:rPr>
        <w:t>OV L, 2025/1681, 8.10.2025., ELI: </w:t>
      </w:r>
      <w:hyperlink r:id="rId18" w:tgtFrame="_blank" w:tooltip="Gives access to this document through its ELI URI." w:history="1">
        <w:r w:rsidR="00E1708D" w:rsidRPr="00E1708D">
          <w:rPr>
            <w:rStyle w:val="Hyperlink"/>
            <w:sz w:val="24"/>
            <w:szCs w:val="24"/>
            <w:lang w:val="da-DK"/>
          </w:rPr>
          <w:t>http://data.europa.eu/eli/res/2025/1681/oj</w:t>
        </w:r>
      </w:hyperlink>
      <w:r w:rsidRPr="00E1708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F3674" w14:textId="77777777" w:rsidR="00E25045" w:rsidRPr="00E25045" w:rsidRDefault="00E250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E3EDE" w14:textId="77777777" w:rsidR="00E25045" w:rsidRPr="00E25045" w:rsidRDefault="00E250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5F916" w14:textId="77777777" w:rsidR="00E25045" w:rsidRPr="00E25045" w:rsidRDefault="00E250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A21A1" w14:textId="77777777" w:rsidR="00064002" w:rsidRPr="00E2504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7D972" w14:textId="77777777" w:rsidR="00064002" w:rsidRPr="00E2504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7D796" w14:textId="77777777" w:rsidR="00064002" w:rsidRPr="00E250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3395718">
    <w:abstractNumId w:val="9"/>
  </w:num>
  <w:num w:numId="2" w16cid:durableId="2001157545">
    <w:abstractNumId w:val="9"/>
  </w:num>
  <w:num w:numId="3" w16cid:durableId="551043197">
    <w:abstractNumId w:val="7"/>
  </w:num>
  <w:num w:numId="4" w16cid:durableId="689994877">
    <w:abstractNumId w:val="7"/>
  </w:num>
  <w:num w:numId="5" w16cid:durableId="863396509">
    <w:abstractNumId w:val="6"/>
  </w:num>
  <w:num w:numId="6" w16cid:durableId="1529292343">
    <w:abstractNumId w:val="6"/>
  </w:num>
  <w:num w:numId="7" w16cid:durableId="1108308557">
    <w:abstractNumId w:val="5"/>
  </w:num>
  <w:num w:numId="8" w16cid:durableId="1174879105">
    <w:abstractNumId w:val="5"/>
  </w:num>
  <w:num w:numId="9" w16cid:durableId="2049912707">
    <w:abstractNumId w:val="4"/>
  </w:num>
  <w:num w:numId="10" w16cid:durableId="1003439467">
    <w:abstractNumId w:val="4"/>
  </w:num>
  <w:num w:numId="11" w16cid:durableId="2055889002">
    <w:abstractNumId w:val="8"/>
  </w:num>
  <w:num w:numId="12" w16cid:durableId="1431318797">
    <w:abstractNumId w:val="8"/>
  </w:num>
  <w:num w:numId="13" w16cid:durableId="254100369">
    <w:abstractNumId w:val="3"/>
  </w:num>
  <w:num w:numId="14" w16cid:durableId="452526431">
    <w:abstractNumId w:val="3"/>
  </w:num>
  <w:num w:numId="15" w16cid:durableId="2053573960">
    <w:abstractNumId w:val="2"/>
  </w:num>
  <w:num w:numId="16" w16cid:durableId="1440952241">
    <w:abstractNumId w:val="2"/>
  </w:num>
  <w:num w:numId="17" w16cid:durableId="1203902925">
    <w:abstractNumId w:val="1"/>
  </w:num>
  <w:num w:numId="18" w16cid:durableId="935553120">
    <w:abstractNumId w:val="1"/>
  </w:num>
  <w:num w:numId="19" w16cid:durableId="1272585297">
    <w:abstractNumId w:val="0"/>
  </w:num>
  <w:num w:numId="20" w16cid:durableId="1470855382">
    <w:abstractNumId w:val="0"/>
  </w:num>
  <w:num w:numId="21" w16cid:durableId="1358658065">
    <w:abstractNumId w:val="9"/>
  </w:num>
  <w:num w:numId="22" w16cid:durableId="1381320486">
    <w:abstractNumId w:val="7"/>
  </w:num>
  <w:num w:numId="23" w16cid:durableId="818887454">
    <w:abstractNumId w:val="6"/>
  </w:num>
  <w:num w:numId="24" w16cid:durableId="1933197045">
    <w:abstractNumId w:val="5"/>
  </w:num>
  <w:num w:numId="25" w16cid:durableId="1856307216">
    <w:abstractNumId w:val="4"/>
  </w:num>
  <w:num w:numId="26" w16cid:durableId="1917861964">
    <w:abstractNumId w:val="8"/>
  </w:num>
  <w:num w:numId="27" w16cid:durableId="361396827">
    <w:abstractNumId w:val="3"/>
  </w:num>
  <w:num w:numId="28" w16cid:durableId="106968930">
    <w:abstractNumId w:val="2"/>
  </w:num>
  <w:num w:numId="29" w16cid:durableId="400949482">
    <w:abstractNumId w:val="1"/>
  </w:num>
  <w:num w:numId="30" w16cid:durableId="293677783">
    <w:abstractNumId w:val="0"/>
  </w:num>
  <w:num w:numId="31" w16cid:durableId="2078239469">
    <w:abstractNumId w:val="9"/>
  </w:num>
  <w:num w:numId="32" w16cid:durableId="53772057">
    <w:abstractNumId w:val="7"/>
  </w:num>
  <w:num w:numId="33" w16cid:durableId="724840642">
    <w:abstractNumId w:val="6"/>
  </w:num>
  <w:num w:numId="34" w16cid:durableId="1717460526">
    <w:abstractNumId w:val="5"/>
  </w:num>
  <w:num w:numId="35" w16cid:durableId="1550192643">
    <w:abstractNumId w:val="4"/>
  </w:num>
  <w:num w:numId="36" w16cid:durableId="1791167787">
    <w:abstractNumId w:val="8"/>
  </w:num>
  <w:num w:numId="37" w16cid:durableId="1580212967">
    <w:abstractNumId w:val="3"/>
  </w:num>
  <w:num w:numId="38" w16cid:durableId="1500463608">
    <w:abstractNumId w:val="2"/>
  </w:num>
  <w:num w:numId="39" w16cid:durableId="1745570830">
    <w:abstractNumId w:val="1"/>
  </w:num>
  <w:num w:numId="40" w16cid:durableId="774596401">
    <w:abstractNumId w:val="0"/>
  </w:num>
  <w:num w:numId="41" w16cid:durableId="139202281">
    <w:abstractNumId w:val="10"/>
  </w:num>
  <w:num w:numId="42" w16cid:durableId="1015963811">
    <w:abstractNumId w:val="10"/>
  </w:num>
  <w:num w:numId="43" w16cid:durableId="734426254">
    <w:abstractNumId w:val="10"/>
  </w:num>
  <w:num w:numId="44" w16cid:durableId="17871887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LV"/>
    <w:docVar w:name="dvnumam" w:val="0"/>
    <w:docVar w:name="dvpe" w:val="774.259"/>
    <w:docVar w:name="dvrapporteur" w:val="Referents: "/>
    <w:docVar w:name="dvtitre" w:val="Eiropas Parlamenta 2025. gada XX. XXX lēmums par Eiropas Savienības aģentūru 2023. finanšu gada budžeta izpildes apstiprināšanu(2024/2030(DEC))"/>
  </w:docVars>
  <w:rsids>
    <w:rsidRoot w:val="00F12AA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E65"/>
    <w:rsid w:val="0050519A"/>
    <w:rsid w:val="005072A1"/>
    <w:rsid w:val="00514517"/>
    <w:rsid w:val="00545827"/>
    <w:rsid w:val="00560270"/>
    <w:rsid w:val="00584DFD"/>
    <w:rsid w:val="005C2568"/>
    <w:rsid w:val="005F1B17"/>
    <w:rsid w:val="006037C0"/>
    <w:rsid w:val="006631B6"/>
    <w:rsid w:val="00680577"/>
    <w:rsid w:val="006F74FA"/>
    <w:rsid w:val="00731ADD"/>
    <w:rsid w:val="00734777"/>
    <w:rsid w:val="00747932"/>
    <w:rsid w:val="00751A4A"/>
    <w:rsid w:val="00756632"/>
    <w:rsid w:val="00762C74"/>
    <w:rsid w:val="00784F62"/>
    <w:rsid w:val="00786EC0"/>
    <w:rsid w:val="007D1690"/>
    <w:rsid w:val="007E22AD"/>
    <w:rsid w:val="00817416"/>
    <w:rsid w:val="00842779"/>
    <w:rsid w:val="00865F67"/>
    <w:rsid w:val="00881A7B"/>
    <w:rsid w:val="008840E5"/>
    <w:rsid w:val="00887B3E"/>
    <w:rsid w:val="008B311D"/>
    <w:rsid w:val="008C2AC6"/>
    <w:rsid w:val="008E4874"/>
    <w:rsid w:val="00930C23"/>
    <w:rsid w:val="0093193B"/>
    <w:rsid w:val="009509D8"/>
    <w:rsid w:val="00950B64"/>
    <w:rsid w:val="00981893"/>
    <w:rsid w:val="00A1687D"/>
    <w:rsid w:val="00A420BF"/>
    <w:rsid w:val="00A43E52"/>
    <w:rsid w:val="00A4678D"/>
    <w:rsid w:val="00A778C7"/>
    <w:rsid w:val="00AB441E"/>
    <w:rsid w:val="00AB6293"/>
    <w:rsid w:val="00AC6962"/>
    <w:rsid w:val="00AE0928"/>
    <w:rsid w:val="00AE2588"/>
    <w:rsid w:val="00AF3B82"/>
    <w:rsid w:val="00AF43DC"/>
    <w:rsid w:val="00B12E95"/>
    <w:rsid w:val="00B22876"/>
    <w:rsid w:val="00B558F0"/>
    <w:rsid w:val="00BD48FE"/>
    <w:rsid w:val="00BD7BD8"/>
    <w:rsid w:val="00BE6ADC"/>
    <w:rsid w:val="00C05BFE"/>
    <w:rsid w:val="00C23CD4"/>
    <w:rsid w:val="00C61C0C"/>
    <w:rsid w:val="00C941CB"/>
    <w:rsid w:val="00CC2357"/>
    <w:rsid w:val="00CD4935"/>
    <w:rsid w:val="00CF071A"/>
    <w:rsid w:val="00D058B8"/>
    <w:rsid w:val="00D56C11"/>
    <w:rsid w:val="00D834A0"/>
    <w:rsid w:val="00D872DF"/>
    <w:rsid w:val="00D91E21"/>
    <w:rsid w:val="00DA7FCD"/>
    <w:rsid w:val="00E1708D"/>
    <w:rsid w:val="00E25045"/>
    <w:rsid w:val="00E365E1"/>
    <w:rsid w:val="00E820A4"/>
    <w:rsid w:val="00EB006A"/>
    <w:rsid w:val="00EB4772"/>
    <w:rsid w:val="00ED169E"/>
    <w:rsid w:val="00ED4235"/>
    <w:rsid w:val="00F04346"/>
    <w:rsid w:val="00F075DC"/>
    <w:rsid w:val="00F12AA7"/>
    <w:rsid w:val="00F149E9"/>
    <w:rsid w:val="00F5134D"/>
    <w:rsid w:val="00F74202"/>
    <w:rsid w:val="00F87713"/>
    <w:rsid w:val="00FA042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5801A"/>
  <w15:chartTrackingRefBased/>
  <w15:docId w15:val="{14725BE4-AA29-4F10-99AE-3FDB4F1C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43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43DC"/>
    <w:pPr>
      <w:spacing w:before="480" w:after="240"/>
    </w:pPr>
  </w:style>
  <w:style w:type="paragraph" w:customStyle="1" w:styleId="NormalBold">
    <w:name w:val="NormalBold"/>
    <w:basedOn w:val="Normal"/>
    <w:rsid w:val="00AF43DC"/>
    <w:rPr>
      <w:b/>
    </w:rPr>
  </w:style>
  <w:style w:type="paragraph" w:customStyle="1" w:styleId="NormalHanging12a">
    <w:name w:val="NormalHanging12a"/>
    <w:basedOn w:val="Normal"/>
    <w:link w:val="NormalHanging12aChar"/>
    <w:rsid w:val="00AF43DC"/>
    <w:pPr>
      <w:spacing w:after="240"/>
      <w:ind w:left="567" w:hanging="567"/>
    </w:pPr>
  </w:style>
  <w:style w:type="paragraph" w:customStyle="1" w:styleId="EPFooter">
    <w:name w:val="EPFooter"/>
    <w:basedOn w:val="Normal"/>
    <w:rsid w:val="00AF43D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F43DC"/>
    <w:rPr>
      <w:sz w:val="24"/>
      <w:lang w:val="lv-LV"/>
    </w:rPr>
  </w:style>
  <w:style w:type="paragraph" w:customStyle="1" w:styleId="PageHeadingDec">
    <w:name w:val="PageHeadingDec"/>
    <w:basedOn w:val="Normal"/>
    <w:link w:val="PageHeadingDecChar"/>
    <w:qFormat/>
    <w:rsid w:val="00AF43DC"/>
    <w:pPr>
      <w:keepNext/>
      <w:spacing w:after="480"/>
      <w:jc w:val="center"/>
    </w:pPr>
    <w:rPr>
      <w:rFonts w:cs="Arial"/>
      <w:b/>
    </w:rPr>
  </w:style>
  <w:style w:type="character" w:customStyle="1" w:styleId="PageHeadingDecChar">
    <w:name w:val="PageHeadingDec Char"/>
    <w:basedOn w:val="DefaultParagraphFont"/>
    <w:link w:val="PageHeadingDec"/>
    <w:rsid w:val="00AF43DC"/>
    <w:rPr>
      <w:rFonts w:cs="Arial"/>
      <w:b/>
      <w:sz w:val="24"/>
      <w:lang w:val="lv-LV"/>
    </w:rPr>
  </w:style>
  <w:style w:type="paragraph" w:customStyle="1" w:styleId="PageHeadingNotTOC">
    <w:name w:val="PageHeadingNotTOC"/>
    <w:basedOn w:val="Normal"/>
    <w:rsid w:val="00AF43DC"/>
    <w:pPr>
      <w:keepNext/>
      <w:spacing w:after="480"/>
      <w:jc w:val="center"/>
    </w:pPr>
    <w:rPr>
      <w:rFonts w:ascii="Arial" w:hAnsi="Arial" w:cs="Arial"/>
      <w:b/>
    </w:rPr>
  </w:style>
  <w:style w:type="paragraph" w:styleId="Footer">
    <w:name w:val="footer"/>
    <w:basedOn w:val="Normal"/>
    <w:link w:val="FooterChar"/>
    <w:uiPriority w:val="99"/>
    <w:rsid w:val="00AF43DC"/>
    <w:pPr>
      <w:tabs>
        <w:tab w:val="center" w:pos="4513"/>
        <w:tab w:val="right" w:pos="9026"/>
      </w:tabs>
    </w:pPr>
  </w:style>
  <w:style w:type="character" w:customStyle="1" w:styleId="FooterChar">
    <w:name w:val="Footer Char"/>
    <w:basedOn w:val="DefaultParagraphFont"/>
    <w:link w:val="Footer"/>
    <w:uiPriority w:val="99"/>
    <w:rsid w:val="00AF43DC"/>
    <w:rPr>
      <w:sz w:val="24"/>
      <w:lang w:val="lv-LV"/>
    </w:rPr>
  </w:style>
  <w:style w:type="character" w:styleId="Hyperlink">
    <w:name w:val="Hyperlink"/>
    <w:basedOn w:val="DefaultParagraphFont"/>
    <w:uiPriority w:val="99"/>
    <w:rsid w:val="00AF43DC"/>
    <w:rPr>
      <w:color w:val="0563C1" w:themeColor="hyperlink"/>
      <w:u w:val="single"/>
    </w:rPr>
  </w:style>
  <w:style w:type="paragraph" w:customStyle="1" w:styleId="CM1">
    <w:name w:val="CM1"/>
    <w:basedOn w:val="Normal"/>
    <w:next w:val="Normal"/>
    <w:rsid w:val="00AF43DC"/>
    <w:pPr>
      <w:widowControl/>
      <w:autoSpaceDE w:val="0"/>
      <w:autoSpaceDN w:val="0"/>
      <w:adjustRightInd w:val="0"/>
    </w:pPr>
    <w:rPr>
      <w:rFonts w:ascii="EUAlbertina" w:hAnsi="EUAlbertina"/>
      <w:szCs w:val="24"/>
    </w:rPr>
  </w:style>
  <w:style w:type="paragraph" w:styleId="Header">
    <w:name w:val="header"/>
    <w:basedOn w:val="Normal"/>
    <w:link w:val="HeaderChar"/>
    <w:rsid w:val="00E25045"/>
    <w:pPr>
      <w:tabs>
        <w:tab w:val="center" w:pos="4513"/>
        <w:tab w:val="right" w:pos="9026"/>
      </w:tabs>
    </w:pPr>
  </w:style>
  <w:style w:type="character" w:customStyle="1" w:styleId="HeaderChar">
    <w:name w:val="Header Char"/>
    <w:basedOn w:val="DefaultParagraphFont"/>
    <w:link w:val="Header"/>
    <w:rsid w:val="00E25045"/>
    <w:rPr>
      <w:sz w:val="24"/>
      <w:lang w:val="lv-LV"/>
    </w:rPr>
  </w:style>
  <w:style w:type="paragraph" w:styleId="Revision">
    <w:name w:val="Revision"/>
    <w:hidden/>
    <w:uiPriority w:val="99"/>
    <w:semiHidden/>
    <w:rsid w:val="00AC6962"/>
    <w:rPr>
      <w:sz w:val="24"/>
      <w:lang w:val="lv-LV"/>
    </w:rPr>
  </w:style>
  <w:style w:type="character" w:styleId="UnresolvedMention">
    <w:name w:val="Unresolved Mention"/>
    <w:basedOn w:val="DefaultParagraphFont"/>
    <w:uiPriority w:val="99"/>
    <w:semiHidden/>
    <w:unhideWhenUsed/>
    <w:rsid w:val="008E4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2520</Words>
  <Characters>16949</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2025-11-24T17:49:00Z</dcterms:created>
  <dcterms:modified xsi:type="dcterms:W3CDTF">2025-11-24T17:49:00Z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P10_TA(2025)0246_</vt:lpwstr>
  </property>
  <property fmtid="{D5CDD505-2E9C-101B-9397-08002B2CF9AE}" pid="4" name="&lt;Type&gt;">
    <vt:lpwstr>RR</vt:lpwstr>
  </property>
</Properties>
</file>