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755A" w14:paraId="62822E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6742CC" w14:textId="77777777" w:rsidR="00751A4A" w:rsidRPr="0014755A" w:rsidRDefault="00A25F07" w:rsidP="0010095E">
            <w:pPr>
              <w:pStyle w:val="EPName"/>
            </w:pPr>
            <w:r w:rsidRPr="0014755A">
              <w:t>Parlament Europejski</w:t>
            </w:r>
          </w:p>
          <w:p w14:paraId="747A71EF" w14:textId="77777777" w:rsidR="00751A4A" w:rsidRPr="001475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755A">
              <w:t>2024</w:t>
            </w:r>
            <w:r w:rsidR="00817416" w:rsidRPr="0014755A">
              <w:t>-202</w:t>
            </w:r>
            <w:r w:rsidRPr="0014755A">
              <w:t>9</w:t>
            </w:r>
          </w:p>
        </w:tc>
        <w:tc>
          <w:tcPr>
            <w:tcW w:w="2268" w:type="dxa"/>
            <w:shd w:val="clear" w:color="auto" w:fill="auto"/>
          </w:tcPr>
          <w:p w14:paraId="1871D843" w14:textId="77777777" w:rsidR="00751A4A" w:rsidRPr="0014755A" w:rsidRDefault="00187494" w:rsidP="0010095E">
            <w:pPr>
              <w:pStyle w:val="EPLogo"/>
            </w:pPr>
            <w:r w:rsidRPr="0014755A">
              <w:rPr>
                <w:noProof/>
                <w:lang w:eastAsia="ja-JP"/>
              </w:rPr>
              <w:drawing>
                <wp:inline distT="0" distB="0" distL="0" distR="0" wp14:anchorId="5550F0D8" wp14:editId="1D3473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37F188" w14:textId="77777777" w:rsidR="00D058B8" w:rsidRPr="0014755A" w:rsidRDefault="00D058B8" w:rsidP="004C5D52">
      <w:pPr>
        <w:pStyle w:val="LineTop"/>
      </w:pPr>
    </w:p>
    <w:p w14:paraId="7839BDE7" w14:textId="77777777" w:rsidR="00680577" w:rsidRPr="0014755A" w:rsidRDefault="00A25F07" w:rsidP="00680577">
      <w:pPr>
        <w:pStyle w:val="EPBodyTA1"/>
      </w:pPr>
      <w:r w:rsidRPr="0014755A">
        <w:t>TEKSTY PRZYJĘTE</w:t>
      </w:r>
    </w:p>
    <w:p w14:paraId="5A373C67" w14:textId="77777777" w:rsidR="00D058B8" w:rsidRPr="0014755A" w:rsidRDefault="00D058B8" w:rsidP="00D058B8">
      <w:pPr>
        <w:pStyle w:val="LineBottom"/>
      </w:pPr>
    </w:p>
    <w:p w14:paraId="1415346E" w14:textId="56899F62" w:rsidR="00A25F07" w:rsidRPr="0014755A" w:rsidRDefault="00A25F07" w:rsidP="00A25F07">
      <w:pPr>
        <w:pStyle w:val="ATHeading1"/>
      </w:pPr>
      <w:bookmarkStart w:id="0" w:name="TANumber"/>
      <w:r w:rsidRPr="0014755A">
        <w:t>P10_TA(2025)0</w:t>
      </w:r>
      <w:bookmarkEnd w:id="0"/>
      <w:r w:rsidR="00677CAE">
        <w:t>246</w:t>
      </w:r>
    </w:p>
    <w:p w14:paraId="0C8920DA" w14:textId="3F7C93E9" w:rsidR="00A25F07" w:rsidRPr="00897F62" w:rsidRDefault="00897F62" w:rsidP="00A25F07">
      <w:pPr>
        <w:pStyle w:val="ATHeading2"/>
      </w:pPr>
      <w:r w:rsidRPr="00897F62">
        <w:t>Absolutorium za rok 2023: budżet ogólny UE – agencje</w:t>
      </w:r>
    </w:p>
    <w:p w14:paraId="03BE0A37" w14:textId="77777777" w:rsidR="00A25F07" w:rsidRPr="0014755A" w:rsidRDefault="00A25F07" w:rsidP="00A25F07">
      <w:pPr>
        <w:rPr>
          <w:i/>
          <w:vanish/>
        </w:rPr>
      </w:pPr>
      <w:r w:rsidRPr="0014755A">
        <w:rPr>
          <w:i/>
        </w:rPr>
        <w:fldChar w:fldCharType="begin"/>
      </w:r>
      <w:r w:rsidRPr="0014755A">
        <w:rPr>
          <w:i/>
        </w:rPr>
        <w:instrText xml:space="preserve"> TC"(</w:instrText>
      </w:r>
      <w:bookmarkStart w:id="1" w:name="DocNumber"/>
      <w:r w:rsidRPr="0014755A">
        <w:rPr>
          <w:i/>
        </w:rPr>
        <w:instrText>A10-0169/2025</w:instrText>
      </w:r>
      <w:bookmarkEnd w:id="1"/>
      <w:r w:rsidRPr="0014755A">
        <w:rPr>
          <w:i/>
        </w:rPr>
        <w:instrText xml:space="preserve"> - Sprawozdawca: Erik Marquardt)"\l3 \n&gt; \* MERGEFORMAT </w:instrText>
      </w:r>
      <w:r w:rsidRPr="0014755A">
        <w:rPr>
          <w:i/>
        </w:rPr>
        <w:fldChar w:fldCharType="end"/>
      </w:r>
    </w:p>
    <w:p w14:paraId="2C9A8A3E" w14:textId="77777777" w:rsidR="00A25F07" w:rsidRPr="0014755A" w:rsidRDefault="00A25F07" w:rsidP="00A25F07">
      <w:pPr>
        <w:rPr>
          <w:vanish/>
        </w:rPr>
      </w:pPr>
      <w:bookmarkStart w:id="2" w:name="Commission"/>
      <w:r w:rsidRPr="0014755A">
        <w:rPr>
          <w:vanish/>
        </w:rPr>
        <w:t>Komisja Kontroli Budżetowej</w:t>
      </w:r>
      <w:bookmarkEnd w:id="2"/>
    </w:p>
    <w:p w14:paraId="3FB63115" w14:textId="77777777" w:rsidR="00A25F07" w:rsidRPr="0014755A" w:rsidRDefault="00A25F07" w:rsidP="00A25F07">
      <w:pPr>
        <w:rPr>
          <w:vanish/>
        </w:rPr>
      </w:pPr>
      <w:bookmarkStart w:id="3" w:name="PE"/>
      <w:r w:rsidRPr="0014755A">
        <w:rPr>
          <w:vanish/>
        </w:rPr>
        <w:t>PE774.259</w:t>
      </w:r>
      <w:bookmarkEnd w:id="3"/>
    </w:p>
    <w:p w14:paraId="6829FBF1" w14:textId="1684DBDE" w:rsidR="00A25F07" w:rsidRPr="0014755A" w:rsidRDefault="00897F62" w:rsidP="00897F62">
      <w:pPr>
        <w:pStyle w:val="ATHeading3"/>
      </w:pPr>
      <w:bookmarkStart w:id="4" w:name="Sujet"/>
      <w:r>
        <w:t xml:space="preserve">1. </w:t>
      </w:r>
      <w:r w:rsidR="00A25F07" w:rsidRPr="0014755A">
        <w:t xml:space="preserve">Decyzja Parlamentu Europejskiego z dnia </w:t>
      </w:r>
      <w:r>
        <w:t>22 października</w:t>
      </w:r>
      <w:r w:rsidR="00A25F07" w:rsidRPr="0014755A">
        <w:t xml:space="preserve"> 2025 r. w sprawie absolutorium z wykonania budżetu </w:t>
      </w:r>
      <w:r w:rsidR="00092DDB" w:rsidRPr="0014755A">
        <w:t>Agencji Unii Europejskiej ds. Azylu</w:t>
      </w:r>
      <w:r w:rsidR="00092DDB">
        <w:t xml:space="preserve"> </w:t>
      </w:r>
      <w:r w:rsidR="00A25F07" w:rsidRPr="0014755A">
        <w:t>za rok budżetowy 2023</w:t>
      </w:r>
      <w:bookmarkEnd w:id="4"/>
      <w:r w:rsidR="00A25F07" w:rsidRPr="0014755A">
        <w:t xml:space="preserve"> </w:t>
      </w:r>
      <w:bookmarkStart w:id="5" w:name="References"/>
      <w:r w:rsidR="00A25F07" w:rsidRPr="0014755A">
        <w:t>(2024/2030(DEC))</w:t>
      </w:r>
      <w:bookmarkEnd w:id="5"/>
    </w:p>
    <w:p w14:paraId="7573C6F9" w14:textId="77777777" w:rsidR="00C45DD5" w:rsidRPr="0014755A" w:rsidRDefault="00C45DD5" w:rsidP="00C45DD5">
      <w:pPr>
        <w:pStyle w:val="EPComma"/>
      </w:pPr>
      <w:bookmarkStart w:id="6" w:name="TextBodyBegin"/>
      <w:bookmarkEnd w:id="6"/>
      <w:r w:rsidRPr="0014755A">
        <w:rPr>
          <w:i/>
        </w:rPr>
        <w:t>Parlament Europejski</w:t>
      </w:r>
      <w:r w:rsidRPr="0014755A">
        <w:t>,</w:t>
      </w:r>
    </w:p>
    <w:p w14:paraId="75A52482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końcowe roczne sprawozdanie finansowe Agencji Unii Europejskiej ds. Azylu za rok budżetowy 2023,</w:t>
      </w:r>
    </w:p>
    <w:p w14:paraId="5B76785A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sprawozdanie roczne Trybunału Obrachunkowego dotyczące agencji UE za rok budżetowy 2023 wraz z odpowiedziami agencji</w:t>
      </w:r>
      <w:r w:rsidRPr="0014755A">
        <w:rPr>
          <w:rStyle w:val="FootnoteReference"/>
        </w:rPr>
        <w:footnoteReference w:id="1"/>
      </w:r>
      <w:r w:rsidRPr="0014755A">
        <w:t>,</w:t>
      </w:r>
    </w:p>
    <w:p w14:paraId="6AF3E88A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poświadczenie wiarygodności</w:t>
      </w:r>
      <w:r w:rsidRPr="0014755A">
        <w:rPr>
          <w:rStyle w:val="FootnoteReference"/>
        </w:rPr>
        <w:footnoteReference w:id="2"/>
      </w:r>
      <w:r w:rsidRPr="0014755A">
        <w:t xml:space="preserve"> rachunków, jak również legalności i prawidłowości operacji leżących u ich podstaw przedłożone przez Trybunał Obrachunkowy za rok budżetowy 2023 zgodnie z art. 287 Traktatu o funkcjonowaniu Unii Europejskiej,</w:t>
      </w:r>
    </w:p>
    <w:p w14:paraId="2A2CD9CA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zalecenie Rady z dnia 17 lutego 2025 r. w sprawie udzielenia Agencji absolutorium z wykonania budżetu za rok budżetowy 2023 (05755/2025 – C10</w:t>
      </w:r>
      <w:r w:rsidRPr="0014755A">
        <w:noBreakHyphen/>
        <w:t>0024/2025),</w:t>
      </w:r>
    </w:p>
    <w:p w14:paraId="15ABE457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swoją decyzję z dnia 7 maja 2025 r.</w:t>
      </w:r>
      <w:r w:rsidRPr="0014755A">
        <w:rPr>
          <w:rStyle w:val="FootnoteReference"/>
        </w:rPr>
        <w:footnoteReference w:id="3"/>
      </w:r>
      <w:r w:rsidRPr="0014755A">
        <w:t xml:space="preserve"> odraczającą udzielenie absolutorium za rok budżetowy 2023, jak również odpowiedzi dyrektor wykonawczej Agencji Unii Europejskiej ds. Azylu,</w:t>
      </w:r>
    </w:p>
    <w:p w14:paraId="7E639BCB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art. 319 Traktatu o funkcjonowaniu Unii Europejskiej,</w:t>
      </w:r>
    </w:p>
    <w:p w14:paraId="4E5CB1CE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 xml:space="preserve">uwzględniając rozporządzenie Parlamentu Europejskiego i Rady (UE, </w:t>
      </w:r>
      <w:proofErr w:type="spellStart"/>
      <w:r w:rsidRPr="0014755A">
        <w:t>Euratom</w:t>
      </w:r>
      <w:proofErr w:type="spellEnd"/>
      <w:r w:rsidRPr="0014755A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</w:t>
      </w:r>
      <w:r w:rsidRPr="0014755A">
        <w:lastRenderedPageBreak/>
        <w:t xml:space="preserve">1316/2013, (UE) nr 223/2014 i (UE) nr 283/2014 oraz decyzję nr 541/2014/UE, a także uchylające rozporządzenie (UE, </w:t>
      </w:r>
      <w:proofErr w:type="spellStart"/>
      <w:r w:rsidRPr="0014755A">
        <w:t>Euratom</w:t>
      </w:r>
      <w:proofErr w:type="spellEnd"/>
      <w:r w:rsidRPr="0014755A">
        <w:t>) nr 966/2012</w:t>
      </w:r>
      <w:r w:rsidRPr="0014755A">
        <w:rPr>
          <w:rStyle w:val="FootnoteReference"/>
        </w:rPr>
        <w:footnoteReference w:id="4"/>
      </w:r>
      <w:r w:rsidRPr="0014755A">
        <w:t>, w szczególności jego art. 70,</w:t>
      </w:r>
    </w:p>
    <w:p w14:paraId="551E1DCD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 xml:space="preserve">uwzględniając rozporządzenie Parlamentu Europejskiego i Rady (UE, </w:t>
      </w:r>
      <w:proofErr w:type="spellStart"/>
      <w:r w:rsidRPr="0014755A">
        <w:t>Euratom</w:t>
      </w:r>
      <w:proofErr w:type="spellEnd"/>
      <w:r w:rsidRPr="0014755A">
        <w:t>) 2024/2509 z dnia 23 września 2024 r. w sprawie zasad finansowych mających zastosowanie do budżetu ogólnego Unii</w:t>
      </w:r>
      <w:r w:rsidRPr="0014755A">
        <w:rPr>
          <w:rStyle w:val="FootnoteReference"/>
        </w:rPr>
        <w:footnoteReference w:id="5"/>
      </w:r>
      <w:r w:rsidRPr="0014755A">
        <w:t>, w szczególności jego art. 70,</w:t>
      </w:r>
    </w:p>
    <w:p w14:paraId="7F6A25DF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rozporządzenie Parlamentu Europejskiego i Rady (UE) nr 439/2010 z dnia 19 maja 2010 r. w sprawie utworzenia Europejskiego Urzędu Wsparcia w dziedzinie Azylu</w:t>
      </w:r>
      <w:r w:rsidRPr="0014755A">
        <w:rPr>
          <w:rStyle w:val="FootnoteReference"/>
        </w:rPr>
        <w:footnoteReference w:id="6"/>
      </w:r>
      <w:r w:rsidRPr="0014755A">
        <w:t>, w szczególności jego art. 36,</w:t>
      </w:r>
    </w:p>
    <w:p w14:paraId="263BEB80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rozporządzenie Parlamentu Europejskiego i Rady (UE) 2021/2303 z dnia 15 grudnia 2021 r. ustanawiające Agencję Unii Europejskiej ds. Azylu i uchylające rozporządzenie (UE) nr 439/2010</w:t>
      </w:r>
      <w:r w:rsidRPr="0014755A">
        <w:rPr>
          <w:rStyle w:val="FootnoteReference"/>
        </w:rPr>
        <w:footnoteReference w:id="7"/>
      </w:r>
      <w:r w:rsidRPr="0014755A">
        <w:t>, w szczególności jego art. 55,</w:t>
      </w:r>
    </w:p>
    <w:p w14:paraId="63C66158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14755A">
        <w:t>Euratom</w:t>
      </w:r>
      <w:proofErr w:type="spellEnd"/>
      <w:r w:rsidRPr="0014755A">
        <w:t xml:space="preserve">, o których mowa w art. 70 rozporządzenia Parlamentu Europejskiego i Rady (UE, </w:t>
      </w:r>
      <w:proofErr w:type="spellStart"/>
      <w:r w:rsidRPr="0014755A">
        <w:t>Euratom</w:t>
      </w:r>
      <w:proofErr w:type="spellEnd"/>
      <w:r w:rsidRPr="0014755A">
        <w:t>) 2018/1046</w:t>
      </w:r>
      <w:r w:rsidRPr="0014755A">
        <w:rPr>
          <w:rStyle w:val="FootnoteReference"/>
        </w:rPr>
        <w:footnoteReference w:id="8"/>
      </w:r>
      <w:r w:rsidRPr="0014755A">
        <w:t>, w szczególności jego art. 105,</w:t>
      </w:r>
    </w:p>
    <w:p w14:paraId="4C91509F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art. 102 Regulaminu i załącznik V do Regulaminu,</w:t>
      </w:r>
    </w:p>
    <w:p w14:paraId="7DCED3ED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drugie sprawozdanie Komisji Kontroli Budżetowej (A10-0169/2025),</w:t>
      </w:r>
    </w:p>
    <w:p w14:paraId="02A52815" w14:textId="77777777" w:rsidR="00C45DD5" w:rsidRPr="0014755A" w:rsidRDefault="00C45DD5" w:rsidP="00C45DD5">
      <w:pPr>
        <w:pStyle w:val="NormalHanging12a"/>
      </w:pPr>
      <w:r w:rsidRPr="0014755A">
        <w:t>1.</w:t>
      </w:r>
      <w:r w:rsidRPr="0014755A">
        <w:tab/>
        <w:t>udziela dyrektor wykonawczej Agencji Unii Europejskiej ds. Azylu absolutorium z wykonania budżetu Agencji za rok budżetowy 2023;</w:t>
      </w:r>
    </w:p>
    <w:p w14:paraId="14FF6035" w14:textId="77777777" w:rsidR="00C45DD5" w:rsidRPr="0014755A" w:rsidRDefault="00C45DD5" w:rsidP="00C45DD5">
      <w:pPr>
        <w:pStyle w:val="NormalHanging12a"/>
      </w:pPr>
      <w:r w:rsidRPr="0014755A">
        <w:t>2.</w:t>
      </w:r>
      <w:r w:rsidRPr="0014755A">
        <w:tab/>
        <w:t>przedstawia swoje uwagi w poniższej rezolucji;</w:t>
      </w:r>
    </w:p>
    <w:p w14:paraId="241A9C09" w14:textId="77777777" w:rsidR="00C45DD5" w:rsidRPr="0014755A" w:rsidRDefault="00C45DD5" w:rsidP="00C45DD5">
      <w:pPr>
        <w:pStyle w:val="NormalHanging12a"/>
      </w:pPr>
      <w:r w:rsidRPr="0014755A">
        <w:t>3.</w:t>
      </w:r>
      <w:r w:rsidRPr="0014755A">
        <w:tab/>
        <w:t>zobowiązuje swoją przewodniczącą do przekazania niniejszej decyzji wraz z rezolucją, która stanowi jej integralną część, dyrektor wykonawczej Agencji Unii Europejskiej ds. Azylu, Radzie, Komisji i Trybunałowi Obrachunkowemu oraz do zarządzenia jej publikacji w </w:t>
      </w:r>
      <w:r w:rsidRPr="0014755A">
        <w:rPr>
          <w:i/>
        </w:rPr>
        <w:t>Dzienniku Urzędowym Unii Europejskiej</w:t>
      </w:r>
      <w:r w:rsidRPr="0014755A">
        <w:t xml:space="preserve"> (seria L).</w:t>
      </w:r>
    </w:p>
    <w:p w14:paraId="2BE0DA64" w14:textId="77777777" w:rsidR="00C45DD5" w:rsidRPr="0014755A" w:rsidRDefault="00C45DD5" w:rsidP="00C45DD5"/>
    <w:p w14:paraId="6C26EEFD" w14:textId="77777777" w:rsidR="00C45DD5" w:rsidRPr="0014755A" w:rsidRDefault="00C45DD5" w:rsidP="00C45DD5">
      <w:pPr>
        <w:pStyle w:val="PageHeadingDec"/>
        <w:sectPr w:rsidR="00C45DD5" w:rsidRPr="0014755A" w:rsidSect="0014755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C9F780D" w14:textId="515EA03D" w:rsidR="00C45DD5" w:rsidRPr="0014755A" w:rsidRDefault="00C45DD5" w:rsidP="00897F62">
      <w:pPr>
        <w:pStyle w:val="ATHeading3"/>
      </w:pPr>
      <w:r w:rsidRPr="0014755A">
        <w:lastRenderedPageBreak/>
        <w:t xml:space="preserve">2. </w:t>
      </w:r>
      <w:r w:rsidR="00897F62" w:rsidRPr="0014755A">
        <w:t>Decyzj</w:t>
      </w:r>
      <w:r w:rsidR="00897F62">
        <w:t>a</w:t>
      </w:r>
      <w:r w:rsidR="00897F62" w:rsidRPr="0014755A">
        <w:t xml:space="preserve"> Parlamentu Europejskiego</w:t>
      </w:r>
      <w:r w:rsidR="00897F62">
        <w:t xml:space="preserve"> z dnia 22 października 2025 r. </w:t>
      </w:r>
      <w:r w:rsidRPr="0014755A">
        <w:t>w sprawie zamknięcia ksiąg dochodów i wydatków Agencji Unii Europejskiej ds. Azylu za rok budżetowy 2023</w:t>
      </w:r>
      <w:r w:rsidR="00897F62">
        <w:t xml:space="preserve"> </w:t>
      </w:r>
      <w:r w:rsidRPr="0014755A">
        <w:t>(2024/2030(DEC))</w:t>
      </w:r>
    </w:p>
    <w:p w14:paraId="6CCD6E9A" w14:textId="77777777" w:rsidR="00C45DD5" w:rsidRPr="0014755A" w:rsidRDefault="00C45DD5" w:rsidP="00C45DD5">
      <w:pPr>
        <w:pStyle w:val="EPComma"/>
      </w:pPr>
      <w:r w:rsidRPr="0014755A">
        <w:rPr>
          <w:i/>
        </w:rPr>
        <w:t>Parlament Europejski</w:t>
      </w:r>
      <w:r w:rsidRPr="0014755A">
        <w:t>,</w:t>
      </w:r>
    </w:p>
    <w:p w14:paraId="2018E8A8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końcowe roczne sprawozdanie finansowe Agencji Unii Europejskiej ds. Azylu za rok budżetowy 2023,</w:t>
      </w:r>
    </w:p>
    <w:p w14:paraId="76A23F48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sprawozdanie roczne Trybunału Obrachunkowego dotyczące agencji UE za rok budżetowy 2023 wraz z odpowiedziami agencji</w:t>
      </w:r>
      <w:r w:rsidRPr="0014755A">
        <w:rPr>
          <w:rStyle w:val="FootnoteReference"/>
        </w:rPr>
        <w:footnoteReference w:id="9"/>
      </w:r>
      <w:r w:rsidRPr="0014755A">
        <w:t>,</w:t>
      </w:r>
    </w:p>
    <w:p w14:paraId="4962AD95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poświadczenie wiarygodności</w:t>
      </w:r>
      <w:r w:rsidRPr="0014755A">
        <w:rPr>
          <w:rStyle w:val="FootnoteReference"/>
        </w:rPr>
        <w:footnoteReference w:id="10"/>
      </w:r>
      <w:r w:rsidRPr="0014755A">
        <w:t xml:space="preserve"> rachunków, jak również legalności i prawidłowości operacji leżących u ich podstaw przedłożone przez Trybunał Obrachunkowy za rok budżetowy 2023 zgodnie z art. 287 Traktatu o funkcjonowaniu Unii Europejskiej,</w:t>
      </w:r>
    </w:p>
    <w:p w14:paraId="69AA13DA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zalecenie Rady z dnia 17 lutego 2025 r. w sprawie udzielenia Agencji absolutorium z wykonania budżetu za rok budżetowy 2023 (05755/2025 – C10</w:t>
      </w:r>
      <w:r w:rsidRPr="0014755A">
        <w:noBreakHyphen/>
        <w:t>0024/2025),</w:t>
      </w:r>
    </w:p>
    <w:p w14:paraId="3CC89386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swoją decyzję z dnia 7 maja 2025 r.</w:t>
      </w:r>
      <w:r w:rsidRPr="0014755A">
        <w:rPr>
          <w:rStyle w:val="FootnoteReference"/>
        </w:rPr>
        <w:footnoteReference w:id="11"/>
      </w:r>
      <w:r w:rsidRPr="0014755A">
        <w:t xml:space="preserve"> odraczającą udzielenie absolutorium za rok budżetowy 2023, jak również odpowiedzi dyrektor wykonawczej Agencji Unii Europejskiej ds. Azylu,</w:t>
      </w:r>
    </w:p>
    <w:p w14:paraId="75D042C9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art. 319 Traktatu o funkcjonowaniu Unii Europejskiej,</w:t>
      </w:r>
    </w:p>
    <w:p w14:paraId="519F0152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 xml:space="preserve">uwzględniając rozporządzenie Parlamentu Europejskiego i Rady (UE, </w:t>
      </w:r>
      <w:proofErr w:type="spellStart"/>
      <w:r w:rsidRPr="0014755A">
        <w:t>Euratom</w:t>
      </w:r>
      <w:proofErr w:type="spellEnd"/>
      <w:r w:rsidRPr="0014755A"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rozporządzenie (UE, </w:t>
      </w:r>
      <w:proofErr w:type="spellStart"/>
      <w:r w:rsidRPr="0014755A">
        <w:t>Euratom</w:t>
      </w:r>
      <w:proofErr w:type="spellEnd"/>
      <w:r w:rsidRPr="0014755A">
        <w:t>) nr 966/2012</w:t>
      </w:r>
      <w:r w:rsidRPr="0014755A">
        <w:rPr>
          <w:rStyle w:val="FootnoteReference"/>
        </w:rPr>
        <w:footnoteReference w:id="12"/>
      </w:r>
      <w:r w:rsidRPr="0014755A">
        <w:t>, w szczególności jego art. 70,</w:t>
      </w:r>
    </w:p>
    <w:p w14:paraId="5C027AA2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 xml:space="preserve">uwzględniając rozporządzenie Parlamentu Europejskiego i Rady (UE, </w:t>
      </w:r>
      <w:proofErr w:type="spellStart"/>
      <w:r w:rsidRPr="0014755A">
        <w:t>Euratom</w:t>
      </w:r>
      <w:proofErr w:type="spellEnd"/>
      <w:r w:rsidRPr="0014755A">
        <w:t>) 2024/2509 z dnia 23 września 2024 r. w sprawie zasad finansowych mających zastosowanie do budżetu ogólnego Unii</w:t>
      </w:r>
      <w:r w:rsidRPr="0014755A">
        <w:rPr>
          <w:rStyle w:val="FootnoteReference"/>
        </w:rPr>
        <w:footnoteReference w:id="13"/>
      </w:r>
      <w:r w:rsidRPr="0014755A">
        <w:t>, w szczególności jego art. 70,</w:t>
      </w:r>
    </w:p>
    <w:p w14:paraId="66277C81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rozporządzenie Parlamentu Europejskiego i Rady (UE) nr 439/2010 z dnia 19 maja 2010 r. w sprawie utworzenia Europejskiego Urzędu Wsparcia w dziedzinie Azylu</w:t>
      </w:r>
      <w:r w:rsidRPr="0014755A">
        <w:rPr>
          <w:rStyle w:val="FootnoteReference"/>
        </w:rPr>
        <w:footnoteReference w:id="14"/>
      </w:r>
      <w:r w:rsidRPr="0014755A">
        <w:t>, w szczególności jego art. 36,</w:t>
      </w:r>
    </w:p>
    <w:p w14:paraId="13E05109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 xml:space="preserve">uwzględniając rozporządzenie Parlamentu Europejskiego i Rady (UE) 2021/2303 z dnia 15 grudnia 2021 r. ustanawiające Agencję Unii Europejskiej ds. Azylu i uchylające </w:t>
      </w:r>
      <w:r w:rsidRPr="0014755A">
        <w:lastRenderedPageBreak/>
        <w:t>rozporządzenie (UE) nr 439/2010</w:t>
      </w:r>
      <w:r w:rsidRPr="0014755A">
        <w:rPr>
          <w:rStyle w:val="FootnoteReference"/>
        </w:rPr>
        <w:footnoteReference w:id="15"/>
      </w:r>
      <w:r w:rsidRPr="0014755A">
        <w:t>, w szczególności jego art. 55,</w:t>
      </w:r>
    </w:p>
    <w:p w14:paraId="1F917687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 xml:space="preserve">uwzględniając rozporządzenie delegowane Komisji (UE) 2019/715 z dnia 18 grudnia 2018 r. w sprawie ramowego rozporządzenia finansowego dotyczącego organów utworzonych na podstawie TFUE oraz Traktatu </w:t>
      </w:r>
      <w:proofErr w:type="spellStart"/>
      <w:r w:rsidRPr="0014755A">
        <w:t>Euratom</w:t>
      </w:r>
      <w:proofErr w:type="spellEnd"/>
      <w:r w:rsidRPr="0014755A">
        <w:t xml:space="preserve">, o których mowa w art. 70 rozporządzenia Parlamentu Europejskiego i Rady (UE, </w:t>
      </w:r>
      <w:proofErr w:type="spellStart"/>
      <w:r w:rsidRPr="0014755A">
        <w:t>Euratom</w:t>
      </w:r>
      <w:proofErr w:type="spellEnd"/>
      <w:r w:rsidRPr="0014755A">
        <w:t>) 2018/1046</w:t>
      </w:r>
      <w:r w:rsidRPr="0014755A">
        <w:rPr>
          <w:rStyle w:val="FootnoteReference"/>
        </w:rPr>
        <w:footnoteReference w:id="16"/>
      </w:r>
      <w:r w:rsidRPr="0014755A">
        <w:t>, w szczególności jego art. 105,</w:t>
      </w:r>
    </w:p>
    <w:p w14:paraId="2A7CCB9F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art. 102 Regulaminu i załącznik V do Regulaminu,</w:t>
      </w:r>
    </w:p>
    <w:p w14:paraId="109C5D8B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drugie sprawozdanie Komisji Kontroli Budżetowej (A10-0169/2025),</w:t>
      </w:r>
    </w:p>
    <w:p w14:paraId="59BD5B9C" w14:textId="77777777" w:rsidR="00C45DD5" w:rsidRPr="0014755A" w:rsidRDefault="00C45DD5" w:rsidP="00C45DD5">
      <w:pPr>
        <w:pStyle w:val="NormalHanging12a"/>
      </w:pPr>
      <w:r w:rsidRPr="0014755A">
        <w:t>1.</w:t>
      </w:r>
      <w:r w:rsidRPr="0014755A">
        <w:tab/>
        <w:t>zatwierdza zamknięcie ksiąg dochodów i wydatków Agencji Unii Europejskiej ds. Azylu za rok budżetowy 2023;</w:t>
      </w:r>
    </w:p>
    <w:p w14:paraId="50705FC4" w14:textId="77777777" w:rsidR="00C45DD5" w:rsidRPr="0014755A" w:rsidRDefault="00C45DD5" w:rsidP="00C45DD5">
      <w:pPr>
        <w:pStyle w:val="NormalHanging12a"/>
      </w:pPr>
      <w:r w:rsidRPr="0014755A">
        <w:t>2.</w:t>
      </w:r>
      <w:r w:rsidRPr="0014755A">
        <w:tab/>
        <w:t>zobowiązuje swoją przewodniczącą do przekazania niniejszej decyzji dyrektor wykonawczej Agencji Unii Europejskiej ds. Azylu, Radzie, Komisji i Trybunałowi Obrachunkowemu oraz do zarządzenia jej publikacji w </w:t>
      </w:r>
      <w:r w:rsidRPr="0014755A">
        <w:rPr>
          <w:i/>
        </w:rPr>
        <w:t>Dzienniku Urzędowym Unii Europejskiej</w:t>
      </w:r>
      <w:r w:rsidRPr="0014755A">
        <w:t xml:space="preserve"> (seria L).</w:t>
      </w:r>
    </w:p>
    <w:p w14:paraId="0216B1DB" w14:textId="77777777" w:rsidR="00C45DD5" w:rsidRPr="0014755A" w:rsidRDefault="00C45DD5" w:rsidP="00C45DD5"/>
    <w:p w14:paraId="3BB1D542" w14:textId="77777777" w:rsidR="00C45DD5" w:rsidRPr="0014755A" w:rsidRDefault="00C45DD5" w:rsidP="00C45DD5"/>
    <w:p w14:paraId="304F0F62" w14:textId="77777777" w:rsidR="00C45DD5" w:rsidRPr="0014755A" w:rsidRDefault="00C45DD5" w:rsidP="00C45DD5">
      <w:pPr>
        <w:pStyle w:val="PageHeadingDec"/>
        <w:sectPr w:rsidR="00C45DD5" w:rsidRPr="0014755A" w:rsidSect="0014755A">
          <w:footerReference w:type="first" r:id="rId15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61179058" w14:textId="0D66AE74" w:rsidR="00C45DD5" w:rsidRPr="0014755A" w:rsidRDefault="00C45DD5" w:rsidP="00897F62">
      <w:pPr>
        <w:pStyle w:val="ATHeading3"/>
      </w:pPr>
      <w:r w:rsidRPr="0014755A">
        <w:lastRenderedPageBreak/>
        <w:t xml:space="preserve">3. </w:t>
      </w:r>
      <w:r w:rsidR="00897F62">
        <w:t xml:space="preserve"> </w:t>
      </w:r>
      <w:r w:rsidR="00897F62" w:rsidRPr="0014755A">
        <w:t>Rezolucj</w:t>
      </w:r>
      <w:r w:rsidR="00897F62">
        <w:t>a</w:t>
      </w:r>
      <w:r w:rsidR="00897F62" w:rsidRPr="0014755A">
        <w:t xml:space="preserve"> Parlamentu Europejskiego</w:t>
      </w:r>
      <w:r w:rsidR="00897F62">
        <w:t xml:space="preserve"> z dnia 22 października 2025 r. </w:t>
      </w:r>
      <w:r w:rsidRPr="0014755A">
        <w:t>zawierając</w:t>
      </w:r>
      <w:r w:rsidR="00897F62">
        <w:t>a</w:t>
      </w:r>
      <w:r w:rsidRPr="0014755A">
        <w:t xml:space="preserve"> uwagi stanowiące integralną część decyzji w sprawie absolutorium z wykonania budżetu agencji Unii Europejskiej za rok budżetowy 2023</w:t>
      </w:r>
      <w:r w:rsidR="00897F62">
        <w:t xml:space="preserve"> </w:t>
      </w:r>
      <w:r w:rsidRPr="0014755A">
        <w:t>(2024/2030(DEC))</w:t>
      </w:r>
    </w:p>
    <w:p w14:paraId="60096E90" w14:textId="77777777" w:rsidR="00C45DD5" w:rsidRPr="0014755A" w:rsidRDefault="00C45DD5" w:rsidP="00C45DD5">
      <w:pPr>
        <w:pStyle w:val="EPComma"/>
      </w:pPr>
      <w:r w:rsidRPr="0014755A">
        <w:rPr>
          <w:i/>
        </w:rPr>
        <w:t>Parlament Europejski</w:t>
      </w:r>
      <w:r w:rsidRPr="0014755A">
        <w:t>,</w:t>
      </w:r>
    </w:p>
    <w:p w14:paraId="64E3680C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swoją decyzję w sprawie absolutorium z wykonania budżetu Agencji Unii Europejskiej ds. Azylu za rok budżetowy 2023,</w:t>
      </w:r>
    </w:p>
    <w:p w14:paraId="031B771E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art. 102 Regulaminu i załącznik V do Regulaminu,</w:t>
      </w:r>
    </w:p>
    <w:p w14:paraId="4FB57CCF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uwzględniając, że funkcjonowanie wspólnego europejskiego systemu azylowego, poszanowanie, właściwe wdrażanie i egzekwowanie przepisów oraz trwałe i odpowiednie wsparcie finansowe ze strony Agencji Unii Europejskiej ds. Azylu mają zasadnicze znaczenie dla zapewnienia systemu wspólnej odpowiedzialności i solidarności między państwami członkowskimi Unii Europejskiej;</w:t>
      </w:r>
    </w:p>
    <w:p w14:paraId="0081F2EA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sprawozdanie końcowe OLAF-u (OC-2022-0717) w sprawie Agencji Unii Europejskiej ds. Azylu sfinalizowane w październiku 2024 r. i udostępnione w marcu 2025 r. członkom Komisji Kontroli Budżetowej,</w:t>
      </w:r>
    </w:p>
    <w:p w14:paraId="145099BB" w14:textId="5B89008A" w:rsidR="00C45DD5" w:rsidRPr="0014755A" w:rsidRDefault="00C45DD5" w:rsidP="00C45DD5">
      <w:pPr>
        <w:pStyle w:val="NormalHanging12a"/>
        <w:rPr>
          <w:bCs/>
        </w:rPr>
      </w:pPr>
      <w:r w:rsidRPr="0014755A">
        <w:t>–</w:t>
      </w:r>
      <w:r w:rsidRPr="0014755A">
        <w:tab/>
        <w:t xml:space="preserve">uwzględniając pisma wysłane przez przewodniczącą </w:t>
      </w:r>
      <w:r w:rsidR="00092DDB">
        <w:t>Z</w:t>
      </w:r>
      <w:r w:rsidRPr="0014755A">
        <w:t>arządu Agencji Unii Europejskiej ds. Azylu w marcu 2025 r. i dyrektor wykonawczą Agencji Unii Europejskiej ds. Azylu w lipcu 2025 r.,</w:t>
      </w:r>
    </w:p>
    <w:p w14:paraId="7326608A" w14:textId="77777777" w:rsidR="00C45DD5" w:rsidRPr="0014755A" w:rsidRDefault="00C45DD5" w:rsidP="00C45DD5">
      <w:pPr>
        <w:pStyle w:val="NormalHanging12a"/>
      </w:pPr>
      <w:r w:rsidRPr="0014755A">
        <w:t xml:space="preserve">– </w:t>
      </w:r>
      <w:r w:rsidRPr="0014755A">
        <w:tab/>
        <w:t>uwzględniając wymianę poglądów z przedstawicielami OLAF-u, Agencji Unii Europejskiej ds. Azylu i DG do Spraw Wewnętrznych 15 lipca 2025 r.,</w:t>
      </w:r>
    </w:p>
    <w:p w14:paraId="22529006" w14:textId="77777777" w:rsidR="00C45DD5" w:rsidRPr="0014755A" w:rsidRDefault="00C45DD5" w:rsidP="00C45DD5">
      <w:pPr>
        <w:pStyle w:val="NormalHanging12a"/>
      </w:pPr>
      <w:r w:rsidRPr="0014755A">
        <w:t>–</w:t>
      </w:r>
      <w:r w:rsidRPr="0014755A">
        <w:tab/>
        <w:t>uwzględniając drugie sprawozdanie Komisji Kontroli Budżetowej (A10-0169/2025),</w:t>
      </w:r>
    </w:p>
    <w:p w14:paraId="546BF80A" w14:textId="77777777" w:rsidR="00C45DD5" w:rsidRPr="0014755A" w:rsidRDefault="00C45DD5" w:rsidP="00C45DD5">
      <w:pPr>
        <w:pStyle w:val="NormalHanging12a"/>
      </w:pPr>
      <w:r w:rsidRPr="0014755A">
        <w:t>A.</w:t>
      </w:r>
      <w:r w:rsidRPr="0014755A">
        <w:tab/>
        <w:t>mając na uwadze, że wszystkie zdecentralizowane agencje Unii muszą być przejrzyste i w pełni odpowiadać przed obywatelami Unii za fundusze powierzone im jako organom Unii;</w:t>
      </w:r>
    </w:p>
    <w:p w14:paraId="4D178ADF" w14:textId="77777777" w:rsidR="00C45DD5" w:rsidRPr="0014755A" w:rsidRDefault="00C45DD5" w:rsidP="00C45DD5">
      <w:pPr>
        <w:pStyle w:val="NormalHanging12a"/>
      </w:pPr>
      <w:r w:rsidRPr="0014755A">
        <w:t>B.</w:t>
      </w:r>
      <w:r w:rsidRPr="0014755A">
        <w:tab/>
        <w:t>mając na uwadze, że Agencja Unii Europejskiej ds. Azylu, jako organ Unii, któremu powierzono ważne obowiązki i znaczne zasoby, ma obowiązek działania z zachowaniem najwyższych standardów przejrzystości i rozliczalności oraz dawać przykład swoim postępowaniem, dbając tym samym o zaufanie ze strony obywateli i instytucji Unii;</w:t>
      </w:r>
    </w:p>
    <w:p w14:paraId="1B3774CA" w14:textId="77777777" w:rsidR="00C45DD5" w:rsidRPr="0014755A" w:rsidRDefault="00C45DD5" w:rsidP="00C45DD5">
      <w:pPr>
        <w:pStyle w:val="NormalHanging12a"/>
      </w:pPr>
      <w:r w:rsidRPr="0014755A">
        <w:t>C.</w:t>
      </w:r>
      <w:r w:rsidRPr="0014755A">
        <w:tab/>
        <w:t>mając na uwadze, że rola Parlamentu w odniesieniu do absolutorium z wykonania budżetu jest określona w Traktacie o funkcjonowaniu Unii Europejskiej (TFUE), w rozporządzeniu finansowym i w ramowym rozporządzeniu finansowym;</w:t>
      </w:r>
    </w:p>
    <w:p w14:paraId="398832D0" w14:textId="77777777" w:rsidR="00C45DD5" w:rsidRPr="0014755A" w:rsidRDefault="00C45DD5" w:rsidP="00C45DD5">
      <w:pPr>
        <w:pStyle w:val="NormalHanging12a"/>
      </w:pPr>
      <w:r w:rsidRPr="0014755A">
        <w:t>D.</w:t>
      </w:r>
      <w:r w:rsidRPr="0014755A">
        <w:tab/>
        <w:t>mając na uwadze, że OLAF jako unijny organ ds. zwalczania nadużyć finansowych ma obowiązek zapewnić Parlamentowi Europejskiemu terminowy i odpowiedni dostęp do swoich ustaleń, aby umożliwić skuteczną kontrolę absolutoryjną;</w:t>
      </w:r>
    </w:p>
    <w:p w14:paraId="39122FB4" w14:textId="77777777" w:rsidR="00C45DD5" w:rsidRPr="0014755A" w:rsidRDefault="00C45DD5" w:rsidP="00C45DD5">
      <w:pPr>
        <w:pStyle w:val="NormalHanging12a"/>
      </w:pPr>
      <w:r w:rsidRPr="0014755A">
        <w:t>1.</w:t>
      </w:r>
      <w:r w:rsidRPr="0014755A">
        <w:tab/>
        <w:t>przypomina rolę Parlamentu w procedurze udzielania absolutorium zgodnie z postanowieniami TFUE, rozporządzenia finansowego i Regulaminu Parlamentu;</w:t>
      </w:r>
    </w:p>
    <w:p w14:paraId="09BCD393" w14:textId="77777777" w:rsidR="00C45DD5" w:rsidRPr="0014755A" w:rsidRDefault="00C45DD5" w:rsidP="00C45DD5">
      <w:pPr>
        <w:pStyle w:val="NormalHanging12a"/>
      </w:pPr>
      <w:r w:rsidRPr="0014755A">
        <w:lastRenderedPageBreak/>
        <w:t>2.</w:t>
      </w:r>
      <w:r w:rsidRPr="0014755A">
        <w:tab/>
        <w:t>przypomina, że 7 maja 2025 r. Parlament postanowił odroczyć decyzję w sprawie udzielenia absolutorium Agencji Unii Europejskiej ds. Azylu (zwanej dalej „Agencją”) za rok 2023;</w:t>
      </w:r>
    </w:p>
    <w:p w14:paraId="2C0D774F" w14:textId="77777777" w:rsidR="00C45DD5" w:rsidRPr="0014755A" w:rsidRDefault="00C45DD5" w:rsidP="00C45DD5">
      <w:pPr>
        <w:pStyle w:val="NormalHanging12a"/>
      </w:pPr>
      <w:r w:rsidRPr="0014755A">
        <w:t>3.</w:t>
      </w:r>
      <w:r w:rsidRPr="0014755A">
        <w:tab/>
        <w:t>podkreśla ogromne znaczenie odpowiedzialnego i przejrzystego wykonania budżetu Unii; podkreśla, że nieprzestrzeganie tych zasad poważnie podważa zaufanie publiczne;</w:t>
      </w:r>
    </w:p>
    <w:p w14:paraId="1BA6E16D" w14:textId="77777777" w:rsidR="00C45DD5" w:rsidRPr="0014755A" w:rsidRDefault="00C45DD5" w:rsidP="00C45DD5">
      <w:pPr>
        <w:pStyle w:val="NormalHanging12a"/>
        <w:rPr>
          <w:b/>
          <w:i/>
        </w:rPr>
      </w:pPr>
      <w:r w:rsidRPr="0014755A">
        <w:rPr>
          <w:b/>
          <w:i/>
        </w:rPr>
        <w:t>Wyniki dochodzenia Europejskiego Urzędu ds. Zwalczania Nadużyć Finansowych (OLAF)</w:t>
      </w:r>
    </w:p>
    <w:p w14:paraId="6C22D043" w14:textId="77777777" w:rsidR="00C45DD5" w:rsidRPr="0014755A" w:rsidRDefault="00C45DD5" w:rsidP="00C45DD5">
      <w:pPr>
        <w:pStyle w:val="NormalHanging12a"/>
      </w:pPr>
      <w:r w:rsidRPr="0014755A">
        <w:t>4.</w:t>
      </w:r>
      <w:r w:rsidRPr="0014755A">
        <w:tab/>
        <w:t>zauważa, że OLAF udostępnił zanonimizowaną wersję sprawozdania końcowego z dochodzenia członkom Komisji Kontroli Budżetowej w marcu 2025 r. oraz Komisji Wolności Obywatelskich, Sprawiedliwości i Spraw Wewnętrznych w lipcu 2025 r.; wyraża ubolewanie z powodu opóźnienia w uzyskaniu dostępu do dochodzenia, który został przyznany dopiero w marcu, pomimo wniosku złożonego przez sprawozdawcę w grudniu 2024 r., a w odpowiedzi OLAF powołał się na zastrzeżenia zarządu Agencji Unii Europejskiej ds. Azylu; podkreśla, że członkowie komisji CONT powinni byli uzyskać dostęp do sprawozdania wcześniej, aby mogli należycie wykonywać swoje obowiązki;</w:t>
      </w:r>
    </w:p>
    <w:p w14:paraId="0E9C86FD" w14:textId="77777777" w:rsidR="00C45DD5" w:rsidRPr="0014755A" w:rsidRDefault="00C45DD5" w:rsidP="00C45DD5">
      <w:pPr>
        <w:pStyle w:val="NormalHanging12a"/>
      </w:pPr>
      <w:r w:rsidRPr="0014755A">
        <w:t>5.</w:t>
      </w:r>
      <w:r w:rsidRPr="0014755A">
        <w:tab/>
        <w:t>jest świadomy, że dochodzenia OLAF-u powinny być prowadzone w sposób ciągły przez okres, który musi być proporcjonalny do okoliczności i złożoności sprawy; jest zaniepokojony długością dochodzeń prowadzonych przez OLAF, ponieważ podważa to zdolność organu udzielającego absolutorium do skutecznego uwzględnienia ich ustaleń; podkreśla kluczową rolę terminowego prowadzenia dochodzeń dla utrzymania skutecznej kontroli parlamentarnej; wzywa OLAF do dokonania przeglądu i przyspieszenia procedury zakończenia dochodzeń i przekazywania ich wyników organowi udzielającemu absolutorium; podkreśla, że takie opóźnienia osłabiają zdolność członków komisji CONT do skutecznego wykonywania ich mandatu w zakresie nadzoru, i wzywa do podjęcia środków w celu zapewnienia w przyszłości szybkiego dostępu do sprawozdań z dochodzeń;</w:t>
      </w:r>
    </w:p>
    <w:p w14:paraId="25F35A13" w14:textId="77777777" w:rsidR="00C45DD5" w:rsidRPr="0014755A" w:rsidRDefault="00C45DD5" w:rsidP="00C45DD5">
      <w:pPr>
        <w:pStyle w:val="NormalHanging12a"/>
      </w:pPr>
      <w:r w:rsidRPr="0014755A">
        <w:t>6.</w:t>
      </w:r>
      <w:r w:rsidRPr="0014755A">
        <w:tab/>
        <w:t>podkreśla, że ochrona budżetu Unii musi pozostać podstawową wartością należytego zarządzania finansami, do której przestrzegania zobowiązane są wszystkie instytucje Unii, w tym agencje i organy zdecentralizowane, które muszą dawać jasny przykład odpowiedzialności i przejrzystości w odniesieniu do wykorzystywania europejskich funduszy publicznych; ponownie podkreśla potrzebę ściślejszej koordynacji i współpracy w ramach instytucjonalnych struktur zwalczania nadużyć finansowych, w szczególności w celu przyspieszenia i zwiększenia skuteczności dochodzeń OLAF-u, a tym samym dostosowania tych działań do szerszego celu, jakim jest ochrona finansów Unii;</w:t>
      </w:r>
    </w:p>
    <w:p w14:paraId="03D34D4B" w14:textId="77777777" w:rsidR="00C45DD5" w:rsidRPr="0014755A" w:rsidRDefault="00C45DD5" w:rsidP="00C45DD5">
      <w:pPr>
        <w:pStyle w:val="NormalHanging12a"/>
      </w:pPr>
      <w:r w:rsidRPr="0014755A">
        <w:t>7.</w:t>
      </w:r>
      <w:r w:rsidRPr="0014755A">
        <w:tab/>
        <w:t>wzywa Agencję i OLAF do podania do wiadomości publicznej zanonimizowanego streszczenia sprawozdania OLAF-u, w zakresie, w jakim jest to możliwe z prawnego punktu widzenia, w interesie przejrzystości i zaufania publicznego;</w:t>
      </w:r>
    </w:p>
    <w:p w14:paraId="5C48E72C" w14:textId="77777777" w:rsidR="00C45DD5" w:rsidRPr="0014755A" w:rsidRDefault="00C45DD5" w:rsidP="00C45DD5">
      <w:pPr>
        <w:pStyle w:val="NormalHanging12a"/>
      </w:pPr>
      <w:r w:rsidRPr="0014755A">
        <w:t>8.</w:t>
      </w:r>
      <w:r w:rsidRPr="0014755A">
        <w:tab/>
        <w:t>zauważa, że w następstwie dochodzenia OLAF wydał zalecenia dyscyplinarne i administracyjne;</w:t>
      </w:r>
    </w:p>
    <w:p w14:paraId="73D97446" w14:textId="77777777" w:rsidR="00C45DD5" w:rsidRPr="0014755A" w:rsidRDefault="00C45DD5" w:rsidP="00C45DD5">
      <w:pPr>
        <w:pStyle w:val="NormalHanging12a"/>
      </w:pPr>
      <w:r w:rsidRPr="0014755A">
        <w:t>9.</w:t>
      </w:r>
      <w:r w:rsidRPr="0014755A">
        <w:tab/>
        <w:t xml:space="preserve">zauważa, że w odniesieniu do zaleceń dyscyplinarnych zarząd postanowił, w ramach działań następczych, nie wszczynać postępowania dyscyplinarnego, a zamiast tego wydał pisemne zalecenia z ostrzeżeniem i zwrócił się do dyrektor wykonawczej o </w:t>
      </w:r>
      <w:r w:rsidRPr="0014755A">
        <w:lastRenderedPageBreak/>
        <w:t>przedstawienie konkretnych propozycji działań naprawczych oraz harmonogramu ich jak najszybszego wdrożenia; przyjmuje do wiadomości, że zgodnie z tym wnioskiem dyrektor wykonawcza przedłożyła zarządowi następujące dokumenty, w tym:</w:t>
      </w:r>
    </w:p>
    <w:p w14:paraId="784E93D8" w14:textId="77777777" w:rsidR="00C45DD5" w:rsidRPr="0014755A" w:rsidRDefault="00C45DD5" w:rsidP="00C45DD5">
      <w:pPr>
        <w:pStyle w:val="NormalHanging12a"/>
        <w:ind w:left="927" w:hanging="360"/>
      </w:pPr>
      <w:r w:rsidRPr="0014755A">
        <w:t>–</w:t>
      </w:r>
      <w:r w:rsidRPr="0014755A">
        <w:tab/>
        <w:t>zalecenia zarządu;</w:t>
      </w:r>
    </w:p>
    <w:p w14:paraId="798AAD64" w14:textId="77777777" w:rsidR="00C45DD5" w:rsidRPr="0014755A" w:rsidRDefault="00C45DD5" w:rsidP="00C45DD5">
      <w:pPr>
        <w:pStyle w:val="NormalHanging12a"/>
        <w:ind w:left="927" w:hanging="360"/>
      </w:pPr>
      <w:r w:rsidRPr="0014755A">
        <w:t>–</w:t>
      </w:r>
      <w:r w:rsidRPr="0014755A">
        <w:tab/>
        <w:t>aktualną sytuację w Agencji w odniesieniu do każdego zalecenia; oraz</w:t>
      </w:r>
    </w:p>
    <w:p w14:paraId="582AD322" w14:textId="77777777" w:rsidR="00C45DD5" w:rsidRPr="0014755A" w:rsidRDefault="00C45DD5" w:rsidP="00C45DD5">
      <w:pPr>
        <w:pStyle w:val="NormalHanging12a"/>
        <w:ind w:left="927" w:hanging="360"/>
      </w:pPr>
      <w:r w:rsidRPr="0014755A">
        <w:t>–</w:t>
      </w:r>
      <w:r w:rsidRPr="0014755A">
        <w:tab/>
        <w:t>dodatkowe działania naprawcze, które mają zostać wdrożone, z uwzględnieniem wstępnego harmonogramu ich realizacji; wzywa zarząd do podjęcia działań następczych w związku z zaleceniami i do poinformowania organu udzielającego absolutorium o ich pełnym i terminowym wdrożeniu;</w:t>
      </w:r>
    </w:p>
    <w:p w14:paraId="7DF2984A" w14:textId="6C4E821F" w:rsidR="00C45DD5" w:rsidRPr="0014755A" w:rsidRDefault="00C45DD5" w:rsidP="00C45DD5">
      <w:pPr>
        <w:pStyle w:val="NormalHanging12a"/>
      </w:pPr>
      <w:r w:rsidRPr="0014755A">
        <w:t>10.</w:t>
      </w:r>
      <w:r w:rsidRPr="0014755A">
        <w:tab/>
        <w:t xml:space="preserve">ubolewa, że po intensywnych obradach zarząd podjął decyzję o niewdrażaniu zaleceń dyscyplinarnych OLAF-u, które obejmowały między innymi wszczęcie postępowania dyscyplinarnego wobec dyrektor wykonawczej </w:t>
      </w:r>
      <w:r w:rsidR="00897F62" w:rsidRPr="0014755A">
        <w:t>Agencji</w:t>
      </w:r>
      <w:r w:rsidRPr="0014755A">
        <w:t xml:space="preserve"> lub innych pracowników Agencji, ponieważ ustalenia te wydają się mieć charakter systematyczny i podważają zaufanie do kierownictwa Agencji; podkreśla, że decyzja ta budzi wątpliwości co do zaangażowania Rady na rzecz rozliczalności i odpowiedzialności, zgodnie z oczekiwaniami instytucjonalnymi, oraz przyjmuje do wiadomości świadomą decyzję Rady o niewdrożeniu zaleceń po przeanalizowaniu poruszonych kwestii; podkreśla, że Parlament będzie nadal zwracał szczególną uwagę na podejmowane działania naprawcze; oczekuje, że Agencja wykaże się wzorowym podejściem do działań następczych, wysokimi standardami, wyraźną odpowiedzialnością za wdrażanie środków naprawczych i pełną rozliczalnością; wzywa Agencję do zapewnienia przejrzystości sprawozdawczości wobec Parlamentu, m.in. przez udostępnianie Parlamentowi protokołów obrad zarządu w celu wzmocnienia nadzoru parlamentarnego;</w:t>
      </w:r>
    </w:p>
    <w:p w14:paraId="5EC94006" w14:textId="77777777" w:rsidR="00C45DD5" w:rsidRPr="0014755A" w:rsidRDefault="00C45DD5" w:rsidP="00C45DD5">
      <w:pPr>
        <w:pStyle w:val="NormalHanging12a"/>
      </w:pPr>
      <w:r w:rsidRPr="0014755A">
        <w:t>11.</w:t>
      </w:r>
      <w:r w:rsidRPr="0014755A">
        <w:tab/>
        <w:t>zauważa, że dyrektor wykonawcza przygotowała „Oświadczenie dotyczące wizji przywództwa wdrażającego zmiany w Agencji Unii Europejskiej ds. Azylu” wraz z działaniami naprawczymi, które zostały już wdrożone, oraz działaniami naprawczymi, które mają zostać wdrożone; zwraca się do Agencji o poinformowanie organu udzielającego absolutorium o wdrożonych i planowanych działaniach naprawczych, wraz z terminami ich realizacji;</w:t>
      </w:r>
    </w:p>
    <w:p w14:paraId="69AA0ACE" w14:textId="77777777" w:rsidR="00C45DD5" w:rsidRPr="0014755A" w:rsidRDefault="00C45DD5" w:rsidP="00C45DD5">
      <w:pPr>
        <w:pStyle w:val="NormalHanging12a"/>
      </w:pPr>
      <w:r w:rsidRPr="0014755A">
        <w:t>12.</w:t>
      </w:r>
      <w:r w:rsidRPr="0014755A">
        <w:tab/>
        <w:t>wyraża zaniepokojenie, że zalecenia administracyjne dotyczyły praktyki oceniania pracowników przez kierowników sektorów, a nie kierowników działów, a także niedociągnięć w zarządzaniu konfliktami interesów w Agencji;</w:t>
      </w:r>
    </w:p>
    <w:p w14:paraId="3B6D7EDE" w14:textId="77777777" w:rsidR="00C45DD5" w:rsidRPr="0014755A" w:rsidRDefault="00C45DD5" w:rsidP="00C45DD5">
      <w:pPr>
        <w:pStyle w:val="NormalHanging12a"/>
      </w:pPr>
      <w:r w:rsidRPr="0014755A">
        <w:t>13.</w:t>
      </w:r>
      <w:r w:rsidRPr="0014755A">
        <w:tab/>
        <w:t>z zadowoleniem przyjmuje, że począwszy od 2025 r. kierownicy działów będą przeprowadzać oceny pracowników, jak przewidziano w obowiązujących przepisach;</w:t>
      </w:r>
    </w:p>
    <w:p w14:paraId="72A8D20D" w14:textId="77777777" w:rsidR="00C45DD5" w:rsidRPr="0014755A" w:rsidRDefault="00C45DD5" w:rsidP="00C45DD5">
      <w:pPr>
        <w:pStyle w:val="NormalHanging12a"/>
      </w:pPr>
      <w:r w:rsidRPr="0014755A">
        <w:t>14.</w:t>
      </w:r>
      <w:r w:rsidRPr="0014755A">
        <w:tab/>
        <w:t>wyraża głębokie ubolewanie z powodu niedociągnięć w zarządzaniu konfliktami interesów w Agencji, w szczególności z powodu obarczonego błędami rozpatrywania przez zarząd skarg na decyzje podejmowane przez dyrektor wykonawczą; podkreśla, że takie praktyki podważają rzetelność i wiarygodność Agencji; wzywa Agencję do niezwłocznego poinformowania organu udzielającego absolutorium o wprowadzonych działaniach naprawczych i zmianach organizacyjnych; podkreśla, że zaakceptowane zostaną jedynie solidne i wzorcowe ramy zarządzania konfliktami interesów;</w:t>
      </w:r>
    </w:p>
    <w:p w14:paraId="518F40E5" w14:textId="77777777" w:rsidR="00C45DD5" w:rsidRPr="0014755A" w:rsidRDefault="00C45DD5" w:rsidP="00C45DD5">
      <w:pPr>
        <w:pStyle w:val="NormalHanging12a"/>
      </w:pPr>
      <w:r w:rsidRPr="0014755A">
        <w:lastRenderedPageBreak/>
        <w:t>15.</w:t>
      </w:r>
      <w:r w:rsidRPr="0014755A">
        <w:tab/>
        <w:t>odnotowuje, że zarówno zarząd, jak i dyrektor wykonawcza uznają powagę zarzutów i poruszonych kwestii; przyznaje jednak, że dyrektor wykonawcza wyraziła sceptycyzm, powołując się na nadzwyczajne obciążenie pracą w sytuacjach kryzysowych, co nie może stanowić uzasadnienia dla odrzucenia ustaleń; podkreśla, że oprócz zrozumienia problemu konieczne są zdecydowane działania naprawcze, ich szybkie wdrożenie oraz pełna odpowiedzialność przed organem udzielającym absolutorium;</w:t>
      </w:r>
    </w:p>
    <w:p w14:paraId="7FB97AE9" w14:textId="77777777" w:rsidR="00C45DD5" w:rsidRPr="0014755A" w:rsidRDefault="00C45DD5" w:rsidP="00C45DD5">
      <w:pPr>
        <w:pStyle w:val="NormalHanging12a"/>
      </w:pPr>
      <w:r w:rsidRPr="0014755A">
        <w:t>16.</w:t>
      </w:r>
      <w:r w:rsidRPr="0014755A">
        <w:tab/>
        <w:t>z zaniepokojeniem odnotowuje powtarzające się niepowodzenia w zarządzaniu, w tym niezdolność zarządu do sprawowania terminowego i skutecznego nadzoru; ubolewa, że kilku nieprawidłowościom można było zapobiec dzięki lepszej kontroli wewnętrznej i proaktywnemu zaangażowaniu zarządu; podkreśla, że należy zająć się tym niepowodzeniem instytucjonalnym w sposób strukturalny, a nie tylko proceduralny;</w:t>
      </w:r>
    </w:p>
    <w:p w14:paraId="09AD482A" w14:textId="2B2AC27A" w:rsidR="00C45DD5" w:rsidRPr="0014755A" w:rsidRDefault="00C45DD5" w:rsidP="00C45DD5">
      <w:pPr>
        <w:pStyle w:val="NormalHanging12a"/>
      </w:pPr>
      <w:r w:rsidRPr="0014755A">
        <w:t>17.</w:t>
      </w:r>
      <w:r w:rsidRPr="0014755A">
        <w:tab/>
        <w:t xml:space="preserve">wyraża ubolewanie z powodu problemów związanych ze złym zarządzaniem, zwłaszcza w obszarze zasobów ludzkich, gdzie występują poważne nieprawidłowości, w szczególności w procedurach mianowania i naboru, naruszające regulamin pracowniczy urzędników i warunki zatrudnienia innych pracowników; jest świadomy, że w latach 2019–2022 Agencja stanęła w obliczu trudnych okoliczności, takich jak pandemia COVID-19, uruchomienie dyrektywy w sprawie tymczasowej ochrony lub wejście w życie rozporządzenia w sprawie </w:t>
      </w:r>
      <w:r w:rsidR="000D3E3B">
        <w:t>Agencji</w:t>
      </w:r>
      <w:r w:rsidR="000D3E3B">
        <w:rPr>
          <w:rStyle w:val="FootnoteReference"/>
        </w:rPr>
        <w:footnoteReference w:id="17"/>
      </w:r>
      <w:r w:rsidRPr="0014755A">
        <w:t xml:space="preserve"> z nowym mandatem, kompetencjami i obowiązkami; odrzuca jednak wszelkie próby wykorzystania takich okoliczności jako uzasadnienia nieprzestrzegania wiążących przepisów; wzywa Agencję do pełnego dostosowania procedur rekrutacji do obowiązujących przepisów i domaga się przyjęcia rygorystycznych i przejrzystych procedur opartych na osiągnięciach, będących pod ścisłym nadzorem organu udzielającego absolutorium, a także do przyjęcia wytycznych, które będą możliwe do egzekwowania;</w:t>
      </w:r>
    </w:p>
    <w:p w14:paraId="57B62F20" w14:textId="77777777" w:rsidR="00C45DD5" w:rsidRPr="0014755A" w:rsidRDefault="00C45DD5" w:rsidP="00C45DD5">
      <w:pPr>
        <w:pStyle w:val="NormalHanging12a"/>
      </w:pPr>
      <w:r w:rsidRPr="0014755A">
        <w:t>18.</w:t>
      </w:r>
      <w:r w:rsidRPr="0014755A">
        <w:tab/>
        <w:t>z zadowoleniem przyjmuje fakt, że od stycznia 2023 r. zaprzestano praktyki powoływania tymczasowych kierowników;</w:t>
      </w:r>
    </w:p>
    <w:p w14:paraId="033ABD7D" w14:textId="77777777" w:rsidR="00C45DD5" w:rsidRPr="0014755A" w:rsidRDefault="00C45DD5" w:rsidP="00C45DD5">
      <w:pPr>
        <w:pStyle w:val="NormalHanging12a"/>
      </w:pPr>
      <w:r w:rsidRPr="0014755A">
        <w:t>19.</w:t>
      </w:r>
      <w:r w:rsidRPr="0014755A">
        <w:tab/>
        <w:t>przypomina, że jednym z podstawowych zadań zarządu jest udzielanie ogólnych wskazówek dotyczących działalności Agencji i dopilnowanie, by Agencja sprawnie wykonywała swój mandat; uważa, że aby zapewnić ogólne wytyczne, zarząd musi mieć pojęcie i być należycie poinformowany o przepisach mających zastosowanie do Agencji, a także o kluczowych zmianach w zarządzaniu Agencją; ubolewa nad powtarzającymi się niedociągnięciami w tym zakresie i wzywa Agencję do ustanowienia skutecznych i przejrzystych procedur systematycznej komunikacji z zarządem;</w:t>
      </w:r>
    </w:p>
    <w:p w14:paraId="7F84163C" w14:textId="77777777" w:rsidR="00C45DD5" w:rsidRPr="0014755A" w:rsidRDefault="00C45DD5" w:rsidP="00C45DD5">
      <w:pPr>
        <w:pStyle w:val="NormalHanging12a"/>
      </w:pPr>
      <w:r w:rsidRPr="0014755A">
        <w:t>20.</w:t>
      </w:r>
      <w:r w:rsidRPr="0014755A">
        <w:tab/>
        <w:t>wzywa Komisję Europejską, która ma dwa miejsca w zarządzie, do aktywnego wspierania innych członków zarządu i pomagania im w zrozumieniu przepisów mających zastosowanie do Agencji oraz do identyfikowania i rozpowszechniania wniosków wyciągniętych z tej konkretnej sprawy w ramach szerszych działań zapobiegawczych; wzywa Agencję, aby poinformowała organ udzielający absolutorium o środkach przyjętych w celu poprawy komunikacji z zarządem;</w:t>
      </w:r>
    </w:p>
    <w:p w14:paraId="0955F3FD" w14:textId="77777777" w:rsidR="00C45DD5" w:rsidRPr="0014755A" w:rsidRDefault="00C45DD5" w:rsidP="00C45DD5">
      <w:pPr>
        <w:pStyle w:val="NormalHanging12a"/>
      </w:pPr>
      <w:r w:rsidRPr="0014755A">
        <w:lastRenderedPageBreak/>
        <w:t>21.</w:t>
      </w:r>
      <w:r w:rsidRPr="0014755A">
        <w:tab/>
        <w:t>z zadowoleniem przyjmuje sugestię Komisji przedstawioną podczas wymiany poglądów na temat możliwości dzielenia się służbami wspólnymi w niektórych obszarach horyzontalnych w agencjach zdecentralizowanych, ponieważ pomogłoby to w lepszym zarządzaniu procesami i bardziej efektywnym wykorzystaniu zasobów; zachęca Komisję do zbadania tej możliwości i zaproponowania konkretnych działań w tym zakresie;</w:t>
      </w:r>
    </w:p>
    <w:p w14:paraId="417DE296" w14:textId="77777777" w:rsidR="00C45DD5" w:rsidRPr="0014755A" w:rsidRDefault="00C45DD5" w:rsidP="00C45DD5">
      <w:pPr>
        <w:pStyle w:val="NormalHanging12a"/>
      </w:pPr>
      <w:r w:rsidRPr="0014755A">
        <w:t>22.</w:t>
      </w:r>
      <w:r w:rsidRPr="0014755A">
        <w:tab/>
        <w:t>wzywa Agencję do ustanowienia niezależnej wewnętrznej funkcji ds. etyki i podkreśla znaczenie posiadania solidnych przepisów dotyczących ochrony sygnalistów zgodnie z dyrektywą (UE) 2019/1937; podkreśla, że wewnętrzne kanały zgłaszania nieprawidłowości muszą być poufne, wiarygodne i cieszyć się zaufaniem ze strony pracowników wszystkich szczebli;</w:t>
      </w:r>
    </w:p>
    <w:p w14:paraId="156A7EBE" w14:textId="77777777" w:rsidR="00C45DD5" w:rsidRPr="0014755A" w:rsidRDefault="00C45DD5" w:rsidP="00C45DD5">
      <w:pPr>
        <w:pStyle w:val="NormalHanging12a"/>
      </w:pPr>
      <w:r w:rsidRPr="0014755A">
        <w:t>23.</w:t>
      </w:r>
      <w:r w:rsidRPr="0014755A">
        <w:tab/>
        <w:t>podkreśla, że chociaż niektóre z tych wydarzeń miały miejsce w 2021 i 2022 r., a nawet wcześniej, dochodzenie OLAF-u zostało zakończone dopiero w 2024 r.; podkreśla, że nie można jeszcze stwierdzić, że kwestie te zostały w pełni rozwiązane; podkreśla, że organ udzielający absolutorium zachowuje pełne prawo do wykonywania swoich obowiązków nadzorczych do czasu całkowitego zaradzenia sytuacji i jej wyjaśnienia; wzywa dyrektor wykonawczą i zarząd do rozpoznania i wyeliminowania wszelkich niedociągnięć strukturalnych zarówno w zarządzaniu zasobami ludzkimi w Agencji, jak i w funkcjach nadzorczych zarządu, a także do podjęcia skutecznych środków zapobiegających powtórzeniu się podobnych problemów, i zastrzega sobie prawo do wstrzymania lub uzależnienia przyszłych decyzji o udzieleniu absolutorium, jeśli Agencja nie przeprowadzi pełnej reformy strukturalnej;</w:t>
      </w:r>
    </w:p>
    <w:p w14:paraId="318D083B" w14:textId="77777777" w:rsidR="00C45DD5" w:rsidRPr="0014755A" w:rsidRDefault="00C45DD5" w:rsidP="00C45DD5">
      <w:pPr>
        <w:pStyle w:val="NormalHanging12a"/>
      </w:pPr>
      <w:r w:rsidRPr="0014755A">
        <w:t>24.</w:t>
      </w:r>
      <w:r w:rsidRPr="0014755A">
        <w:tab/>
        <w:t>ze szczególnym zaniepokojeniem odnotowuje niezwykle wysoki wskaźnik rotacji personelu, o czym mowa w sprawozdaniu OLAF-u, przy czym kierownictwo nie jest w stanie przedstawić zadowalającego wyjaśnienia; wzywa dyrektor wykonawczą i zarząd, a w szczególności zasiadających w nim przedstawicieli Komisji, do systematycznego przeprowadzania rozmów ze wszystkimi odchodzącymi pracownikami, do kompleksowego dokumentowania ustaleń oraz do poinformowania organu udzielającego absolutorium o wynikach i postępach osiągniętych w tym zakresie w ramach procedury udzielania absolutorium za rok 2024;</w:t>
      </w:r>
    </w:p>
    <w:p w14:paraId="0A8184AC" w14:textId="77777777" w:rsidR="00C45DD5" w:rsidRPr="0014755A" w:rsidRDefault="00C45DD5" w:rsidP="00C45DD5">
      <w:pPr>
        <w:pStyle w:val="NormalHanging12a"/>
      </w:pPr>
      <w:r w:rsidRPr="0014755A">
        <w:t>25.</w:t>
      </w:r>
      <w:r w:rsidRPr="0014755A">
        <w:tab/>
        <w:t>wyraża uznanie dla pracowników Agencji za ich poświęcenie i zaangażowanie w realizację zadań pomimo trudnych okoliczności; uważa, że zasadnicze znaczenie ma wspieranie pozytywnego środowiska pracy poprzez promowanie dobrych praktyk w zakresie zasobów ludzkich i wynagradzanie wyników opartych na osiągnięciach; wzywa zarząd i dyrektor wykonawczą do zadbania o to, by Agencja była bezpiecznym i wspierającym miejscem pracy, które zachęca do otwartej komunikacji i umożliwia pracownikom wypowiadanie się bez obawy przed represjami; wzywa Agencję do dopilnowania, aby wszystkie zgłoszenia dotyczące uchybień zawodowych były traktowane poważnie i dokładnie badane, a także do podjęcia odpowiednich działań następczych w celu utrzymania uczciwości i zaufania w organizacji;</w:t>
      </w:r>
    </w:p>
    <w:p w14:paraId="25CB67AB" w14:textId="77777777" w:rsidR="00C45DD5" w:rsidRPr="0014755A" w:rsidRDefault="00C45DD5" w:rsidP="00C45DD5">
      <w:pPr>
        <w:pStyle w:val="NormalHanging12a"/>
        <w:jc w:val="center"/>
      </w:pPr>
      <w:r w:rsidRPr="0014755A">
        <w:t>°</w:t>
      </w:r>
    </w:p>
    <w:p w14:paraId="0754D2E8" w14:textId="77777777" w:rsidR="00C45DD5" w:rsidRPr="0014755A" w:rsidRDefault="00C45DD5" w:rsidP="00C45DD5">
      <w:pPr>
        <w:pStyle w:val="NormalHanging12a"/>
        <w:jc w:val="center"/>
      </w:pPr>
      <w:r w:rsidRPr="0014755A">
        <w:t>°</w:t>
      </w:r>
      <w:r w:rsidRPr="0014755A">
        <w:tab/>
        <w:t>°</w:t>
      </w:r>
    </w:p>
    <w:p w14:paraId="5C2BC235" w14:textId="411B0D13" w:rsidR="0014755A" w:rsidRPr="0014755A" w:rsidRDefault="00C45DD5" w:rsidP="0014755A">
      <w:pPr>
        <w:pStyle w:val="CM1"/>
        <w:spacing w:before="120" w:after="120"/>
        <w:ind w:left="567" w:hanging="567"/>
      </w:pPr>
      <w:r w:rsidRPr="0014755A">
        <w:rPr>
          <w:rFonts w:ascii="Times New Roman" w:hAnsi="Times New Roman"/>
          <w:snapToGrid w:val="0"/>
        </w:rPr>
        <w:lastRenderedPageBreak/>
        <w:t>26.</w:t>
      </w:r>
      <w:r w:rsidRPr="0014755A">
        <w:rPr>
          <w:rFonts w:ascii="Times New Roman" w:hAnsi="Times New Roman"/>
          <w:snapToGrid w:val="0"/>
        </w:rPr>
        <w:tab/>
        <w:t>w odniesieniu do innych uwag odsyła do swojej rezolucji z 7 maja 2025 r.</w:t>
      </w:r>
      <w:r w:rsidRPr="0014755A">
        <w:rPr>
          <w:rStyle w:val="FootnoteReference"/>
          <w:rFonts w:ascii="Times New Roman" w:hAnsi="Times New Roman"/>
          <w:snapToGrid w:val="0"/>
        </w:rPr>
        <w:footnoteReference w:id="18"/>
      </w:r>
      <w:r w:rsidRPr="0014755A">
        <w:rPr>
          <w:rFonts w:ascii="Times New Roman" w:hAnsi="Times New Roman"/>
          <w:snapToGrid w:val="0"/>
        </w:rPr>
        <w:t xml:space="preserve"> zawierającej uwagi stanowiące integralną część decyzji w sprawie absolutorium z wykonania budżetu agencji Unii Europejskiej.</w:t>
      </w:r>
    </w:p>
    <w:p w14:paraId="52243ED4" w14:textId="1384F3B9" w:rsidR="00E365E1" w:rsidRPr="0014755A" w:rsidRDefault="00E365E1" w:rsidP="00A25F07"/>
    <w:sectPr w:rsidR="00E365E1" w:rsidRPr="0014755A" w:rsidSect="0014755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0CA52" w14:textId="77777777" w:rsidR="00A25F07" w:rsidRPr="0014755A" w:rsidRDefault="00A25F07">
      <w:r w:rsidRPr="0014755A">
        <w:separator/>
      </w:r>
    </w:p>
  </w:endnote>
  <w:endnote w:type="continuationSeparator" w:id="0">
    <w:p w14:paraId="4B904E6D" w14:textId="77777777" w:rsidR="00A25F07" w:rsidRPr="0014755A" w:rsidRDefault="00A25F07">
      <w:r w:rsidRPr="001475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Calibri"/>
    <w:charset w:val="00"/>
    <w:family w:val="auto"/>
    <w:pitch w:val="variable"/>
    <w:sig w:usb0="800002EF" w:usb1="1000E0F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5D3B6" w14:textId="77777777" w:rsidR="0014755A" w:rsidRPr="0014755A" w:rsidRDefault="001475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13765" w14:textId="77777777" w:rsidR="0014755A" w:rsidRPr="0014755A" w:rsidRDefault="001475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FED4F" w14:textId="77777777" w:rsidR="00C45DD5" w:rsidRPr="0014755A" w:rsidRDefault="00C45DD5" w:rsidP="00806EEE">
    <w:pPr>
      <w:pStyle w:val="EPFooter"/>
    </w:pPr>
    <w:r w:rsidRPr="0014755A">
      <w:rPr>
        <w:rStyle w:val="HideTWBExt"/>
      </w:rPr>
      <w:t>&lt;PathFdR&gt;</w:t>
    </w:r>
    <w:r w:rsidRPr="0014755A">
      <w:t>PR\1321847EN.docx</w:t>
    </w:r>
    <w:r w:rsidRPr="0014755A">
      <w:rPr>
        <w:rStyle w:val="HideTWBExt"/>
      </w:rPr>
      <w:t>&lt;/</w:t>
    </w:r>
    <w:proofErr w:type="spellStart"/>
    <w:r w:rsidRPr="0014755A">
      <w:rPr>
        <w:rStyle w:val="HideTWBExt"/>
      </w:rPr>
      <w:t>PathFdR</w:t>
    </w:r>
    <w:proofErr w:type="spellEnd"/>
    <w:r w:rsidRPr="0014755A">
      <w:rPr>
        <w:rStyle w:val="HideTWBExt"/>
      </w:rPr>
      <w:t>&gt;</w:t>
    </w:r>
    <w:r w:rsidRPr="0014755A">
      <w:tab/>
    </w:r>
    <w:r w:rsidRPr="0014755A">
      <w:fldChar w:fldCharType="begin"/>
    </w:r>
    <w:r w:rsidRPr="0014755A">
      <w:instrText xml:space="preserve"> PAGE </w:instrText>
    </w:r>
    <w:r w:rsidRPr="0014755A">
      <w:fldChar w:fldCharType="separate"/>
    </w:r>
    <w:r w:rsidRPr="0014755A">
      <w:rPr>
        <w:noProof/>
      </w:rPr>
      <w:t>4</w:t>
    </w:r>
    <w:r w:rsidRPr="0014755A">
      <w:fldChar w:fldCharType="end"/>
    </w:r>
    <w:r w:rsidRPr="0014755A">
      <w:t>/</w:t>
    </w:r>
    <w:r w:rsidRPr="0014755A">
      <w:fldChar w:fldCharType="begin"/>
    </w:r>
    <w:r w:rsidRPr="0014755A">
      <w:instrText xml:space="preserve"> NUMPAGES </w:instrText>
    </w:r>
    <w:r w:rsidRPr="0014755A">
      <w:fldChar w:fldCharType="separate"/>
    </w:r>
    <w:r w:rsidRPr="0014755A">
      <w:rPr>
        <w:noProof/>
      </w:rPr>
      <w:t>15</w:t>
    </w:r>
    <w:r w:rsidRPr="0014755A">
      <w:rPr>
        <w:noProof/>
      </w:rPr>
      <w:fldChar w:fldCharType="end"/>
    </w:r>
    <w:r w:rsidRPr="0014755A">
      <w:tab/>
      <w:t>PE</w:t>
    </w:r>
    <w:r w:rsidRPr="0014755A">
      <w:rPr>
        <w:rStyle w:val="HideTWBExt"/>
      </w:rPr>
      <w:t>&lt;</w:t>
    </w:r>
    <w:proofErr w:type="spellStart"/>
    <w:r w:rsidRPr="0014755A">
      <w:rPr>
        <w:rStyle w:val="HideTWBExt"/>
      </w:rPr>
      <w:t>NoPE</w:t>
    </w:r>
    <w:proofErr w:type="spellEnd"/>
    <w:r w:rsidRPr="0014755A">
      <w:rPr>
        <w:rStyle w:val="HideTWBExt"/>
      </w:rPr>
      <w:t>&gt;</w:t>
    </w:r>
    <w:r w:rsidRPr="0014755A">
      <w:t>774.259</w:t>
    </w:r>
    <w:r w:rsidRPr="0014755A">
      <w:rPr>
        <w:rStyle w:val="HideTWBExt"/>
      </w:rPr>
      <w:t>&lt;/</w:t>
    </w:r>
    <w:proofErr w:type="spellStart"/>
    <w:r w:rsidRPr="0014755A">
      <w:rPr>
        <w:rStyle w:val="HideTWBExt"/>
      </w:rPr>
      <w:t>NoPE</w:t>
    </w:r>
    <w:proofErr w:type="spellEnd"/>
    <w:r w:rsidRPr="0014755A">
      <w:rPr>
        <w:rStyle w:val="HideTWBExt"/>
      </w:rPr>
      <w:t>&gt;&lt;Version&gt;</w:t>
    </w:r>
    <w:r w:rsidRPr="0014755A">
      <w:t>v01-00</w:t>
    </w:r>
    <w:r w:rsidRPr="0014755A">
      <w:rPr>
        <w:rStyle w:val="HideTWBExt"/>
      </w:rPr>
      <w:t>&lt;/Version&gt;</w:t>
    </w:r>
  </w:p>
  <w:p w14:paraId="178FCE09" w14:textId="77777777" w:rsidR="00C45DD5" w:rsidRPr="0014755A" w:rsidRDefault="00C45DD5" w:rsidP="00806EEE">
    <w:pPr>
      <w:pStyle w:val="EPFooter2"/>
    </w:pPr>
    <w:r w:rsidRPr="0014755A">
      <w:tab/>
    </w:r>
    <w:r w:rsidRPr="0014755A">
      <w:tab/>
    </w:r>
    <w:r w:rsidRPr="0014755A">
      <w:fldChar w:fldCharType="begin"/>
    </w:r>
    <w:r w:rsidRPr="0014755A">
      <w:instrText xml:space="preserve"> DOCPROPERTY "&lt;Extension&gt;" </w:instrText>
    </w:r>
    <w:r w:rsidRPr="0014755A">
      <w:fldChar w:fldCharType="separate"/>
    </w:r>
    <w:r w:rsidRPr="0014755A">
      <w:t>PL</w:t>
    </w:r>
    <w:r w:rsidRPr="0014755A">
      <w:fldChar w:fldCharType="end"/>
    </w:r>
  </w:p>
  <w:p w14:paraId="02DFFD0D" w14:textId="77777777" w:rsidR="00C45DD5" w:rsidRPr="0014755A" w:rsidRDefault="00C45DD5" w:rsidP="00806EE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0C776" w14:textId="77777777" w:rsidR="00C45DD5" w:rsidRPr="0014755A" w:rsidRDefault="00C45DD5" w:rsidP="00806EEE">
    <w:pPr>
      <w:pStyle w:val="EPFooter"/>
    </w:pPr>
    <w:r w:rsidRPr="0014755A">
      <w:rPr>
        <w:rStyle w:val="HideTWBExt"/>
        <w:rFonts w:eastAsiaTheme="majorEastAsia"/>
      </w:rPr>
      <w:t>&lt;PathFdR&gt;</w:t>
    </w:r>
    <w:r w:rsidRPr="0014755A">
      <w:t>PR\1321847EN.docx</w:t>
    </w:r>
    <w:r w:rsidRPr="0014755A">
      <w:rPr>
        <w:rStyle w:val="HideTWBExt"/>
        <w:rFonts w:eastAsiaTheme="majorEastAsia"/>
      </w:rPr>
      <w:t>&lt;/</w:t>
    </w:r>
    <w:proofErr w:type="spellStart"/>
    <w:r w:rsidRPr="0014755A">
      <w:rPr>
        <w:rStyle w:val="HideTWBExt"/>
        <w:rFonts w:eastAsiaTheme="majorEastAsia"/>
      </w:rPr>
      <w:t>PathFdR</w:t>
    </w:r>
    <w:proofErr w:type="spellEnd"/>
    <w:r w:rsidRPr="0014755A">
      <w:rPr>
        <w:rStyle w:val="HideTWBExt"/>
        <w:rFonts w:eastAsiaTheme="majorEastAsia"/>
      </w:rPr>
      <w:t>&gt;</w:t>
    </w:r>
    <w:r w:rsidRPr="0014755A">
      <w:tab/>
    </w:r>
    <w:r w:rsidRPr="0014755A">
      <w:fldChar w:fldCharType="begin"/>
    </w:r>
    <w:r w:rsidRPr="0014755A">
      <w:instrText xml:space="preserve"> PAGE </w:instrText>
    </w:r>
    <w:r w:rsidRPr="0014755A">
      <w:fldChar w:fldCharType="separate"/>
    </w:r>
    <w:r w:rsidRPr="0014755A">
      <w:rPr>
        <w:noProof/>
      </w:rPr>
      <w:t>6</w:t>
    </w:r>
    <w:r w:rsidRPr="0014755A">
      <w:fldChar w:fldCharType="end"/>
    </w:r>
    <w:r w:rsidRPr="0014755A">
      <w:t>/</w:t>
    </w:r>
    <w:r w:rsidRPr="0014755A">
      <w:fldChar w:fldCharType="begin"/>
    </w:r>
    <w:r w:rsidRPr="0014755A">
      <w:instrText xml:space="preserve"> NUMPAGES </w:instrText>
    </w:r>
    <w:r w:rsidRPr="0014755A">
      <w:fldChar w:fldCharType="separate"/>
    </w:r>
    <w:r w:rsidRPr="0014755A">
      <w:rPr>
        <w:noProof/>
      </w:rPr>
      <w:t>15</w:t>
    </w:r>
    <w:r w:rsidRPr="0014755A">
      <w:rPr>
        <w:noProof/>
      </w:rPr>
      <w:fldChar w:fldCharType="end"/>
    </w:r>
    <w:r w:rsidRPr="0014755A">
      <w:tab/>
      <w:t>PE</w:t>
    </w:r>
    <w:r w:rsidRPr="0014755A">
      <w:rPr>
        <w:rStyle w:val="HideTWBExt"/>
        <w:rFonts w:eastAsiaTheme="majorEastAsia"/>
      </w:rPr>
      <w:t>&lt;</w:t>
    </w:r>
    <w:proofErr w:type="spellStart"/>
    <w:r w:rsidRPr="0014755A">
      <w:rPr>
        <w:rStyle w:val="HideTWBExt"/>
        <w:rFonts w:eastAsiaTheme="majorEastAsia"/>
      </w:rPr>
      <w:t>NoPE</w:t>
    </w:r>
    <w:proofErr w:type="spellEnd"/>
    <w:r w:rsidRPr="0014755A">
      <w:rPr>
        <w:rStyle w:val="HideTWBExt"/>
        <w:rFonts w:eastAsiaTheme="majorEastAsia"/>
      </w:rPr>
      <w:t>&gt;</w:t>
    </w:r>
    <w:r w:rsidRPr="0014755A">
      <w:t>774.259</w:t>
    </w:r>
    <w:r w:rsidRPr="0014755A">
      <w:rPr>
        <w:rStyle w:val="HideTWBExt"/>
        <w:rFonts w:eastAsiaTheme="majorEastAsia"/>
      </w:rPr>
      <w:t>&lt;/</w:t>
    </w:r>
    <w:proofErr w:type="spellStart"/>
    <w:r w:rsidRPr="0014755A">
      <w:rPr>
        <w:rStyle w:val="HideTWBExt"/>
        <w:rFonts w:eastAsiaTheme="majorEastAsia"/>
      </w:rPr>
      <w:t>NoPE</w:t>
    </w:r>
    <w:proofErr w:type="spellEnd"/>
    <w:r w:rsidRPr="0014755A">
      <w:rPr>
        <w:rStyle w:val="HideTWBExt"/>
        <w:rFonts w:eastAsiaTheme="majorEastAsia"/>
      </w:rPr>
      <w:t>&gt;&lt;Version&gt;</w:t>
    </w:r>
    <w:r w:rsidRPr="0014755A">
      <w:t>v01-00</w:t>
    </w:r>
    <w:r w:rsidRPr="0014755A">
      <w:rPr>
        <w:rStyle w:val="HideTWBExt"/>
        <w:rFonts w:eastAsiaTheme="majorEastAsia"/>
      </w:rPr>
      <w:t>&lt;/Version&gt;</w:t>
    </w:r>
  </w:p>
  <w:p w14:paraId="2AC0EF82" w14:textId="77777777" w:rsidR="00C45DD5" w:rsidRPr="0014755A" w:rsidRDefault="00C45DD5" w:rsidP="00806EEE">
    <w:pPr>
      <w:pStyle w:val="EPFooter2"/>
    </w:pPr>
    <w:r w:rsidRPr="0014755A">
      <w:tab/>
    </w:r>
    <w:r w:rsidRPr="0014755A">
      <w:tab/>
    </w:r>
    <w:r w:rsidRPr="0014755A">
      <w:fldChar w:fldCharType="begin"/>
    </w:r>
    <w:r w:rsidRPr="0014755A">
      <w:instrText xml:space="preserve"> DOCPROPERTY "&lt;Extension&gt;" </w:instrText>
    </w:r>
    <w:r w:rsidRPr="0014755A">
      <w:fldChar w:fldCharType="separate"/>
    </w:r>
    <w:r w:rsidRPr="0014755A">
      <w:t>PL</w:t>
    </w:r>
    <w:r w:rsidRPr="0014755A">
      <w:fldChar w:fldCharType="end"/>
    </w:r>
  </w:p>
  <w:p w14:paraId="46B10898" w14:textId="77777777" w:rsidR="00C45DD5" w:rsidRPr="0014755A" w:rsidRDefault="00C45DD5" w:rsidP="00806EE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351C6" w14:textId="77777777" w:rsidR="00064002" w:rsidRPr="0014755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1D569" w14:textId="77777777" w:rsidR="00064002" w:rsidRPr="0014755A" w:rsidRDefault="00064002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505DE" w14:textId="77777777" w:rsidR="00064002" w:rsidRPr="001475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CA548" w14:textId="77777777" w:rsidR="00A25F07" w:rsidRPr="0014755A" w:rsidRDefault="00A25F07">
      <w:r w:rsidRPr="0014755A">
        <w:separator/>
      </w:r>
    </w:p>
  </w:footnote>
  <w:footnote w:type="continuationSeparator" w:id="0">
    <w:p w14:paraId="16F52EAC" w14:textId="77777777" w:rsidR="00A25F07" w:rsidRPr="0014755A" w:rsidRDefault="00A25F07">
      <w:r w:rsidRPr="0014755A">
        <w:continuationSeparator/>
      </w:r>
    </w:p>
  </w:footnote>
  <w:footnote w:id="1">
    <w:p w14:paraId="71A06389" w14:textId="4D795ED6" w:rsidR="00C45DD5" w:rsidRPr="000D3E3B" w:rsidRDefault="00C45DD5" w:rsidP="0014755A">
      <w:pPr>
        <w:pStyle w:val="FootnoteText"/>
        <w:ind w:left="567" w:hanging="567"/>
        <w:rPr>
          <w:sz w:val="24"/>
          <w:lang w:val="fi-FI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0D3E3B">
        <w:rPr>
          <w:sz w:val="24"/>
          <w:lang w:val="fi-FI"/>
        </w:rPr>
        <w:t xml:space="preserve"> </w:t>
      </w:r>
      <w:r w:rsidR="0014755A" w:rsidRPr="000D3E3B">
        <w:rPr>
          <w:sz w:val="24"/>
          <w:lang w:val="fi-FI"/>
        </w:rPr>
        <w:tab/>
      </w:r>
      <w:proofErr w:type="spellStart"/>
      <w:r w:rsidRPr="000D3E3B">
        <w:rPr>
          <w:sz w:val="24"/>
          <w:lang w:val="fi-FI"/>
        </w:rPr>
        <w:t>Dz.U</w:t>
      </w:r>
      <w:proofErr w:type="spellEnd"/>
      <w:r w:rsidRPr="000D3E3B">
        <w:rPr>
          <w:sz w:val="24"/>
          <w:lang w:val="fi-FI"/>
        </w:rPr>
        <w:t xml:space="preserve">. C, C/2024/6332, 24.10.2024, ELI: </w:t>
      </w:r>
      <w:hyperlink r:id="rId1" w:history="1">
        <w:r w:rsidRPr="000D3E3B">
          <w:rPr>
            <w:rStyle w:val="Hyperlink"/>
            <w:sz w:val="24"/>
            <w:lang w:val="fi-FI"/>
          </w:rPr>
          <w:t>http://data.europa.eu/eli/C/2024/6332/oj</w:t>
        </w:r>
      </w:hyperlink>
      <w:r w:rsidRPr="000D3E3B">
        <w:rPr>
          <w:sz w:val="24"/>
          <w:lang w:val="fi-FI"/>
        </w:rPr>
        <w:t>.</w:t>
      </w:r>
    </w:p>
  </w:footnote>
  <w:footnote w:id="2">
    <w:p w14:paraId="3117759B" w14:textId="7D8B8CC3" w:rsidR="00C45DD5" w:rsidRPr="000D3E3B" w:rsidRDefault="00C45DD5" w:rsidP="0014755A">
      <w:pPr>
        <w:pStyle w:val="FootnoteText"/>
        <w:ind w:left="567" w:hanging="567"/>
        <w:rPr>
          <w:sz w:val="24"/>
          <w:lang w:val="fi-FI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0D3E3B">
        <w:rPr>
          <w:sz w:val="24"/>
          <w:lang w:val="fi-FI"/>
        </w:rPr>
        <w:t xml:space="preserve"> </w:t>
      </w:r>
      <w:r w:rsidR="0014755A" w:rsidRPr="000D3E3B">
        <w:rPr>
          <w:sz w:val="24"/>
          <w:lang w:val="fi-FI"/>
        </w:rPr>
        <w:tab/>
      </w:r>
      <w:proofErr w:type="spellStart"/>
      <w:r w:rsidRPr="000D3E3B">
        <w:rPr>
          <w:sz w:val="24"/>
          <w:lang w:val="fi-FI"/>
        </w:rPr>
        <w:t>Dz.U</w:t>
      </w:r>
      <w:proofErr w:type="spellEnd"/>
      <w:r w:rsidRPr="000D3E3B">
        <w:rPr>
          <w:sz w:val="24"/>
          <w:lang w:val="fi-FI"/>
        </w:rPr>
        <w:t xml:space="preserve">. C, C/2024/6041, 10.10.2024, ELI: </w:t>
      </w:r>
      <w:hyperlink r:id="rId2" w:history="1">
        <w:r w:rsidRPr="000D3E3B">
          <w:rPr>
            <w:rStyle w:val="Hyperlink"/>
            <w:sz w:val="24"/>
            <w:lang w:val="fi-FI"/>
          </w:rPr>
          <w:t>http://data.europa.eu/eli/C/2024/6041/oj</w:t>
        </w:r>
      </w:hyperlink>
      <w:r w:rsidRPr="000D3E3B">
        <w:rPr>
          <w:sz w:val="24"/>
          <w:lang w:val="fi-FI"/>
        </w:rPr>
        <w:t>.</w:t>
      </w:r>
    </w:p>
  </w:footnote>
  <w:footnote w:id="3">
    <w:p w14:paraId="6C079871" w14:textId="3279C4E6" w:rsidR="00C45DD5" w:rsidRPr="006D126B" w:rsidRDefault="00C45DD5" w:rsidP="0014755A">
      <w:pPr>
        <w:pStyle w:val="FootnoteText"/>
        <w:ind w:left="567" w:hanging="567"/>
        <w:rPr>
          <w:sz w:val="24"/>
          <w:szCs w:val="24"/>
          <w:lang w:val="pl-PL"/>
        </w:rPr>
      </w:pPr>
      <w:r w:rsidRPr="00092DDB">
        <w:rPr>
          <w:rStyle w:val="FootnoteReference"/>
          <w:sz w:val="24"/>
          <w:szCs w:val="24"/>
          <w:lang w:val="pl-PL"/>
        </w:rPr>
        <w:footnoteRef/>
      </w:r>
      <w:r w:rsidR="0014755A" w:rsidRPr="006D126B">
        <w:rPr>
          <w:sz w:val="24"/>
          <w:szCs w:val="24"/>
          <w:lang w:val="pl-PL"/>
        </w:rPr>
        <w:t xml:space="preserve"> </w:t>
      </w:r>
      <w:r w:rsidR="0014755A" w:rsidRPr="006D126B">
        <w:rPr>
          <w:sz w:val="24"/>
          <w:szCs w:val="24"/>
          <w:lang w:val="pl-PL"/>
        </w:rPr>
        <w:tab/>
      </w:r>
      <w:r w:rsidR="006D126B" w:rsidRPr="006D126B">
        <w:rPr>
          <w:sz w:val="24"/>
          <w:szCs w:val="24"/>
          <w:lang w:val="pl-PL"/>
        </w:rPr>
        <w:t>Dz.</w:t>
      </w:r>
      <w:r w:rsidR="006D126B">
        <w:rPr>
          <w:sz w:val="24"/>
          <w:szCs w:val="24"/>
          <w:lang w:val="pl-PL"/>
        </w:rPr>
        <w:t>U.</w:t>
      </w:r>
      <w:r w:rsidR="006D126B" w:rsidRPr="006D126B">
        <w:rPr>
          <w:sz w:val="24"/>
          <w:szCs w:val="24"/>
          <w:lang w:val="pl-PL"/>
        </w:rPr>
        <w:t xml:space="preserve"> L, 2025/1663, 8.10.2025, ELI: </w:t>
      </w:r>
      <w:hyperlink r:id="rId3" w:tgtFrame="_blank" w:tooltip="Gives access to this document through its ELI URI." w:history="1">
        <w:r w:rsidR="006D126B" w:rsidRPr="006D126B">
          <w:rPr>
            <w:rStyle w:val="Hyperlink"/>
            <w:sz w:val="24"/>
            <w:szCs w:val="24"/>
            <w:lang w:val="pl-PL"/>
          </w:rPr>
          <w:t>http://data.europa.eu/eli/dec/2025/1663/oj</w:t>
        </w:r>
      </w:hyperlink>
      <w:r w:rsidR="006D126B" w:rsidRPr="006D126B">
        <w:rPr>
          <w:sz w:val="24"/>
          <w:szCs w:val="24"/>
          <w:lang w:val="pl-PL"/>
        </w:rPr>
        <w:t>.</w:t>
      </w:r>
    </w:p>
  </w:footnote>
  <w:footnote w:id="4">
    <w:p w14:paraId="7A701EC8" w14:textId="21AC9DEE" w:rsidR="00C45DD5" w:rsidRPr="0014755A" w:rsidRDefault="00C45DD5" w:rsidP="0014755A">
      <w:pPr>
        <w:pStyle w:val="FootnoteText"/>
        <w:ind w:left="567" w:hanging="567"/>
        <w:rPr>
          <w:sz w:val="24"/>
          <w:lang w:val="pl-PL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14755A">
        <w:rPr>
          <w:sz w:val="24"/>
          <w:lang w:val="pl-PL"/>
        </w:rPr>
        <w:t xml:space="preserve"> </w:t>
      </w:r>
      <w:r w:rsidR="0014755A" w:rsidRPr="0014755A">
        <w:rPr>
          <w:sz w:val="24"/>
          <w:lang w:val="pl-PL"/>
        </w:rPr>
        <w:tab/>
      </w:r>
      <w:r w:rsidRPr="0014755A">
        <w:rPr>
          <w:sz w:val="24"/>
          <w:lang w:val="pl-PL"/>
        </w:rPr>
        <w:t xml:space="preserve">Dz.U. L 193 z </w:t>
      </w:r>
      <w:proofErr w:type="gramStart"/>
      <w:r w:rsidRPr="0014755A">
        <w:rPr>
          <w:sz w:val="24"/>
          <w:lang w:val="pl-PL"/>
        </w:rPr>
        <w:t>30.7.2018</w:t>
      </w:r>
      <w:proofErr w:type="gramEnd"/>
      <w:r w:rsidRPr="0014755A">
        <w:rPr>
          <w:sz w:val="24"/>
          <w:lang w:val="pl-PL"/>
        </w:rPr>
        <w:t xml:space="preserve">, s. 1., ELI: </w:t>
      </w:r>
      <w:hyperlink r:id="rId4" w:history="1">
        <w:r w:rsidRPr="0014755A">
          <w:rPr>
            <w:rStyle w:val="Hyperlink"/>
            <w:sz w:val="24"/>
            <w:lang w:val="pl-PL"/>
          </w:rPr>
          <w:t>http://data.europa.eu/eli/reg/2018/1046/oj</w:t>
        </w:r>
      </w:hyperlink>
      <w:r w:rsidRPr="0014755A">
        <w:rPr>
          <w:sz w:val="24"/>
          <w:lang w:val="pl-PL"/>
        </w:rPr>
        <w:t>.</w:t>
      </w:r>
    </w:p>
  </w:footnote>
  <w:footnote w:id="5">
    <w:p w14:paraId="3A59E90D" w14:textId="5E773B99" w:rsidR="00C45DD5" w:rsidRPr="000D3E3B" w:rsidRDefault="00C45DD5" w:rsidP="0014755A">
      <w:pPr>
        <w:pStyle w:val="FootnoteText"/>
        <w:ind w:left="567" w:hanging="567"/>
        <w:rPr>
          <w:sz w:val="24"/>
          <w:lang w:val="fi-FI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0D3E3B">
        <w:rPr>
          <w:sz w:val="24"/>
          <w:lang w:val="fi-FI"/>
        </w:rPr>
        <w:t xml:space="preserve"> </w:t>
      </w:r>
      <w:r w:rsidR="0014755A" w:rsidRPr="000D3E3B">
        <w:rPr>
          <w:sz w:val="24"/>
          <w:lang w:val="fi-FI"/>
        </w:rPr>
        <w:tab/>
      </w:r>
      <w:proofErr w:type="spellStart"/>
      <w:r w:rsidRPr="000D3E3B">
        <w:rPr>
          <w:sz w:val="24"/>
          <w:lang w:val="fi-FI"/>
        </w:rPr>
        <w:t>Dz.U</w:t>
      </w:r>
      <w:proofErr w:type="spellEnd"/>
      <w:r w:rsidRPr="000D3E3B">
        <w:rPr>
          <w:sz w:val="24"/>
          <w:lang w:val="fi-FI"/>
        </w:rPr>
        <w:t xml:space="preserve">. L, 2024/2509, 26.9.2024, ELI: </w:t>
      </w:r>
      <w:hyperlink r:id="rId5" w:history="1">
        <w:r w:rsidRPr="000D3E3B">
          <w:rPr>
            <w:rStyle w:val="Hyperlink"/>
            <w:sz w:val="24"/>
            <w:lang w:val="fi-FI"/>
          </w:rPr>
          <w:t>http://data.europa.eu/eli/reg/2024/2509/oj</w:t>
        </w:r>
      </w:hyperlink>
      <w:r w:rsidRPr="000D3E3B">
        <w:rPr>
          <w:sz w:val="24"/>
          <w:lang w:val="fi-FI"/>
        </w:rPr>
        <w:t>.</w:t>
      </w:r>
    </w:p>
  </w:footnote>
  <w:footnote w:id="6">
    <w:p w14:paraId="264E5E15" w14:textId="3B48DAE9" w:rsidR="00C45DD5" w:rsidRPr="0014755A" w:rsidRDefault="00C45DD5" w:rsidP="0014755A">
      <w:pPr>
        <w:pStyle w:val="FootnoteText"/>
        <w:ind w:left="567" w:hanging="567"/>
        <w:rPr>
          <w:sz w:val="24"/>
          <w:lang w:val="pl-PL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14755A">
        <w:rPr>
          <w:sz w:val="24"/>
          <w:lang w:val="pl-PL"/>
        </w:rPr>
        <w:t xml:space="preserve"> </w:t>
      </w:r>
      <w:r w:rsidR="0014755A" w:rsidRPr="0014755A">
        <w:rPr>
          <w:sz w:val="24"/>
          <w:lang w:val="pl-PL"/>
        </w:rPr>
        <w:tab/>
      </w:r>
      <w:r w:rsidRPr="0014755A">
        <w:rPr>
          <w:sz w:val="24"/>
          <w:lang w:val="pl-PL"/>
        </w:rPr>
        <w:t xml:space="preserve">Dz.U. L 132 z </w:t>
      </w:r>
      <w:proofErr w:type="gramStart"/>
      <w:r w:rsidRPr="0014755A">
        <w:rPr>
          <w:sz w:val="24"/>
          <w:lang w:val="pl-PL"/>
        </w:rPr>
        <w:t>29.5.2010</w:t>
      </w:r>
      <w:proofErr w:type="gramEnd"/>
      <w:r w:rsidRPr="0014755A">
        <w:rPr>
          <w:sz w:val="24"/>
          <w:lang w:val="pl-PL"/>
        </w:rPr>
        <w:t xml:space="preserve">, s. 11., ELI: </w:t>
      </w:r>
      <w:hyperlink r:id="rId6" w:history="1">
        <w:r w:rsidRPr="0014755A">
          <w:rPr>
            <w:rStyle w:val="Hyperlink"/>
            <w:sz w:val="24"/>
            <w:lang w:val="pl-PL"/>
          </w:rPr>
          <w:t>http://data.europa.eu/eli/reg/2010/439/oj</w:t>
        </w:r>
      </w:hyperlink>
      <w:r w:rsidRPr="0014755A">
        <w:rPr>
          <w:sz w:val="24"/>
          <w:lang w:val="pl-PL"/>
        </w:rPr>
        <w:t>.</w:t>
      </w:r>
    </w:p>
  </w:footnote>
  <w:footnote w:id="7">
    <w:p w14:paraId="277C149C" w14:textId="29D8EF83" w:rsidR="00C45DD5" w:rsidRPr="0014755A" w:rsidRDefault="00C45DD5" w:rsidP="0014755A">
      <w:pPr>
        <w:pStyle w:val="FootnoteText"/>
        <w:ind w:left="567" w:hanging="567"/>
        <w:rPr>
          <w:sz w:val="24"/>
          <w:lang w:val="pl-PL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14755A">
        <w:rPr>
          <w:sz w:val="24"/>
          <w:lang w:val="pl-PL"/>
        </w:rPr>
        <w:t xml:space="preserve"> </w:t>
      </w:r>
      <w:r w:rsidR="0014755A" w:rsidRPr="0014755A">
        <w:rPr>
          <w:sz w:val="24"/>
          <w:lang w:val="pl-PL"/>
        </w:rPr>
        <w:tab/>
      </w:r>
      <w:r w:rsidRPr="0014755A">
        <w:rPr>
          <w:sz w:val="24"/>
          <w:lang w:val="pl-PL"/>
        </w:rPr>
        <w:t xml:space="preserve">Dz.U. L 468 z 30.12.2021, s. 1, ELI: </w:t>
      </w:r>
      <w:hyperlink r:id="rId7" w:history="1">
        <w:r w:rsidRPr="0014755A">
          <w:rPr>
            <w:rStyle w:val="Hyperlink"/>
            <w:sz w:val="24"/>
            <w:lang w:val="pl-PL"/>
          </w:rPr>
          <w:t>http://data.europa.eu/eli/reg/2021/2303/oj</w:t>
        </w:r>
      </w:hyperlink>
      <w:r w:rsidRPr="0014755A">
        <w:rPr>
          <w:sz w:val="24"/>
          <w:lang w:val="pl-PL"/>
        </w:rPr>
        <w:t>.</w:t>
      </w:r>
    </w:p>
  </w:footnote>
  <w:footnote w:id="8">
    <w:p w14:paraId="5E2F7B5D" w14:textId="2C2FED76" w:rsidR="00C45DD5" w:rsidRPr="0014755A" w:rsidRDefault="00C45DD5" w:rsidP="0014755A">
      <w:pPr>
        <w:pStyle w:val="FootnoteText"/>
        <w:ind w:left="567" w:hanging="567"/>
        <w:rPr>
          <w:sz w:val="24"/>
          <w:lang w:val="pl-PL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14755A">
        <w:rPr>
          <w:sz w:val="24"/>
          <w:lang w:val="pl-PL"/>
        </w:rPr>
        <w:t xml:space="preserve"> </w:t>
      </w:r>
      <w:r w:rsidR="0014755A" w:rsidRPr="0014755A">
        <w:rPr>
          <w:sz w:val="24"/>
          <w:lang w:val="pl-PL"/>
        </w:rPr>
        <w:tab/>
      </w:r>
      <w:r w:rsidRPr="0014755A">
        <w:rPr>
          <w:sz w:val="24"/>
          <w:lang w:val="pl-PL"/>
        </w:rPr>
        <w:t xml:space="preserve">Dz.U. L 122 z </w:t>
      </w:r>
      <w:proofErr w:type="gramStart"/>
      <w:r w:rsidRPr="0014755A">
        <w:rPr>
          <w:sz w:val="24"/>
          <w:lang w:val="pl-PL"/>
        </w:rPr>
        <w:t>10.5.2019</w:t>
      </w:r>
      <w:proofErr w:type="gramEnd"/>
      <w:r w:rsidRPr="0014755A">
        <w:rPr>
          <w:sz w:val="24"/>
          <w:lang w:val="pl-PL"/>
        </w:rPr>
        <w:t xml:space="preserve">, s. 1., ELI: </w:t>
      </w:r>
      <w:hyperlink r:id="rId8" w:history="1">
        <w:r w:rsidRPr="0014755A">
          <w:rPr>
            <w:rStyle w:val="Hyperlink"/>
            <w:sz w:val="24"/>
            <w:lang w:val="pl-PL"/>
          </w:rPr>
          <w:t>http://data.europa.eu/eli/reg_del/2019/715/oj</w:t>
        </w:r>
      </w:hyperlink>
      <w:r w:rsidRPr="0014755A">
        <w:rPr>
          <w:sz w:val="24"/>
          <w:lang w:val="pl-PL"/>
        </w:rPr>
        <w:t>.</w:t>
      </w:r>
    </w:p>
  </w:footnote>
  <w:footnote w:id="9">
    <w:p w14:paraId="5E9C7EB1" w14:textId="317E1389" w:rsidR="00C45DD5" w:rsidRPr="000D3E3B" w:rsidRDefault="00C45DD5" w:rsidP="0014755A">
      <w:pPr>
        <w:pStyle w:val="FootnoteText"/>
        <w:ind w:left="567" w:hanging="567"/>
        <w:rPr>
          <w:sz w:val="24"/>
          <w:lang w:val="fi-FI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0D3E3B">
        <w:rPr>
          <w:sz w:val="24"/>
          <w:lang w:val="fi-FI"/>
        </w:rPr>
        <w:t xml:space="preserve"> </w:t>
      </w:r>
      <w:r w:rsidR="0014755A" w:rsidRPr="000D3E3B">
        <w:rPr>
          <w:sz w:val="24"/>
          <w:lang w:val="fi-FI"/>
        </w:rPr>
        <w:tab/>
      </w:r>
      <w:proofErr w:type="spellStart"/>
      <w:r w:rsidRPr="000D3E3B">
        <w:rPr>
          <w:sz w:val="24"/>
          <w:lang w:val="fi-FI"/>
        </w:rPr>
        <w:t>Dz.U</w:t>
      </w:r>
      <w:proofErr w:type="spellEnd"/>
      <w:r w:rsidRPr="000D3E3B">
        <w:rPr>
          <w:sz w:val="24"/>
          <w:lang w:val="fi-FI"/>
        </w:rPr>
        <w:t xml:space="preserve">. C, C/2024/6332, 24.10.2024, ELI: </w:t>
      </w:r>
      <w:hyperlink r:id="rId9" w:history="1">
        <w:r w:rsidRPr="000D3E3B">
          <w:rPr>
            <w:rStyle w:val="Hyperlink"/>
            <w:sz w:val="24"/>
            <w:lang w:val="fi-FI"/>
          </w:rPr>
          <w:t>http://data.europa.eu/eli/C/2024/6332/oj</w:t>
        </w:r>
      </w:hyperlink>
      <w:r w:rsidRPr="000D3E3B">
        <w:rPr>
          <w:sz w:val="24"/>
          <w:lang w:val="fi-FI"/>
        </w:rPr>
        <w:t>.</w:t>
      </w:r>
    </w:p>
  </w:footnote>
  <w:footnote w:id="10">
    <w:p w14:paraId="34B53953" w14:textId="3D4A470A" w:rsidR="00C45DD5" w:rsidRPr="000D3E3B" w:rsidRDefault="00C45DD5" w:rsidP="0014755A">
      <w:pPr>
        <w:pStyle w:val="FootnoteText"/>
        <w:ind w:left="567" w:hanging="567"/>
        <w:rPr>
          <w:sz w:val="24"/>
          <w:lang w:val="fi-FI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0D3E3B">
        <w:rPr>
          <w:sz w:val="24"/>
          <w:lang w:val="fi-FI"/>
        </w:rPr>
        <w:t xml:space="preserve"> </w:t>
      </w:r>
      <w:r w:rsidR="0014755A" w:rsidRPr="000D3E3B">
        <w:rPr>
          <w:sz w:val="24"/>
          <w:lang w:val="fi-FI"/>
        </w:rPr>
        <w:tab/>
      </w:r>
      <w:proofErr w:type="spellStart"/>
      <w:r w:rsidRPr="000D3E3B">
        <w:rPr>
          <w:sz w:val="24"/>
          <w:lang w:val="fi-FI"/>
        </w:rPr>
        <w:t>Dz.U</w:t>
      </w:r>
      <w:proofErr w:type="spellEnd"/>
      <w:r w:rsidRPr="000D3E3B">
        <w:rPr>
          <w:sz w:val="24"/>
          <w:lang w:val="fi-FI"/>
        </w:rPr>
        <w:t xml:space="preserve">. C, C/2024/6041, 10.10.2024, ELI: </w:t>
      </w:r>
      <w:hyperlink r:id="rId10" w:history="1">
        <w:r w:rsidRPr="000D3E3B">
          <w:rPr>
            <w:rStyle w:val="Hyperlink"/>
            <w:sz w:val="24"/>
            <w:lang w:val="fi-FI"/>
          </w:rPr>
          <w:t>http://data.europa.eu/eli/C/2024/6041/oj</w:t>
        </w:r>
      </w:hyperlink>
      <w:r w:rsidRPr="000D3E3B">
        <w:rPr>
          <w:sz w:val="24"/>
          <w:lang w:val="fi-FI"/>
        </w:rPr>
        <w:t>.</w:t>
      </w:r>
    </w:p>
  </w:footnote>
  <w:footnote w:id="11">
    <w:p w14:paraId="2764E3A5" w14:textId="7637757C" w:rsidR="00C45DD5" w:rsidRPr="006D126B" w:rsidRDefault="00C45DD5" w:rsidP="0014755A">
      <w:pPr>
        <w:pStyle w:val="FootnoteText"/>
        <w:ind w:left="567" w:hanging="567"/>
        <w:rPr>
          <w:sz w:val="24"/>
          <w:lang w:val="pl-PL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6D126B">
        <w:rPr>
          <w:sz w:val="24"/>
          <w:lang w:val="pl-PL"/>
        </w:rPr>
        <w:t xml:space="preserve"> </w:t>
      </w:r>
      <w:r w:rsidR="0014755A" w:rsidRPr="006D126B">
        <w:rPr>
          <w:sz w:val="24"/>
          <w:lang w:val="pl-PL"/>
        </w:rPr>
        <w:tab/>
      </w:r>
      <w:r w:rsidR="006D126B" w:rsidRPr="006D126B">
        <w:rPr>
          <w:sz w:val="24"/>
          <w:lang w:val="pl-PL"/>
        </w:rPr>
        <w:t>Dz</w:t>
      </w:r>
      <w:r w:rsidR="006D126B">
        <w:rPr>
          <w:sz w:val="24"/>
          <w:lang w:val="pl-PL"/>
        </w:rPr>
        <w:t>.U.</w:t>
      </w:r>
      <w:r w:rsidR="006D126B" w:rsidRPr="006D126B">
        <w:rPr>
          <w:sz w:val="24"/>
          <w:lang w:val="pl-PL"/>
        </w:rPr>
        <w:t xml:space="preserve"> L, 2025/1663, 8.10.2025, ELI: </w:t>
      </w:r>
      <w:hyperlink r:id="rId11" w:tgtFrame="_blank" w:tooltip="Gives access to this document through its ELI URI." w:history="1">
        <w:r w:rsidR="006D126B" w:rsidRPr="006D126B">
          <w:rPr>
            <w:rStyle w:val="Hyperlink"/>
            <w:sz w:val="24"/>
            <w:lang w:val="pl-PL"/>
          </w:rPr>
          <w:t>http://data.europa.eu/eli/dec/2025/1663/oj</w:t>
        </w:r>
      </w:hyperlink>
      <w:r w:rsidR="006D126B" w:rsidRPr="006D126B">
        <w:rPr>
          <w:sz w:val="24"/>
          <w:lang w:val="pl-PL"/>
        </w:rPr>
        <w:t>.</w:t>
      </w:r>
    </w:p>
  </w:footnote>
  <w:footnote w:id="12">
    <w:p w14:paraId="647DF726" w14:textId="4DB34EB5" w:rsidR="00C45DD5" w:rsidRPr="006D126B" w:rsidRDefault="00C45DD5" w:rsidP="0014755A">
      <w:pPr>
        <w:pStyle w:val="FootnoteText"/>
        <w:ind w:left="567" w:hanging="567"/>
        <w:rPr>
          <w:sz w:val="24"/>
          <w:szCs w:val="24"/>
          <w:lang w:val="pl-PL"/>
        </w:rPr>
      </w:pPr>
      <w:r w:rsidRPr="006D126B">
        <w:rPr>
          <w:rStyle w:val="FootnoteReference"/>
          <w:sz w:val="24"/>
          <w:szCs w:val="24"/>
          <w:lang w:val="pl-PL"/>
        </w:rPr>
        <w:footnoteRef/>
      </w:r>
      <w:r w:rsidR="0014755A" w:rsidRPr="006D126B">
        <w:rPr>
          <w:sz w:val="24"/>
          <w:szCs w:val="24"/>
          <w:lang w:val="pl-PL"/>
        </w:rPr>
        <w:t xml:space="preserve"> </w:t>
      </w:r>
      <w:r w:rsidR="0014755A" w:rsidRPr="006D126B">
        <w:rPr>
          <w:sz w:val="24"/>
          <w:szCs w:val="24"/>
          <w:lang w:val="pl-PL"/>
        </w:rPr>
        <w:tab/>
      </w:r>
      <w:r w:rsidRPr="006D126B">
        <w:rPr>
          <w:sz w:val="24"/>
          <w:szCs w:val="24"/>
          <w:lang w:val="pl-PL"/>
        </w:rPr>
        <w:t xml:space="preserve">Dz.U. L 193 z </w:t>
      </w:r>
      <w:proofErr w:type="gramStart"/>
      <w:r w:rsidRPr="006D126B">
        <w:rPr>
          <w:sz w:val="24"/>
          <w:szCs w:val="24"/>
          <w:lang w:val="pl-PL"/>
        </w:rPr>
        <w:t>30.7.2018</w:t>
      </w:r>
      <w:proofErr w:type="gramEnd"/>
      <w:r w:rsidRPr="006D126B">
        <w:rPr>
          <w:sz w:val="24"/>
          <w:szCs w:val="24"/>
          <w:lang w:val="pl-PL"/>
        </w:rPr>
        <w:t xml:space="preserve">, s. 1., ELI: </w:t>
      </w:r>
      <w:hyperlink r:id="rId12" w:history="1">
        <w:r w:rsidRPr="006D126B">
          <w:rPr>
            <w:rStyle w:val="Hyperlink"/>
            <w:sz w:val="24"/>
            <w:szCs w:val="24"/>
            <w:lang w:val="pl-PL"/>
          </w:rPr>
          <w:t>http://data.europa.eu/eli/reg/2018/1046/oj</w:t>
        </w:r>
      </w:hyperlink>
      <w:r w:rsidRPr="006D126B">
        <w:rPr>
          <w:sz w:val="24"/>
          <w:szCs w:val="24"/>
          <w:lang w:val="pl-PL"/>
        </w:rPr>
        <w:t>.</w:t>
      </w:r>
    </w:p>
  </w:footnote>
  <w:footnote w:id="13">
    <w:p w14:paraId="4F7F4E36" w14:textId="2FDFE87E" w:rsidR="00C45DD5" w:rsidRPr="000D3E3B" w:rsidRDefault="00C45DD5" w:rsidP="0014755A">
      <w:pPr>
        <w:pStyle w:val="FootnoteText"/>
        <w:ind w:left="567" w:hanging="567"/>
        <w:rPr>
          <w:sz w:val="24"/>
          <w:lang w:val="fi-FI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0D3E3B">
        <w:rPr>
          <w:sz w:val="24"/>
          <w:lang w:val="fi-FI"/>
        </w:rPr>
        <w:t xml:space="preserve"> </w:t>
      </w:r>
      <w:r w:rsidR="0014755A" w:rsidRPr="000D3E3B">
        <w:rPr>
          <w:sz w:val="24"/>
          <w:lang w:val="fi-FI"/>
        </w:rPr>
        <w:tab/>
      </w:r>
      <w:proofErr w:type="spellStart"/>
      <w:r w:rsidRPr="000D3E3B">
        <w:rPr>
          <w:sz w:val="24"/>
          <w:lang w:val="fi-FI"/>
        </w:rPr>
        <w:t>Dz.U</w:t>
      </w:r>
      <w:proofErr w:type="spellEnd"/>
      <w:r w:rsidRPr="000D3E3B">
        <w:rPr>
          <w:sz w:val="24"/>
          <w:lang w:val="fi-FI"/>
        </w:rPr>
        <w:t xml:space="preserve">. L, 2024/2509, 26.9.2024, ELI: </w:t>
      </w:r>
      <w:hyperlink r:id="rId13" w:history="1">
        <w:r w:rsidRPr="000D3E3B">
          <w:rPr>
            <w:rStyle w:val="Hyperlink"/>
            <w:sz w:val="24"/>
            <w:lang w:val="fi-FI"/>
          </w:rPr>
          <w:t>http://data.europa.eu/eli/reg/2024/2509/oj</w:t>
        </w:r>
      </w:hyperlink>
      <w:r w:rsidRPr="000D3E3B">
        <w:rPr>
          <w:sz w:val="24"/>
          <w:lang w:val="fi-FI"/>
        </w:rPr>
        <w:t>.</w:t>
      </w:r>
    </w:p>
  </w:footnote>
  <w:footnote w:id="14">
    <w:p w14:paraId="61E84C8D" w14:textId="25056366" w:rsidR="00C45DD5" w:rsidRPr="0014755A" w:rsidRDefault="00C45DD5" w:rsidP="0014755A">
      <w:pPr>
        <w:pStyle w:val="FootnoteText"/>
        <w:ind w:left="567" w:hanging="567"/>
        <w:rPr>
          <w:sz w:val="24"/>
          <w:lang w:val="pl-PL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14755A">
        <w:rPr>
          <w:sz w:val="24"/>
          <w:lang w:val="pl-PL"/>
        </w:rPr>
        <w:t xml:space="preserve"> </w:t>
      </w:r>
      <w:r w:rsidR="0014755A" w:rsidRPr="0014755A">
        <w:rPr>
          <w:sz w:val="24"/>
          <w:lang w:val="pl-PL"/>
        </w:rPr>
        <w:tab/>
      </w:r>
      <w:r w:rsidRPr="0014755A">
        <w:rPr>
          <w:sz w:val="24"/>
          <w:lang w:val="pl-PL"/>
        </w:rPr>
        <w:t xml:space="preserve">Dz.U. L 132 z </w:t>
      </w:r>
      <w:proofErr w:type="gramStart"/>
      <w:r w:rsidRPr="0014755A">
        <w:rPr>
          <w:sz w:val="24"/>
          <w:lang w:val="pl-PL"/>
        </w:rPr>
        <w:t>29.5.2010</w:t>
      </w:r>
      <w:proofErr w:type="gramEnd"/>
      <w:r w:rsidRPr="0014755A">
        <w:rPr>
          <w:sz w:val="24"/>
          <w:lang w:val="pl-PL"/>
        </w:rPr>
        <w:t xml:space="preserve">, s. 11., ELI: </w:t>
      </w:r>
      <w:hyperlink r:id="rId14" w:history="1">
        <w:r w:rsidRPr="0014755A">
          <w:rPr>
            <w:rStyle w:val="Hyperlink"/>
            <w:sz w:val="24"/>
            <w:lang w:val="pl-PL"/>
          </w:rPr>
          <w:t>http://data.europa.eu/eli/reg/2010/439/oj</w:t>
        </w:r>
      </w:hyperlink>
      <w:r w:rsidRPr="0014755A">
        <w:rPr>
          <w:sz w:val="24"/>
          <w:lang w:val="pl-PL"/>
        </w:rPr>
        <w:t>.</w:t>
      </w:r>
    </w:p>
  </w:footnote>
  <w:footnote w:id="15">
    <w:p w14:paraId="27CD9C62" w14:textId="6A8C81DE" w:rsidR="00C45DD5" w:rsidRPr="0014755A" w:rsidRDefault="00C45DD5" w:rsidP="0014755A">
      <w:pPr>
        <w:pStyle w:val="FootnoteText"/>
        <w:ind w:left="567" w:hanging="567"/>
        <w:rPr>
          <w:sz w:val="24"/>
          <w:lang w:val="pl-PL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14755A">
        <w:rPr>
          <w:sz w:val="24"/>
          <w:lang w:val="pl-PL"/>
        </w:rPr>
        <w:t xml:space="preserve"> </w:t>
      </w:r>
      <w:r w:rsidR="0014755A" w:rsidRPr="0014755A">
        <w:rPr>
          <w:sz w:val="24"/>
          <w:lang w:val="pl-PL"/>
        </w:rPr>
        <w:tab/>
      </w:r>
      <w:r w:rsidRPr="0014755A">
        <w:rPr>
          <w:sz w:val="24"/>
          <w:lang w:val="pl-PL"/>
        </w:rPr>
        <w:t xml:space="preserve">Dz.U. L 468 z 30.12.2021, s. 1, ELI: </w:t>
      </w:r>
      <w:hyperlink r:id="rId15" w:history="1">
        <w:r w:rsidRPr="0014755A">
          <w:rPr>
            <w:rStyle w:val="Hyperlink"/>
            <w:sz w:val="24"/>
            <w:lang w:val="pl-PL"/>
          </w:rPr>
          <w:t>http://data.europa.eu/eli/reg/2021/2303/oj</w:t>
        </w:r>
      </w:hyperlink>
      <w:r w:rsidRPr="0014755A">
        <w:rPr>
          <w:sz w:val="24"/>
          <w:lang w:val="pl-PL"/>
        </w:rPr>
        <w:t>.</w:t>
      </w:r>
    </w:p>
  </w:footnote>
  <w:footnote w:id="16">
    <w:p w14:paraId="15F5294E" w14:textId="66FD51FD" w:rsidR="00C45DD5" w:rsidRPr="0014755A" w:rsidRDefault="00C45DD5" w:rsidP="0014755A">
      <w:pPr>
        <w:pStyle w:val="FootnoteText"/>
        <w:ind w:left="567" w:hanging="567"/>
        <w:rPr>
          <w:sz w:val="24"/>
          <w:lang w:val="pl-PL"/>
        </w:rPr>
      </w:pPr>
      <w:r w:rsidRPr="0014755A">
        <w:rPr>
          <w:rStyle w:val="FootnoteReference"/>
          <w:sz w:val="24"/>
          <w:lang w:val="pl-PL"/>
        </w:rPr>
        <w:footnoteRef/>
      </w:r>
      <w:r w:rsidR="0014755A" w:rsidRPr="0014755A">
        <w:rPr>
          <w:sz w:val="24"/>
          <w:lang w:val="pl-PL"/>
        </w:rPr>
        <w:t xml:space="preserve"> </w:t>
      </w:r>
      <w:r w:rsidR="0014755A" w:rsidRPr="0014755A">
        <w:rPr>
          <w:sz w:val="24"/>
          <w:lang w:val="pl-PL"/>
        </w:rPr>
        <w:tab/>
      </w:r>
      <w:r w:rsidRPr="0014755A">
        <w:rPr>
          <w:sz w:val="24"/>
          <w:lang w:val="pl-PL"/>
        </w:rPr>
        <w:t xml:space="preserve">Dz.U. L 122 z </w:t>
      </w:r>
      <w:proofErr w:type="gramStart"/>
      <w:r w:rsidRPr="0014755A">
        <w:rPr>
          <w:sz w:val="24"/>
          <w:lang w:val="pl-PL"/>
        </w:rPr>
        <w:t>10.5.2019</w:t>
      </w:r>
      <w:proofErr w:type="gramEnd"/>
      <w:r w:rsidRPr="0014755A">
        <w:rPr>
          <w:sz w:val="24"/>
          <w:lang w:val="pl-PL"/>
        </w:rPr>
        <w:t xml:space="preserve">, s. 1., ELI: </w:t>
      </w:r>
      <w:hyperlink r:id="rId16" w:history="1">
        <w:r w:rsidRPr="0014755A">
          <w:rPr>
            <w:rStyle w:val="Hyperlink"/>
            <w:sz w:val="24"/>
            <w:lang w:val="pl-PL"/>
          </w:rPr>
          <w:t>http://data.europa.eu/eli/reg_del/2019/715/oj</w:t>
        </w:r>
      </w:hyperlink>
      <w:r w:rsidRPr="0014755A">
        <w:rPr>
          <w:sz w:val="24"/>
          <w:lang w:val="pl-PL"/>
        </w:rPr>
        <w:t>.</w:t>
      </w:r>
    </w:p>
  </w:footnote>
  <w:footnote w:id="17">
    <w:p w14:paraId="22738F33" w14:textId="000C3CEF" w:rsidR="000D3E3B" w:rsidRPr="000D3E3B" w:rsidRDefault="000D3E3B" w:rsidP="000D3E3B">
      <w:pPr>
        <w:pStyle w:val="FootnoteText"/>
        <w:rPr>
          <w:lang w:val="pl-PL"/>
        </w:rPr>
      </w:pPr>
      <w:r w:rsidRPr="000D3E3B">
        <w:rPr>
          <w:rStyle w:val="FootnoteReference"/>
        </w:rPr>
        <w:footnoteRef/>
      </w:r>
      <w:r w:rsidRPr="000D3E3B">
        <w:rPr>
          <w:lang w:val="pl-PL"/>
        </w:rPr>
        <w:t xml:space="preserve"> </w:t>
      </w:r>
      <w:r w:rsidRPr="000D3E3B">
        <w:rPr>
          <w:lang w:val="pl-PL"/>
        </w:rPr>
        <w:tab/>
        <w:t>Rozporządzenie Parlamentu Europejskiego i Rady (UE) 2021/2303 z dnia 15 grudnia 2021 r. ustanawiające Agencję Unii Europejskiej ds. Azylu i uchylające rozporządzenie (UE) nr 439/2010</w:t>
      </w:r>
      <w:r w:rsidRPr="000D3E3B">
        <w:rPr>
          <w:b/>
          <w:bCs/>
          <w:lang w:val="pl-PL"/>
        </w:rPr>
        <w:t xml:space="preserve"> </w:t>
      </w:r>
      <w:r w:rsidRPr="000D3E3B">
        <w:rPr>
          <w:lang w:val="pl-PL"/>
        </w:rPr>
        <w:t>(</w:t>
      </w:r>
      <w:r>
        <w:rPr>
          <w:sz w:val="24"/>
          <w:lang w:val="pl-PL"/>
        </w:rPr>
        <w:t>Dz.U.</w:t>
      </w:r>
      <w:r w:rsidRPr="000D3E3B">
        <w:rPr>
          <w:sz w:val="24"/>
          <w:lang w:val="pl-PL"/>
        </w:rPr>
        <w:t xml:space="preserve"> L 468</w:t>
      </w:r>
      <w:r>
        <w:rPr>
          <w:sz w:val="24"/>
          <w:lang w:val="pl-PL"/>
        </w:rPr>
        <w:t xml:space="preserve"> z</w:t>
      </w:r>
      <w:r w:rsidRPr="000D3E3B">
        <w:rPr>
          <w:sz w:val="24"/>
          <w:lang w:val="pl-PL"/>
        </w:rPr>
        <w:t xml:space="preserve"> 30.12.2021, </w:t>
      </w:r>
      <w:r>
        <w:rPr>
          <w:sz w:val="24"/>
          <w:lang w:val="pl-PL"/>
        </w:rPr>
        <w:t>s</w:t>
      </w:r>
      <w:r w:rsidRPr="000D3E3B">
        <w:rPr>
          <w:sz w:val="24"/>
          <w:lang w:val="pl-PL"/>
        </w:rPr>
        <w:t xml:space="preserve">. 1, ELI: </w:t>
      </w:r>
      <w:hyperlink r:id="rId17" w:history="1">
        <w:r w:rsidRPr="000D3E3B">
          <w:rPr>
            <w:rStyle w:val="Hyperlink"/>
            <w:sz w:val="24"/>
            <w:lang w:val="pl-PL"/>
          </w:rPr>
          <w:t>http://data.europa.eu/eli/reg/2021/2303/oj</w:t>
        </w:r>
      </w:hyperlink>
      <w:r w:rsidRPr="000D3E3B">
        <w:rPr>
          <w:rStyle w:val="Hyperlink"/>
          <w:sz w:val="24"/>
          <w:lang w:val="pl-PL"/>
        </w:rPr>
        <w:t>).</w:t>
      </w:r>
    </w:p>
  </w:footnote>
  <w:footnote w:id="18">
    <w:p w14:paraId="793E56AC" w14:textId="1E355B28" w:rsidR="00C45DD5" w:rsidRPr="00092DDB" w:rsidRDefault="00C45DD5" w:rsidP="0014755A">
      <w:pPr>
        <w:pStyle w:val="FootnoteText"/>
        <w:ind w:left="567" w:hanging="567"/>
        <w:rPr>
          <w:sz w:val="24"/>
          <w:szCs w:val="24"/>
          <w:lang w:val="pl-PL"/>
        </w:rPr>
      </w:pPr>
      <w:r w:rsidRPr="00092DDB">
        <w:rPr>
          <w:rStyle w:val="FootnoteReference"/>
          <w:sz w:val="24"/>
          <w:szCs w:val="24"/>
          <w:lang w:val="pl-PL"/>
        </w:rPr>
        <w:footnoteRef/>
      </w:r>
      <w:r w:rsidR="0014755A" w:rsidRPr="00092DDB">
        <w:rPr>
          <w:sz w:val="24"/>
          <w:szCs w:val="24"/>
          <w:lang w:val="pl-PL"/>
        </w:rPr>
        <w:t xml:space="preserve"> </w:t>
      </w:r>
      <w:r w:rsidR="0014755A" w:rsidRPr="00092DDB">
        <w:rPr>
          <w:sz w:val="24"/>
          <w:szCs w:val="24"/>
          <w:lang w:val="pl-PL"/>
        </w:rPr>
        <w:tab/>
      </w:r>
      <w:r w:rsidR="00092DDB">
        <w:rPr>
          <w:sz w:val="24"/>
          <w:szCs w:val="24"/>
          <w:lang w:val="pl-PL"/>
        </w:rPr>
        <w:t>Dz.U.</w:t>
      </w:r>
      <w:r w:rsidR="00092DDB" w:rsidRPr="00092DDB">
        <w:rPr>
          <w:sz w:val="24"/>
          <w:szCs w:val="24"/>
          <w:lang w:val="pl-PL"/>
        </w:rPr>
        <w:t xml:space="preserve"> L, 2025/1681, 8.10.2025, ELI: </w:t>
      </w:r>
      <w:hyperlink r:id="rId18" w:tgtFrame="_blank" w:tooltip="Gives access to this document through its ELI URI." w:history="1">
        <w:r w:rsidR="00092DDB" w:rsidRPr="00092DDB">
          <w:rPr>
            <w:rStyle w:val="Hyperlink"/>
            <w:sz w:val="24"/>
            <w:szCs w:val="24"/>
            <w:lang w:val="pl-PL"/>
          </w:rPr>
          <w:t>http://data.europa.eu/eli/res/2025/1681/oj</w:t>
        </w:r>
      </w:hyperlink>
      <w:r w:rsidRPr="00092DDB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6F7CB" w14:textId="77777777" w:rsidR="0014755A" w:rsidRPr="0014755A" w:rsidRDefault="001475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79BE3" w14:textId="77777777" w:rsidR="0014755A" w:rsidRPr="0014755A" w:rsidRDefault="001475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74315" w14:textId="77777777" w:rsidR="0014755A" w:rsidRPr="0014755A" w:rsidRDefault="0014755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49BC" w14:textId="77777777" w:rsidR="00064002" w:rsidRPr="0014755A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78B3F" w14:textId="77777777" w:rsidR="00064002" w:rsidRPr="0014755A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E01E5" w14:textId="77777777" w:rsidR="00064002" w:rsidRPr="001475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536472">
    <w:abstractNumId w:val="9"/>
  </w:num>
  <w:num w:numId="2" w16cid:durableId="1719432459">
    <w:abstractNumId w:val="9"/>
  </w:num>
  <w:num w:numId="3" w16cid:durableId="829755703">
    <w:abstractNumId w:val="7"/>
  </w:num>
  <w:num w:numId="4" w16cid:durableId="13961857">
    <w:abstractNumId w:val="7"/>
  </w:num>
  <w:num w:numId="5" w16cid:durableId="352190493">
    <w:abstractNumId w:val="6"/>
  </w:num>
  <w:num w:numId="6" w16cid:durableId="933442141">
    <w:abstractNumId w:val="6"/>
  </w:num>
  <w:num w:numId="7" w16cid:durableId="53168401">
    <w:abstractNumId w:val="5"/>
  </w:num>
  <w:num w:numId="8" w16cid:durableId="217935294">
    <w:abstractNumId w:val="5"/>
  </w:num>
  <w:num w:numId="9" w16cid:durableId="422994892">
    <w:abstractNumId w:val="4"/>
  </w:num>
  <w:num w:numId="10" w16cid:durableId="381367774">
    <w:abstractNumId w:val="4"/>
  </w:num>
  <w:num w:numId="11" w16cid:durableId="866721173">
    <w:abstractNumId w:val="8"/>
  </w:num>
  <w:num w:numId="12" w16cid:durableId="820459503">
    <w:abstractNumId w:val="8"/>
  </w:num>
  <w:num w:numId="13" w16cid:durableId="2057000543">
    <w:abstractNumId w:val="3"/>
  </w:num>
  <w:num w:numId="14" w16cid:durableId="306203245">
    <w:abstractNumId w:val="3"/>
  </w:num>
  <w:num w:numId="15" w16cid:durableId="507403415">
    <w:abstractNumId w:val="2"/>
  </w:num>
  <w:num w:numId="16" w16cid:durableId="1273628144">
    <w:abstractNumId w:val="2"/>
  </w:num>
  <w:num w:numId="17" w16cid:durableId="1888684779">
    <w:abstractNumId w:val="1"/>
  </w:num>
  <w:num w:numId="18" w16cid:durableId="322927521">
    <w:abstractNumId w:val="1"/>
  </w:num>
  <w:num w:numId="19" w16cid:durableId="82193539">
    <w:abstractNumId w:val="0"/>
  </w:num>
  <w:num w:numId="20" w16cid:durableId="674191791">
    <w:abstractNumId w:val="0"/>
  </w:num>
  <w:num w:numId="21" w16cid:durableId="1943147327">
    <w:abstractNumId w:val="9"/>
  </w:num>
  <w:num w:numId="22" w16cid:durableId="954751997">
    <w:abstractNumId w:val="7"/>
  </w:num>
  <w:num w:numId="23" w16cid:durableId="1972058389">
    <w:abstractNumId w:val="6"/>
  </w:num>
  <w:num w:numId="24" w16cid:durableId="2069955848">
    <w:abstractNumId w:val="5"/>
  </w:num>
  <w:num w:numId="25" w16cid:durableId="1134908244">
    <w:abstractNumId w:val="4"/>
  </w:num>
  <w:num w:numId="26" w16cid:durableId="45108763">
    <w:abstractNumId w:val="8"/>
  </w:num>
  <w:num w:numId="27" w16cid:durableId="1103106717">
    <w:abstractNumId w:val="3"/>
  </w:num>
  <w:num w:numId="28" w16cid:durableId="1676107288">
    <w:abstractNumId w:val="2"/>
  </w:num>
  <w:num w:numId="29" w16cid:durableId="1357540294">
    <w:abstractNumId w:val="1"/>
  </w:num>
  <w:num w:numId="30" w16cid:durableId="1369330971">
    <w:abstractNumId w:val="0"/>
  </w:num>
  <w:num w:numId="31" w16cid:durableId="243221589">
    <w:abstractNumId w:val="9"/>
  </w:num>
  <w:num w:numId="32" w16cid:durableId="1298947150">
    <w:abstractNumId w:val="7"/>
  </w:num>
  <w:num w:numId="33" w16cid:durableId="564266276">
    <w:abstractNumId w:val="6"/>
  </w:num>
  <w:num w:numId="34" w16cid:durableId="1294870040">
    <w:abstractNumId w:val="5"/>
  </w:num>
  <w:num w:numId="35" w16cid:durableId="1186674707">
    <w:abstractNumId w:val="4"/>
  </w:num>
  <w:num w:numId="36" w16cid:durableId="245648831">
    <w:abstractNumId w:val="8"/>
  </w:num>
  <w:num w:numId="37" w16cid:durableId="1165053810">
    <w:abstractNumId w:val="3"/>
  </w:num>
  <w:num w:numId="38" w16cid:durableId="16279589">
    <w:abstractNumId w:val="2"/>
  </w:num>
  <w:num w:numId="39" w16cid:durableId="1836608594">
    <w:abstractNumId w:val="1"/>
  </w:num>
  <w:num w:numId="40" w16cid:durableId="1342470595">
    <w:abstractNumId w:val="0"/>
  </w:num>
  <w:num w:numId="41" w16cid:durableId="1596786776">
    <w:abstractNumId w:val="10"/>
  </w:num>
  <w:num w:numId="42" w16cid:durableId="753741135">
    <w:abstractNumId w:val="10"/>
  </w:num>
  <w:num w:numId="43" w16cid:durableId="897858285">
    <w:abstractNumId w:val="10"/>
  </w:num>
  <w:num w:numId="44" w16cid:durableId="286159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5"/>
    <w:docVar w:name="dvlangue" w:val="PL"/>
    <w:docVar w:name="dvnumam" w:val="0"/>
    <w:docVar w:name="dvpe" w:val="774.259"/>
    <w:docVar w:name="dvrapporteur" w:val="Sprawozdawca: "/>
    <w:docVar w:name="dvstar" w:val="??"/>
    <w:docVar w:name="dvtitre" w:val="Decyzja Parlamentu Europejskiego z dnia  2025 r. w sprawie absolutorium z wykonania budżetu agencji Unii Europejskiej za rok budżetowy 2023(2024/2030(DEC))"/>
  </w:docVars>
  <w:rsids>
    <w:rsidRoot w:val="00A25F07"/>
    <w:rsid w:val="00002272"/>
    <w:rsid w:val="00064002"/>
    <w:rsid w:val="000677B9"/>
    <w:rsid w:val="000831BA"/>
    <w:rsid w:val="00092DDB"/>
    <w:rsid w:val="000A42CC"/>
    <w:rsid w:val="000D3E3B"/>
    <w:rsid w:val="000E7DD9"/>
    <w:rsid w:val="0010095E"/>
    <w:rsid w:val="00125B37"/>
    <w:rsid w:val="0014755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415"/>
    <w:rsid w:val="004C0004"/>
    <w:rsid w:val="004C5D52"/>
    <w:rsid w:val="004F43F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CAE"/>
    <w:rsid w:val="00680577"/>
    <w:rsid w:val="006D126B"/>
    <w:rsid w:val="006F74FA"/>
    <w:rsid w:val="00731ADD"/>
    <w:rsid w:val="00734777"/>
    <w:rsid w:val="00745EE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661"/>
    <w:rsid w:val="00865F67"/>
    <w:rsid w:val="00881A7B"/>
    <w:rsid w:val="008840E5"/>
    <w:rsid w:val="00887B3E"/>
    <w:rsid w:val="00897F62"/>
    <w:rsid w:val="008C2AC6"/>
    <w:rsid w:val="00930C23"/>
    <w:rsid w:val="0093193B"/>
    <w:rsid w:val="009509D8"/>
    <w:rsid w:val="00950B64"/>
    <w:rsid w:val="00981893"/>
    <w:rsid w:val="00A1687D"/>
    <w:rsid w:val="00A25F0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DD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7ACC0"/>
  <w15:chartTrackingRefBased/>
  <w15:docId w15:val="{FA3819C5-2BD5-4381-A933-2DC2366C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45DD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45DD5"/>
    <w:pPr>
      <w:spacing w:before="480" w:after="240"/>
    </w:pPr>
  </w:style>
  <w:style w:type="paragraph" w:customStyle="1" w:styleId="NormalBold">
    <w:name w:val="NormalBold"/>
    <w:basedOn w:val="Normal"/>
    <w:rsid w:val="00C45DD5"/>
    <w:rPr>
      <w:b/>
    </w:rPr>
  </w:style>
  <w:style w:type="paragraph" w:customStyle="1" w:styleId="NormalHanging12a">
    <w:name w:val="NormalHanging12a"/>
    <w:basedOn w:val="Normal"/>
    <w:link w:val="NormalHanging12aChar"/>
    <w:rsid w:val="00C45DD5"/>
    <w:pPr>
      <w:spacing w:after="240"/>
      <w:ind w:left="567" w:hanging="567"/>
    </w:pPr>
  </w:style>
  <w:style w:type="paragraph" w:customStyle="1" w:styleId="EPFooter">
    <w:name w:val="EPFooter"/>
    <w:basedOn w:val="Normal"/>
    <w:rsid w:val="00C45DD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C45DD5"/>
    <w:rPr>
      <w:sz w:val="24"/>
      <w:lang w:val="pl-PL"/>
    </w:rPr>
  </w:style>
  <w:style w:type="paragraph" w:customStyle="1" w:styleId="PageHeadingDec">
    <w:name w:val="PageHeadingDec"/>
    <w:basedOn w:val="Normal"/>
    <w:link w:val="PageHeadingDecChar"/>
    <w:qFormat/>
    <w:rsid w:val="00C45DD5"/>
    <w:pPr>
      <w:keepNext/>
      <w:spacing w:after="480"/>
      <w:jc w:val="center"/>
    </w:pPr>
    <w:rPr>
      <w:rFonts w:cs="Arial"/>
      <w:b/>
    </w:rPr>
  </w:style>
  <w:style w:type="character" w:customStyle="1" w:styleId="PageHeadingDecChar">
    <w:name w:val="PageHeadingDec Char"/>
    <w:basedOn w:val="DefaultParagraphFont"/>
    <w:link w:val="PageHeadingDec"/>
    <w:rsid w:val="00C45DD5"/>
    <w:rPr>
      <w:rFonts w:cs="Arial"/>
      <w:b/>
      <w:sz w:val="24"/>
      <w:lang w:val="pl-PL"/>
    </w:rPr>
  </w:style>
  <w:style w:type="paragraph" w:customStyle="1" w:styleId="PageHeadingNotTOC">
    <w:name w:val="PageHeadingNotTOC"/>
    <w:basedOn w:val="Normal"/>
    <w:rsid w:val="00C45DD5"/>
    <w:pPr>
      <w:keepNext/>
      <w:spacing w:after="480"/>
      <w:jc w:val="center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iPriority w:val="99"/>
    <w:rsid w:val="00C45D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5DD5"/>
    <w:rPr>
      <w:sz w:val="24"/>
      <w:lang w:val="pl-PL"/>
    </w:rPr>
  </w:style>
  <w:style w:type="character" w:styleId="Hyperlink">
    <w:name w:val="Hyperlink"/>
    <w:basedOn w:val="DefaultParagraphFont"/>
    <w:uiPriority w:val="99"/>
    <w:rsid w:val="00C45DD5"/>
    <w:rPr>
      <w:color w:val="0563C1" w:themeColor="hyperlink"/>
      <w:u w:val="single"/>
    </w:rPr>
  </w:style>
  <w:style w:type="paragraph" w:customStyle="1" w:styleId="CM1">
    <w:name w:val="CM1"/>
    <w:basedOn w:val="Normal"/>
    <w:next w:val="Normal"/>
    <w:rsid w:val="00C45DD5"/>
    <w:pPr>
      <w:widowControl/>
      <w:autoSpaceDE w:val="0"/>
      <w:autoSpaceDN w:val="0"/>
      <w:adjustRightInd w:val="0"/>
    </w:pPr>
    <w:rPr>
      <w:rFonts w:ascii="EUAlbertina" w:hAnsi="EUAlbertina"/>
      <w:szCs w:val="24"/>
    </w:rPr>
  </w:style>
  <w:style w:type="paragraph" w:styleId="Header">
    <w:name w:val="header"/>
    <w:basedOn w:val="Normal"/>
    <w:link w:val="HeaderChar"/>
    <w:rsid w:val="001475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755A"/>
    <w:rPr>
      <w:sz w:val="24"/>
      <w:lang w:val="pl-PL"/>
    </w:rPr>
  </w:style>
  <w:style w:type="character" w:customStyle="1" w:styleId="citation-88">
    <w:name w:val="citation-88"/>
    <w:basedOn w:val="DefaultParagraphFont"/>
    <w:rsid w:val="000D3E3B"/>
  </w:style>
  <w:style w:type="character" w:styleId="FollowedHyperlink">
    <w:name w:val="FollowedHyperlink"/>
    <w:basedOn w:val="DefaultParagraphFont"/>
    <w:rsid w:val="000D3E3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4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del/2019/715/oj" TargetMode="External"/><Relationship Id="rId13" Type="http://schemas.openxmlformats.org/officeDocument/2006/relationships/hyperlink" Target="http://data.europa.eu/eli/reg/2024/2509/oj" TargetMode="External"/><Relationship Id="rId18" Type="http://schemas.openxmlformats.org/officeDocument/2006/relationships/hyperlink" Target="http://data.europa.eu/eli/res/2025/1681/oj" TargetMode="External"/><Relationship Id="rId3" Type="http://schemas.openxmlformats.org/officeDocument/2006/relationships/hyperlink" Target="http://data.europa.eu/eli/dec/2025/1663/oj" TargetMode="External"/><Relationship Id="rId7" Type="http://schemas.openxmlformats.org/officeDocument/2006/relationships/hyperlink" Target="http://data.europa.eu/eli/reg/2021/2303/oj" TargetMode="External"/><Relationship Id="rId12" Type="http://schemas.openxmlformats.org/officeDocument/2006/relationships/hyperlink" Target="http://data.europa.eu/eli/reg/2018/1046/oj" TargetMode="External"/><Relationship Id="rId17" Type="http://schemas.openxmlformats.org/officeDocument/2006/relationships/hyperlink" Target="http://data.europa.eu/eli/reg/2021/2303/oj" TargetMode="External"/><Relationship Id="rId2" Type="http://schemas.openxmlformats.org/officeDocument/2006/relationships/hyperlink" Target="http://data.europa.eu/eli/C/2024/6041/oj" TargetMode="External"/><Relationship Id="rId16" Type="http://schemas.openxmlformats.org/officeDocument/2006/relationships/hyperlink" Target="http://data.europa.eu/eli/reg_del/2019/715/oj" TargetMode="External"/><Relationship Id="rId1" Type="http://schemas.openxmlformats.org/officeDocument/2006/relationships/hyperlink" Target="http://data.europa.eu/eli/C/2024/6332/oj" TargetMode="External"/><Relationship Id="rId6" Type="http://schemas.openxmlformats.org/officeDocument/2006/relationships/hyperlink" Target="http://data.europa.eu/eli/reg/2010/439/oj" TargetMode="External"/><Relationship Id="rId11" Type="http://schemas.openxmlformats.org/officeDocument/2006/relationships/hyperlink" Target="http://data.europa.eu/eli/dec/2025/1663/oj" TargetMode="External"/><Relationship Id="rId5" Type="http://schemas.openxmlformats.org/officeDocument/2006/relationships/hyperlink" Target="http://data.europa.eu/eli/reg/2024/2509/oj" TargetMode="External"/><Relationship Id="rId15" Type="http://schemas.openxmlformats.org/officeDocument/2006/relationships/hyperlink" Target="http://data.europa.eu/eli/reg/2021/2303/oj" TargetMode="External"/><Relationship Id="rId10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reg/2018/1046/oj" TargetMode="External"/><Relationship Id="rId9" Type="http://schemas.openxmlformats.org/officeDocument/2006/relationships/hyperlink" Target="http://data.europa.eu/eli/C/2024/6332/oj" TargetMode="External"/><Relationship Id="rId14" Type="http://schemas.openxmlformats.org/officeDocument/2006/relationships/hyperlink" Target="http://data.europa.eu/eli/reg/2010/4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2762</Words>
  <Characters>18793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2025-10-23T12:42:00Z</dcterms:created>
  <dcterms:modified xsi:type="dcterms:W3CDTF">2025-10-23T12:42:00Z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P10_TA(2025)0246_</vt:lpwstr>
  </property>
  <property fmtid="{D5CDD505-2E9C-101B-9397-08002B2CF9AE}" pid="4" name="&lt;Type&gt;">
    <vt:lpwstr>RR</vt:lpwstr>
  </property>
</Properties>
</file>