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23AA" w14:paraId="1E3E0E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24F003" w14:textId="35759696" w:rsidR="00751A4A" w:rsidRPr="00F223AA" w:rsidRDefault="00957A92" w:rsidP="0010095E">
            <w:pPr>
              <w:pStyle w:val="EPName"/>
            </w:pPr>
            <w:r w:rsidRPr="00F223AA">
              <w:t>E</w:t>
            </w:r>
            <w:r w:rsidR="003251BF">
              <w:t>v</w:t>
            </w:r>
            <w:r w:rsidRPr="00F223AA">
              <w:t>ropski parlament</w:t>
            </w:r>
          </w:p>
          <w:p w14:paraId="0518864C" w14:textId="77777777" w:rsidR="00751A4A" w:rsidRPr="00F223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23AA">
              <w:t>2024</w:t>
            </w:r>
            <w:r w:rsidR="00817416" w:rsidRPr="00F223AA">
              <w:t>-202</w:t>
            </w:r>
            <w:r w:rsidRPr="00F223AA">
              <w:t>9</w:t>
            </w:r>
          </w:p>
        </w:tc>
        <w:tc>
          <w:tcPr>
            <w:tcW w:w="2268" w:type="dxa"/>
            <w:shd w:val="clear" w:color="auto" w:fill="auto"/>
          </w:tcPr>
          <w:p w14:paraId="18E4D7F8" w14:textId="77777777" w:rsidR="00751A4A" w:rsidRPr="00F223AA" w:rsidRDefault="00187494" w:rsidP="0010095E">
            <w:pPr>
              <w:pStyle w:val="EPLogo"/>
            </w:pPr>
            <w:r w:rsidRPr="00F223AA">
              <w:rPr>
                <w:noProof/>
                <w:lang w:eastAsia="ja-JP"/>
              </w:rPr>
              <w:drawing>
                <wp:inline distT="0" distB="0" distL="0" distR="0" wp14:anchorId="6A40E89C" wp14:editId="57289D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EC598" w14:textId="77777777" w:rsidR="00D058B8" w:rsidRPr="00F223AA" w:rsidRDefault="00D058B8" w:rsidP="004C5D52">
      <w:pPr>
        <w:pStyle w:val="LineTop"/>
      </w:pPr>
    </w:p>
    <w:p w14:paraId="44DF3821" w14:textId="77777777" w:rsidR="00680577" w:rsidRPr="00F223AA" w:rsidRDefault="00957A92" w:rsidP="00680577">
      <w:pPr>
        <w:pStyle w:val="EPBodyTA1"/>
      </w:pPr>
      <w:r w:rsidRPr="00F223AA">
        <w:t>SPREJETA BESEDILA</w:t>
      </w:r>
    </w:p>
    <w:p w14:paraId="427910A5" w14:textId="77777777" w:rsidR="00D058B8" w:rsidRPr="00F223AA" w:rsidRDefault="00D058B8" w:rsidP="00D058B8">
      <w:pPr>
        <w:pStyle w:val="LineBottom"/>
      </w:pPr>
    </w:p>
    <w:p w14:paraId="39806ECC" w14:textId="53718D59" w:rsidR="00957A92" w:rsidRPr="00F223AA" w:rsidRDefault="00957A92" w:rsidP="00957A92">
      <w:pPr>
        <w:pStyle w:val="ATHeading1"/>
      </w:pPr>
      <w:bookmarkStart w:id="0" w:name="TANumber"/>
      <w:r w:rsidRPr="00F223AA">
        <w:t>P10_TA(2025)0</w:t>
      </w:r>
      <w:r w:rsidR="00004F71" w:rsidRPr="00F223AA">
        <w:t>246</w:t>
      </w:r>
      <w:bookmarkEnd w:id="0"/>
    </w:p>
    <w:p w14:paraId="0F274E52" w14:textId="77777777" w:rsidR="00957A92" w:rsidRPr="00F223AA" w:rsidRDefault="00957A92" w:rsidP="00957A92">
      <w:pPr>
        <w:pStyle w:val="ATHeading2"/>
      </w:pPr>
      <w:bookmarkStart w:id="1" w:name="title"/>
      <w:r w:rsidRPr="00F223AA">
        <w:t>Razrešnica za leto 2023: agencije</w:t>
      </w:r>
      <w:bookmarkEnd w:id="1"/>
    </w:p>
    <w:p w14:paraId="71F45AD4" w14:textId="77777777" w:rsidR="00957A92" w:rsidRPr="00F223AA" w:rsidRDefault="00957A92" w:rsidP="00957A92">
      <w:pPr>
        <w:rPr>
          <w:i/>
          <w:vanish/>
        </w:rPr>
      </w:pPr>
      <w:r w:rsidRPr="00F223AA">
        <w:rPr>
          <w:i/>
        </w:rPr>
        <w:fldChar w:fldCharType="begin"/>
      </w:r>
      <w:r w:rsidRPr="00F223AA">
        <w:rPr>
          <w:i/>
        </w:rPr>
        <w:instrText xml:space="preserve"> TC"(</w:instrText>
      </w:r>
      <w:bookmarkStart w:id="2" w:name="DocNumber"/>
      <w:r w:rsidRPr="00F223AA">
        <w:rPr>
          <w:i/>
        </w:rPr>
        <w:instrText>A10-0169/2025</w:instrText>
      </w:r>
      <w:bookmarkEnd w:id="2"/>
      <w:r w:rsidRPr="00F223AA">
        <w:rPr>
          <w:i/>
        </w:rPr>
        <w:instrText xml:space="preserve"> - Poročevalec: Erik Marquardt)"\l3 \n&gt; \* MERGEFORMAT </w:instrText>
      </w:r>
      <w:r w:rsidRPr="00F223AA">
        <w:rPr>
          <w:i/>
        </w:rPr>
        <w:fldChar w:fldCharType="end"/>
      </w:r>
    </w:p>
    <w:p w14:paraId="464D7C50" w14:textId="77777777" w:rsidR="00957A92" w:rsidRPr="00F223AA" w:rsidRDefault="00957A92" w:rsidP="00957A92">
      <w:pPr>
        <w:rPr>
          <w:vanish/>
        </w:rPr>
      </w:pPr>
      <w:bookmarkStart w:id="3" w:name="Commission"/>
      <w:r w:rsidRPr="00F223AA">
        <w:rPr>
          <w:vanish/>
        </w:rPr>
        <w:t>Odbor za proračunski nadzor</w:t>
      </w:r>
      <w:bookmarkEnd w:id="3"/>
    </w:p>
    <w:p w14:paraId="25A6E84C" w14:textId="77777777" w:rsidR="00957A92" w:rsidRPr="00F223AA" w:rsidRDefault="00957A92" w:rsidP="00957A92">
      <w:pPr>
        <w:rPr>
          <w:vanish/>
        </w:rPr>
      </w:pPr>
      <w:bookmarkStart w:id="4" w:name="PE"/>
      <w:r w:rsidRPr="00F223AA">
        <w:rPr>
          <w:vanish/>
        </w:rPr>
        <w:t>PE774.259</w:t>
      </w:r>
      <w:bookmarkEnd w:id="4"/>
    </w:p>
    <w:p w14:paraId="0F2A8048" w14:textId="74CF3C14" w:rsidR="00957A92" w:rsidRPr="00F223AA" w:rsidRDefault="00957A92" w:rsidP="00957A92">
      <w:pPr>
        <w:pStyle w:val="ATHeading3"/>
      </w:pPr>
      <w:bookmarkStart w:id="5" w:name="Sujet"/>
      <w:r w:rsidRPr="00F223AA">
        <w:t xml:space="preserve">1. Sklep Evropskega parlamenta z dne </w:t>
      </w:r>
      <w:r w:rsidR="00496570" w:rsidRPr="00F223AA">
        <w:t>22</w:t>
      </w:r>
      <w:r w:rsidRPr="00F223AA">
        <w:t xml:space="preserve">. oktobra 2025 o razrešnici glede izvrševanja proračuna </w:t>
      </w:r>
      <w:r w:rsidR="00A7307C">
        <w:t>A</w:t>
      </w:r>
      <w:r w:rsidRPr="00F223AA">
        <w:t>gencij</w:t>
      </w:r>
      <w:r w:rsidR="00A7307C">
        <w:t>e</w:t>
      </w:r>
      <w:r w:rsidRPr="00F223AA">
        <w:t xml:space="preserve"> Evropske unije </w:t>
      </w:r>
      <w:r w:rsidR="00A7307C">
        <w:t xml:space="preserve">za azil </w:t>
      </w:r>
      <w:r w:rsidRPr="00F223AA">
        <w:t>za proračunsko leto 2023</w:t>
      </w:r>
      <w:bookmarkEnd w:id="5"/>
      <w:r w:rsidRPr="00F223AA">
        <w:t xml:space="preserve"> </w:t>
      </w:r>
      <w:bookmarkStart w:id="6" w:name="References"/>
      <w:r w:rsidRPr="00F223AA">
        <w:t>(2024/2030(DEC))</w:t>
      </w:r>
      <w:bookmarkEnd w:id="6"/>
    </w:p>
    <w:p w14:paraId="4F01F9DB" w14:textId="77777777" w:rsidR="00685116" w:rsidRPr="00F223AA" w:rsidRDefault="00685116" w:rsidP="00685116">
      <w:pPr>
        <w:pStyle w:val="EPComma"/>
      </w:pPr>
      <w:bookmarkStart w:id="7" w:name="TextBodyBegin"/>
      <w:bookmarkEnd w:id="7"/>
      <w:r w:rsidRPr="00F223AA">
        <w:rPr>
          <w:i/>
        </w:rPr>
        <w:t>Evropski parlament</w:t>
      </w:r>
      <w:r w:rsidRPr="00F223AA">
        <w:t>,</w:t>
      </w:r>
    </w:p>
    <w:p w14:paraId="19DB3814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končnega zaključnega računa Agencije Evropske unije za azil za proračunsko leto 2023,</w:t>
      </w:r>
    </w:p>
    <w:p w14:paraId="0A0311DD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letnega poročila Računskega sodišča o agencijah EU za proračunsko leto 2023 skupaj z odgovori agencij</w:t>
      </w:r>
      <w:r w:rsidRPr="00F223AA">
        <w:rPr>
          <w:rStyle w:val="FootnoteReference"/>
        </w:rPr>
        <w:footnoteReference w:id="1"/>
      </w:r>
      <w:r w:rsidRPr="00F223AA">
        <w:t>,</w:t>
      </w:r>
    </w:p>
    <w:p w14:paraId="32D10069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izjave o zanesljivosti</w:t>
      </w:r>
      <w:r w:rsidRPr="00F223AA">
        <w:rPr>
          <w:rStyle w:val="FootnoteReference"/>
        </w:rPr>
        <w:footnoteReference w:id="2"/>
      </w:r>
      <w:r w:rsidRPr="00F223AA">
        <w:t xml:space="preserve"> računovodskih izkazov ter zakonitosti in pravilnosti z njimi povezanih transakcij, ki jo je za proračunsko leto 2023 v skladu s členom 287 Pogodbe o delovanju Evropske unije pripravilo Računsko sodišče,</w:t>
      </w:r>
    </w:p>
    <w:p w14:paraId="17098DAB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priporočila Sveta z dne 17. februarja 2025 o podelitvi razrešnice agenciji glede izvrševanja proračuna za proračunsko leto 2023 (05755/2025 – C10</w:t>
      </w:r>
      <w:r w:rsidRPr="00F223AA">
        <w:noBreakHyphen/>
        <w:t>0024/2025),</w:t>
      </w:r>
    </w:p>
    <w:p w14:paraId="648CA492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svojega sklepa z dne 7. maja 2025</w:t>
      </w:r>
      <w:r w:rsidRPr="00F223AA">
        <w:rPr>
          <w:rStyle w:val="FootnoteReference"/>
        </w:rPr>
        <w:footnoteReference w:id="3"/>
      </w:r>
      <w:r w:rsidRPr="00F223AA">
        <w:t xml:space="preserve"> o odlogu sklepa o podelitvi razrešnice za proračunsko leto 2023 in odgovorov izvršne direktorice Agencije Evropske unije za azil,</w:t>
      </w:r>
    </w:p>
    <w:p w14:paraId="029271E0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člena 319 Pogodbe o delovanju Evropske unije,</w:t>
      </w:r>
    </w:p>
    <w:p w14:paraId="47274304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 xml:space="preserve">ob upoštevanju Uredbe (EU, Euratom) 2018/1046 Evropskega parlamenta in Sveta z dne 18. julija 2018 o finančnih pravilih, ki se uporabljajo za splošni proračun Unije, spremembi uredb (EU) št. 1296/2013, (EU) št. 1301/2013, (EU) št. 1303/2013, (EU) št. 1304/2013, (EU) št. 1309/2013, (EU) št. 1316/2013, (EU) št. 223/2014, (EU) št. 283/2014 in Sklepa št. 541/2014/EU ter razveljavitvi Uredbe (EU, Euratom) </w:t>
      </w:r>
      <w:r w:rsidRPr="00F223AA">
        <w:lastRenderedPageBreak/>
        <w:t>št. 966/2012</w:t>
      </w:r>
      <w:r w:rsidRPr="00F223AA">
        <w:rPr>
          <w:rStyle w:val="FootnoteReference"/>
        </w:rPr>
        <w:footnoteReference w:id="4"/>
      </w:r>
      <w:r w:rsidRPr="00F223AA">
        <w:t xml:space="preserve"> in zlasti člena 70,</w:t>
      </w:r>
    </w:p>
    <w:p w14:paraId="4842C37A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Uredbe (EU, Euratom) 2024/2509 Evropskega parlamenta in Sveta z dne 23. septembra 2024 o finančnih pravilih, ki se uporabljajo za splošni proračun Unije</w:t>
      </w:r>
      <w:r w:rsidRPr="00F223AA">
        <w:rPr>
          <w:rStyle w:val="FootnoteReference"/>
        </w:rPr>
        <w:footnoteReference w:id="5"/>
      </w:r>
      <w:r w:rsidRPr="00F223AA">
        <w:t xml:space="preserve"> in zlasti člena 70,</w:t>
      </w:r>
    </w:p>
    <w:p w14:paraId="4451F3B1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Uredbe (EU) št. 439/2010 Evropskega parlamenta in Sveta z dne 19. maja 2010 o ustanovitvi Evropskega azilnega podpornega urada</w:t>
      </w:r>
      <w:r w:rsidRPr="00F223AA">
        <w:rPr>
          <w:rStyle w:val="FootnoteReference"/>
        </w:rPr>
        <w:footnoteReference w:id="6"/>
      </w:r>
      <w:r w:rsidRPr="00F223AA">
        <w:t xml:space="preserve"> in zlasti člena 36,</w:t>
      </w:r>
    </w:p>
    <w:p w14:paraId="16FE9503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Uredbe (EU) 2021/2303 Evropskega parlamenta in Sveta z dne 15. decembra 2021 o Agenciji Evropske unije za azil in razveljavitvi Uredbe (EU) št. 439/2010</w:t>
      </w:r>
      <w:r w:rsidRPr="00F223AA">
        <w:rPr>
          <w:rStyle w:val="FootnoteReference"/>
        </w:rPr>
        <w:footnoteReference w:id="7"/>
      </w:r>
      <w:r w:rsidRPr="00F223AA">
        <w:t xml:space="preserve"> in zlasti člena 55,</w:t>
      </w:r>
    </w:p>
    <w:p w14:paraId="3FA7410C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Delegirane uredbe Komisije (EU) 2019/715 z dne 18. decembra 2018 o okvirni finančni uredbi za organe, ustanovljene na podlagi PDEU in Pogodbe Euratom, iz člena 70 Uredbe (EU, Euratom) 2018/1046 Evropskega parlamenta in Sveta</w:t>
      </w:r>
      <w:r w:rsidRPr="00F223AA">
        <w:rPr>
          <w:rStyle w:val="FootnoteReference"/>
        </w:rPr>
        <w:footnoteReference w:id="8"/>
      </w:r>
      <w:r w:rsidRPr="00F223AA">
        <w:t xml:space="preserve"> in zlasti člena 105,</w:t>
      </w:r>
    </w:p>
    <w:p w14:paraId="0E77429A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člena 102 in Priloge V Poslovnika,</w:t>
      </w:r>
    </w:p>
    <w:p w14:paraId="1042CE3D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drugega poročila Odbora za proračunski nadzor (A10</w:t>
      </w:r>
      <w:r w:rsidRPr="00F223AA">
        <w:noBreakHyphen/>
        <w:t>0169/2025),</w:t>
      </w:r>
    </w:p>
    <w:p w14:paraId="6DEEA7CA" w14:textId="77777777" w:rsidR="00685116" w:rsidRPr="00F223AA" w:rsidRDefault="00685116" w:rsidP="00685116">
      <w:pPr>
        <w:pStyle w:val="NormalHanging12a"/>
      </w:pPr>
      <w:r w:rsidRPr="00F223AA">
        <w:t>1.</w:t>
      </w:r>
      <w:r w:rsidRPr="00F223AA">
        <w:tab/>
        <w:t>podeli razrešnico izvršni direktorici Agencije Evropske unije za azil glede izvrševanja proračuna agencije za proračunsko leto 2023;</w:t>
      </w:r>
    </w:p>
    <w:p w14:paraId="77A7E1F9" w14:textId="77777777" w:rsidR="00685116" w:rsidRPr="00F223AA" w:rsidRDefault="00685116" w:rsidP="00685116">
      <w:pPr>
        <w:pStyle w:val="NormalHanging12a"/>
      </w:pPr>
      <w:r w:rsidRPr="00F223AA">
        <w:t>2.</w:t>
      </w:r>
      <w:r w:rsidRPr="00F223AA">
        <w:tab/>
        <w:t>navaja svoje pripombe v spodnji resoluciji;</w:t>
      </w:r>
    </w:p>
    <w:p w14:paraId="7E94F561" w14:textId="77777777" w:rsidR="00685116" w:rsidRPr="00F223AA" w:rsidRDefault="00685116" w:rsidP="00685116">
      <w:pPr>
        <w:pStyle w:val="NormalHanging12a"/>
      </w:pPr>
      <w:r w:rsidRPr="00F223AA">
        <w:t>3.</w:t>
      </w:r>
      <w:r w:rsidRPr="00F223AA">
        <w:tab/>
        <w:t xml:space="preserve">naroči svoji predsednici, naj ta sklep in resolucijo, ki je del sklepa, posreduje izvršni direktorici Agencije Evropske unije za azil, Svetu, Komisiji in Računskemu sodišču in poskrbi za objavo v </w:t>
      </w:r>
      <w:r w:rsidRPr="00F223AA">
        <w:rPr>
          <w:i/>
        </w:rPr>
        <w:t>Uradnem listu Evropske unije</w:t>
      </w:r>
      <w:r w:rsidRPr="00F223AA">
        <w:t xml:space="preserve"> (serija L).</w:t>
      </w:r>
    </w:p>
    <w:p w14:paraId="3396880B" w14:textId="77777777" w:rsidR="00685116" w:rsidRPr="00F223AA" w:rsidRDefault="00685116" w:rsidP="00685116"/>
    <w:p w14:paraId="30EDE6F0" w14:textId="77777777" w:rsidR="00685116" w:rsidRPr="00F223AA" w:rsidRDefault="00685116" w:rsidP="00685116">
      <w:pPr>
        <w:pStyle w:val="PageHeadingDec"/>
        <w:sectPr w:rsidR="00685116" w:rsidRPr="00F223AA" w:rsidSect="00F05F8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C03059" w14:textId="65BCAAC8" w:rsidR="00685116" w:rsidRPr="00F223AA" w:rsidRDefault="00496570" w:rsidP="00496570">
      <w:pPr>
        <w:pStyle w:val="ATHeading3"/>
      </w:pPr>
      <w:r w:rsidRPr="00F223AA">
        <w:lastRenderedPageBreak/>
        <w:t xml:space="preserve">2. Sklep Evropskega parlamenta z dne 22. oktobra 2025 </w:t>
      </w:r>
      <w:r w:rsidR="00685116" w:rsidRPr="00F223AA">
        <w:t>o zaključnem računu Agencije Evropske unije za azil za proračunsko leto 2023</w:t>
      </w:r>
      <w:r w:rsidRPr="00F223AA">
        <w:t xml:space="preserve"> </w:t>
      </w:r>
      <w:r w:rsidR="00685116" w:rsidRPr="00F223AA">
        <w:t>(2024/2030(DEC))</w:t>
      </w:r>
    </w:p>
    <w:p w14:paraId="710B95FA" w14:textId="77777777" w:rsidR="00685116" w:rsidRPr="00F223AA" w:rsidRDefault="00685116" w:rsidP="00685116">
      <w:pPr>
        <w:pStyle w:val="EPComma"/>
      </w:pPr>
      <w:r w:rsidRPr="00F223AA">
        <w:rPr>
          <w:i/>
        </w:rPr>
        <w:t>Evropski parlament</w:t>
      </w:r>
      <w:r w:rsidRPr="00F223AA">
        <w:t>,</w:t>
      </w:r>
    </w:p>
    <w:p w14:paraId="64859B3E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končnega zaključnega računa Agencije Evropske unije za azil za proračunsko leto 2023,</w:t>
      </w:r>
    </w:p>
    <w:p w14:paraId="74A18A70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letnega poročila Računskega sodišča o agencijah EU za proračunsko leto 2023 skupaj z odgovori agencij</w:t>
      </w:r>
      <w:r w:rsidRPr="00F223AA">
        <w:rPr>
          <w:rStyle w:val="FootnoteReference"/>
        </w:rPr>
        <w:footnoteReference w:id="9"/>
      </w:r>
      <w:r w:rsidRPr="00F223AA">
        <w:t>,</w:t>
      </w:r>
    </w:p>
    <w:p w14:paraId="7448E09F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izjave o zanesljivosti</w:t>
      </w:r>
      <w:r w:rsidRPr="00F223AA">
        <w:rPr>
          <w:rStyle w:val="FootnoteReference"/>
        </w:rPr>
        <w:footnoteReference w:id="10"/>
      </w:r>
      <w:r w:rsidRPr="00F223AA">
        <w:t xml:space="preserve"> računovodskih izkazov ter zakonitosti in pravilnosti z njimi povezanih transakcij, ki jo je za proračunsko leto 2023 v skladu s členom 287 Pogodbe o delovanju Evropske unije pripravilo Računsko sodišče,</w:t>
      </w:r>
    </w:p>
    <w:p w14:paraId="2ADE305E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priporočila Sveta z dne 17. februarja 2025 o podelitvi razrešnice agenciji glede izvrševanja proračuna za proračunsko leto 2023 (05755/2025 – C10</w:t>
      </w:r>
      <w:r w:rsidRPr="00F223AA">
        <w:noBreakHyphen/>
        <w:t>0024/2025),</w:t>
      </w:r>
    </w:p>
    <w:p w14:paraId="28F262B0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svojega sklepa z dne 7. maja 2025</w:t>
      </w:r>
      <w:r w:rsidRPr="00F223AA">
        <w:rPr>
          <w:rStyle w:val="FootnoteReference"/>
        </w:rPr>
        <w:footnoteReference w:id="11"/>
      </w:r>
      <w:r w:rsidRPr="00F223AA">
        <w:t xml:space="preserve"> o odlogu sklepa o podelitvi razrešnice za proračunsko leto 2023 in odgovorov izvršne direktorice Agencije Evropske unije za azil,</w:t>
      </w:r>
    </w:p>
    <w:p w14:paraId="75C0B9EC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člena 319 Pogodbe o delovanju Evropske unije,</w:t>
      </w:r>
    </w:p>
    <w:p w14:paraId="7DA99794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Uredbe (EU, Euratom) 2018/1046 Evropskega parlamenta in Sveta z dne 18. julija 2018 o finančnih pravilih, ki se uporabljajo za splošni proračun Unije, spremembi uredb (EU) št. 1296/2013, (EU) št. 1301/2013, (EU) št. 1303/2013, (EU) št. 1304/2013, (EU) št. 1309/2013, (EU) št. 1316/2013, (EU) št. 223/2014, (EU) št. 283/2014 in Sklepa št. 541/2014/EU ter razveljavitvi Uredbe (EU, Euratom) št. 966/2012</w:t>
      </w:r>
      <w:r w:rsidRPr="00F223AA">
        <w:rPr>
          <w:rStyle w:val="FootnoteReference"/>
        </w:rPr>
        <w:footnoteReference w:id="12"/>
      </w:r>
      <w:r w:rsidRPr="00F223AA">
        <w:t xml:space="preserve"> in zlasti člena 70,</w:t>
      </w:r>
    </w:p>
    <w:p w14:paraId="6E290AEA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Uredbe (EU, Euratom) 2024/2509 Evropskega parlamenta in Sveta z dne 23. septembra 2024 o finančnih pravilih, ki se uporabljajo za splošni proračun Unije</w:t>
      </w:r>
      <w:r w:rsidRPr="00F223AA">
        <w:rPr>
          <w:rStyle w:val="FootnoteReference"/>
        </w:rPr>
        <w:footnoteReference w:id="13"/>
      </w:r>
      <w:r w:rsidRPr="00F223AA">
        <w:t xml:space="preserve"> in zlasti člena 70,</w:t>
      </w:r>
    </w:p>
    <w:p w14:paraId="3794A07B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Uredbe (EU) št. 439/2010 Evropskega parlamenta in Sveta z dne 19. maja 2010 o ustanovitvi Evropskega azilnega podpornega urada</w:t>
      </w:r>
      <w:r w:rsidRPr="00F223AA">
        <w:rPr>
          <w:rStyle w:val="FootnoteReference"/>
        </w:rPr>
        <w:footnoteReference w:id="14"/>
      </w:r>
      <w:r w:rsidRPr="00F223AA">
        <w:t xml:space="preserve"> in zlasti člena 36,</w:t>
      </w:r>
    </w:p>
    <w:p w14:paraId="5BDD50B2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Uredbe (EU) 2021/2303 Evropskega parlamenta in Sveta z dne 15. decembra 2021 o Agenciji Evropske unije za azil in razveljavitvi Uredbe (EU) št. 439/2010</w:t>
      </w:r>
      <w:r w:rsidRPr="00F223AA">
        <w:rPr>
          <w:rStyle w:val="FootnoteReference"/>
        </w:rPr>
        <w:footnoteReference w:id="15"/>
      </w:r>
      <w:r w:rsidRPr="00F223AA">
        <w:t xml:space="preserve"> in zlasti člena 55,</w:t>
      </w:r>
    </w:p>
    <w:p w14:paraId="546D977A" w14:textId="77777777" w:rsidR="00685116" w:rsidRPr="00F223AA" w:rsidRDefault="00685116" w:rsidP="00685116">
      <w:pPr>
        <w:pStyle w:val="NormalHanging12a"/>
      </w:pPr>
      <w:r w:rsidRPr="00F223AA">
        <w:lastRenderedPageBreak/>
        <w:t>–</w:t>
      </w:r>
      <w:r w:rsidRPr="00F223AA">
        <w:tab/>
        <w:t>ob upoštevanju Delegirane uredbe Komisije (EU) 2019/715 z dne 18. decembra 2018 o okvirni finančni uredbi za organe, ustanovljene na podlagi PDEU in Pogodbe Euratom, iz člena 70 Uredbe (EU, Euratom) 2018/1046 Evropskega parlamenta in Sveta</w:t>
      </w:r>
      <w:r w:rsidRPr="00F223AA">
        <w:rPr>
          <w:rStyle w:val="FootnoteReference"/>
        </w:rPr>
        <w:footnoteReference w:id="16"/>
      </w:r>
      <w:r w:rsidRPr="00F223AA">
        <w:t xml:space="preserve"> in zlasti člena 105,</w:t>
      </w:r>
    </w:p>
    <w:p w14:paraId="0B5902DC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člena 102 in Priloge V Poslovnika,</w:t>
      </w:r>
    </w:p>
    <w:p w14:paraId="70CF55BC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drugega poročila Odbora za proračunski nadzor (A10</w:t>
      </w:r>
      <w:r w:rsidRPr="00F223AA">
        <w:noBreakHyphen/>
        <w:t>0169/2025),</w:t>
      </w:r>
    </w:p>
    <w:p w14:paraId="5D1906C1" w14:textId="77777777" w:rsidR="00685116" w:rsidRPr="00F223AA" w:rsidRDefault="00685116" w:rsidP="00685116">
      <w:pPr>
        <w:pStyle w:val="NormalHanging12a"/>
      </w:pPr>
      <w:r w:rsidRPr="00F223AA">
        <w:t>1.</w:t>
      </w:r>
      <w:r w:rsidRPr="00F223AA">
        <w:tab/>
        <w:t>odobri zaključni račun Agencije Evropske unije za azil za proračunsko leto 2023;</w:t>
      </w:r>
    </w:p>
    <w:p w14:paraId="242504E3" w14:textId="77777777" w:rsidR="00685116" w:rsidRPr="00F223AA" w:rsidRDefault="00685116" w:rsidP="00685116">
      <w:pPr>
        <w:pStyle w:val="NormalHanging12a"/>
      </w:pPr>
      <w:r w:rsidRPr="00F223AA">
        <w:t>2.</w:t>
      </w:r>
      <w:r w:rsidRPr="00F223AA">
        <w:tab/>
        <w:t xml:space="preserve">naroči svoji predsednici, naj ta sklep posreduje izvršni direktorici Agencije Evropske unije za azil, Svetu, Komisiji in Računskemu sodišču in poskrbi za objavo v </w:t>
      </w:r>
      <w:r w:rsidRPr="00F223AA">
        <w:rPr>
          <w:i/>
        </w:rPr>
        <w:t>Uradnem listu Evropske unije</w:t>
      </w:r>
      <w:r w:rsidRPr="00F223AA">
        <w:t xml:space="preserve"> (serija L).</w:t>
      </w:r>
    </w:p>
    <w:p w14:paraId="3B394C16" w14:textId="77777777" w:rsidR="00685116" w:rsidRPr="00F223AA" w:rsidRDefault="00685116" w:rsidP="00685116">
      <w:pPr>
        <w:pStyle w:val="PageHeadingDec"/>
      </w:pPr>
    </w:p>
    <w:p w14:paraId="2028B6BE" w14:textId="77777777" w:rsidR="00685116" w:rsidRPr="00F223AA" w:rsidRDefault="00685116" w:rsidP="00685116">
      <w:pPr>
        <w:pStyle w:val="PageHeadingDec"/>
        <w:sectPr w:rsidR="00685116" w:rsidRPr="00F223AA" w:rsidSect="00F05F87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08"/>
          <w:noEndnote/>
          <w:docGrid w:linePitch="326"/>
        </w:sectPr>
      </w:pPr>
    </w:p>
    <w:p w14:paraId="24D80EC1" w14:textId="3DD812B1" w:rsidR="00685116" w:rsidRPr="00F223AA" w:rsidRDefault="00496570" w:rsidP="00496570">
      <w:pPr>
        <w:pStyle w:val="ATHeading3"/>
      </w:pPr>
      <w:r w:rsidRPr="00F223AA">
        <w:lastRenderedPageBreak/>
        <w:t xml:space="preserve">3. Resolucija Evropskega parlamenta z dne 22. oktobra 2025 </w:t>
      </w:r>
      <w:r w:rsidR="00685116" w:rsidRPr="00F223AA">
        <w:t>s pripombami, ki so del sklepov o razrešnici glede izvrševanja proračuna agencij Evropske unije za proračunsko leto 2023</w:t>
      </w:r>
      <w:r w:rsidRPr="00F223AA">
        <w:t xml:space="preserve"> </w:t>
      </w:r>
      <w:r w:rsidR="00685116" w:rsidRPr="00F223AA">
        <w:t>(2024/2030(DEC))</w:t>
      </w:r>
    </w:p>
    <w:p w14:paraId="0FBABDFC" w14:textId="77777777" w:rsidR="00685116" w:rsidRPr="00F223AA" w:rsidRDefault="00685116" w:rsidP="00685116">
      <w:pPr>
        <w:pStyle w:val="EPComma"/>
      </w:pPr>
      <w:r w:rsidRPr="00F223AA">
        <w:rPr>
          <w:i/>
        </w:rPr>
        <w:t>Evropski parlament</w:t>
      </w:r>
      <w:r w:rsidRPr="00F223AA">
        <w:t>,</w:t>
      </w:r>
    </w:p>
    <w:p w14:paraId="0A17250C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sklepa o razrešnici glede izvrševanja proračuna Agencije Evropske unije za azil za proračunsko leto 2023,</w:t>
      </w:r>
    </w:p>
    <w:p w14:paraId="34F4EF30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člena 102 in Priloge V Poslovnika,</w:t>
      </w:r>
    </w:p>
    <w:p w14:paraId="3388D643" w14:textId="1D5171E9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 xml:space="preserve">ob upoštevanju, da so delovanje skupnega evropskega azilnega sistema, spoštovanje ter pravilno izvajanje in izvrševanje pravil ter vzdržna in ustrezna finančna podpora </w:t>
      </w:r>
      <w:r w:rsidR="00813A2D" w:rsidRPr="00F223AA">
        <w:t>Agencij</w:t>
      </w:r>
      <w:r w:rsidR="0076654E" w:rsidRPr="00F223AA">
        <w:t>e</w:t>
      </w:r>
      <w:r w:rsidR="00813A2D" w:rsidRPr="00F223AA">
        <w:t xml:space="preserve"> Evropske unije za azil</w:t>
      </w:r>
      <w:r w:rsidRPr="00F223AA">
        <w:t xml:space="preserve"> bistvenega pomena za zagotovitev sistema deljene odgovornosti in solidarnosti med državami članicami Evropske unije,</w:t>
      </w:r>
    </w:p>
    <w:p w14:paraId="2390894E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končnega poročila urada OLAF (OC-2022-0717) o Agenciji Evropske unije za azil, ki je bilo dokončano oktobra 2024, marca 2025 pa je bilo na voljo članom Odbora za proračunski nadzor,</w:t>
      </w:r>
    </w:p>
    <w:p w14:paraId="7AF03B51" w14:textId="17241BD8" w:rsidR="00685116" w:rsidRPr="00F223AA" w:rsidRDefault="00685116" w:rsidP="00685116">
      <w:pPr>
        <w:pStyle w:val="NormalHanging12a"/>
        <w:rPr>
          <w:bCs/>
        </w:rPr>
      </w:pPr>
      <w:r w:rsidRPr="00F223AA">
        <w:t>–</w:t>
      </w:r>
      <w:r w:rsidRPr="00F223AA">
        <w:tab/>
        <w:t xml:space="preserve">ob upoštevanju pisem, ki sta ju marca 2025 oziroma julija 2025 poslali predsednica </w:t>
      </w:r>
      <w:r w:rsidR="00A7307C">
        <w:t xml:space="preserve">upravnega odbora </w:t>
      </w:r>
      <w:r w:rsidR="00A7307C" w:rsidRPr="00F223AA">
        <w:t>Agencije Evropske unije za azil</w:t>
      </w:r>
      <w:r w:rsidR="00A7307C">
        <w:t xml:space="preserve"> </w:t>
      </w:r>
      <w:r w:rsidRPr="00F223AA">
        <w:t>in izvršna direktorica Agencije Evropske unije za azil,</w:t>
      </w:r>
    </w:p>
    <w:p w14:paraId="6D20854A" w14:textId="77777777" w:rsidR="00685116" w:rsidRPr="00F223AA" w:rsidRDefault="00685116" w:rsidP="00685116">
      <w:pPr>
        <w:pStyle w:val="NormalHanging12a"/>
      </w:pPr>
      <w:r w:rsidRPr="00F223AA">
        <w:t xml:space="preserve">– </w:t>
      </w:r>
      <w:r w:rsidRPr="00F223AA">
        <w:tab/>
        <w:t>ob upoštevanju izmenjave mnenj s predstavniki urada OLAF, Agencije Evropske unije za azil in GD Home 15. julija 2025,</w:t>
      </w:r>
    </w:p>
    <w:p w14:paraId="13A65342" w14:textId="77777777" w:rsidR="00685116" w:rsidRPr="00F223AA" w:rsidRDefault="00685116" w:rsidP="00685116">
      <w:pPr>
        <w:pStyle w:val="NormalHanging12a"/>
      </w:pPr>
      <w:r w:rsidRPr="00F223AA">
        <w:t>–</w:t>
      </w:r>
      <w:r w:rsidRPr="00F223AA">
        <w:tab/>
        <w:t>ob upoštevanju drugega poročila Odbora za proračunski nadzor (A10-0169/2025),</w:t>
      </w:r>
    </w:p>
    <w:p w14:paraId="6ED4C9B0" w14:textId="77777777" w:rsidR="00685116" w:rsidRPr="00F223AA" w:rsidRDefault="00685116" w:rsidP="00685116">
      <w:pPr>
        <w:pStyle w:val="NormalHanging12a"/>
      </w:pPr>
      <w:r w:rsidRPr="00F223AA">
        <w:t>A.</w:t>
      </w:r>
      <w:r w:rsidRPr="00F223AA">
        <w:tab/>
        <w:t>ker morajo vse decentralizirane agencije Unije poslovati pregledno in biti v celoti odgovorne državljanom Unije za porabo sredstev, ki so jim bila zaupana kot organom Unije;</w:t>
      </w:r>
    </w:p>
    <w:p w14:paraId="744A6669" w14:textId="77777777" w:rsidR="00685116" w:rsidRPr="00F223AA" w:rsidRDefault="00685116" w:rsidP="00685116">
      <w:pPr>
        <w:pStyle w:val="NormalHanging12a"/>
      </w:pPr>
      <w:r w:rsidRPr="00F223AA">
        <w:t>B.</w:t>
      </w:r>
      <w:r w:rsidRPr="00F223AA">
        <w:tab/>
        <w:t>ker ima Agencija Evropske unije za azil kot organ Unije z veliko odgovornostjo in viri ustrezno dolžnost delovati z najvišjimi standardi preglednosti, odgovornosti in zglednega ravnanja, s čimer zagotavlja zaupanje državljanov in institucij Unije;</w:t>
      </w:r>
    </w:p>
    <w:p w14:paraId="6547C58D" w14:textId="77777777" w:rsidR="00685116" w:rsidRPr="00F223AA" w:rsidRDefault="00685116" w:rsidP="00685116">
      <w:pPr>
        <w:pStyle w:val="NormalHanging12a"/>
      </w:pPr>
      <w:r w:rsidRPr="00F223AA">
        <w:t>C.</w:t>
      </w:r>
      <w:r w:rsidRPr="00F223AA">
        <w:tab/>
        <w:t>ker je vloga Parlamenta v postopku razrešnice za izvrševanje proračuna opredeljena v Pogodbi o delovanju Evropske unije (PDEU), finančni uredbi in okvirni finančni uredbi;</w:t>
      </w:r>
    </w:p>
    <w:p w14:paraId="0D72925C" w14:textId="77777777" w:rsidR="00685116" w:rsidRPr="00F223AA" w:rsidRDefault="00685116" w:rsidP="00685116">
      <w:pPr>
        <w:pStyle w:val="NormalHanging12a"/>
      </w:pPr>
      <w:r w:rsidRPr="00F223AA">
        <w:t>D.</w:t>
      </w:r>
      <w:r w:rsidRPr="00F223AA">
        <w:tab/>
        <w:t>ker mora urad OLAF kot organ Unije za boj proti goljufijam Evropskemu parlamentu zagotoviti pravočasen in ustrezen dostop do svojih ugotovitev, da bi omogočili učinkovit nadzor v zvezi z razrešnico;</w:t>
      </w:r>
    </w:p>
    <w:p w14:paraId="7F65889E" w14:textId="77777777" w:rsidR="00685116" w:rsidRPr="00F223AA" w:rsidRDefault="00685116" w:rsidP="00685116">
      <w:pPr>
        <w:pStyle w:val="NormalHanging12a"/>
      </w:pPr>
      <w:r w:rsidRPr="00F223AA">
        <w:t>1.</w:t>
      </w:r>
      <w:r w:rsidRPr="00F223AA">
        <w:tab/>
        <w:t>opozarja na vlogo Parlamenta v postopku razrešnice, kot jo določajo PDEU, finančna uredba in njegov poslovnik;</w:t>
      </w:r>
    </w:p>
    <w:p w14:paraId="75371440" w14:textId="77777777" w:rsidR="00685116" w:rsidRPr="00F223AA" w:rsidRDefault="00685116" w:rsidP="00685116">
      <w:pPr>
        <w:pStyle w:val="NormalHanging12a"/>
      </w:pPr>
      <w:r w:rsidRPr="00F223AA">
        <w:t>2.</w:t>
      </w:r>
      <w:r w:rsidRPr="00F223AA">
        <w:tab/>
        <w:t>opozarja, da je Parlament 7. maja 2025 sklenil odložiti sklep o podelitvi razrešnice Agenciji Evropske unije za azil (v nadaljnjem besedilu: agencija) za leto 2023;</w:t>
      </w:r>
    </w:p>
    <w:p w14:paraId="5D10C905" w14:textId="77777777" w:rsidR="00685116" w:rsidRPr="00F223AA" w:rsidRDefault="00685116" w:rsidP="00685116">
      <w:pPr>
        <w:pStyle w:val="NormalHanging12a"/>
      </w:pPr>
      <w:r w:rsidRPr="00F223AA">
        <w:lastRenderedPageBreak/>
        <w:t>3.</w:t>
      </w:r>
      <w:r w:rsidRPr="00F223AA">
        <w:tab/>
        <w:t>poudarja izjemen pomen odgovornega in preglednega ravnanja pri izvrševanju proračuna Unije; vztraja, da vsako nespoštovanje teh načel resno spodkopava zaupanje javnosti;</w:t>
      </w:r>
    </w:p>
    <w:p w14:paraId="67FCA2B3" w14:textId="77777777" w:rsidR="00685116" w:rsidRPr="00F223AA" w:rsidRDefault="00685116" w:rsidP="00685116">
      <w:pPr>
        <w:pStyle w:val="NormalHanging12a"/>
        <w:rPr>
          <w:b/>
          <w:i/>
        </w:rPr>
      </w:pPr>
      <w:r w:rsidRPr="00F223AA">
        <w:rPr>
          <w:b/>
          <w:i/>
        </w:rPr>
        <w:t>Rezultat preiskave Evropskega urada za boj proti goljufijam (OLAF)</w:t>
      </w:r>
    </w:p>
    <w:p w14:paraId="61FA9DB8" w14:textId="77777777" w:rsidR="00685116" w:rsidRPr="00F223AA" w:rsidRDefault="00685116" w:rsidP="00685116">
      <w:pPr>
        <w:pStyle w:val="NormalHanging12a"/>
      </w:pPr>
      <w:r w:rsidRPr="00F223AA">
        <w:t>4.</w:t>
      </w:r>
      <w:r w:rsidRPr="00F223AA">
        <w:tab/>
        <w:t>ugotavlja, da je urad OLAF marca 2025 dal na voljo anonimizirano različico svojega končnega poročila o preiskavi članom Odbora za proračunski nadzor, Odboru za državljanske svoboščine, pravosodje in notranje zadeve pa julija 2025; obžaluje zamudo pri dostopu do preiskave, ki je bil omogočen šele marca, čeprav je poročevalec zanj zaprosil decembra 2024, urad OLAF pa je v odgovoru navedel ugovore upravnega odbora Agencije Evropske unije za azil; vztraja, da je bilo treba članom odbora CONT prej omogočiti dostop do poročila, da bi zagotovili ustrezno izvajanje njihovega mandata;</w:t>
      </w:r>
    </w:p>
    <w:p w14:paraId="66817CE0" w14:textId="77777777" w:rsidR="00685116" w:rsidRPr="00F223AA" w:rsidRDefault="00685116" w:rsidP="00685116">
      <w:pPr>
        <w:pStyle w:val="NormalHanging12a"/>
      </w:pPr>
      <w:r w:rsidRPr="00F223AA">
        <w:t>5.</w:t>
      </w:r>
      <w:r w:rsidRPr="00F223AA">
        <w:tab/>
        <w:t>se zaveda, da se preiskave urada OLAF izvajajo neprekinjeno v obdobju, ki mora biti sorazmerno z okoliščinami in zapletenostjo zadeve; je zaskrbljen zaradi trajanja preiskav urada OLAF, saj to spodkopava zmožnost organa za podelitev razrešnice, da bi učinkovito obravnaval ugotovitve iz teh preiskav; vztraja, da imajo pravočasne preiskave ključno vlogo pri ohranjanju učinkovitega nadzora Parlamenta; poziva urad OLAF, naj pregleda in pospeši postopek dokončanja in izmenjave preiskav z organom za podelitev razrešnice; poudarja, da te zamude ogrožajo zmožnost članov odbora CONT, da učinkovito izvajajo svoj nadzorni mandat, in poziva k ukrepom za zagotovitev hitrega dostopa do poročil o preiskavah v prihodnje;</w:t>
      </w:r>
    </w:p>
    <w:p w14:paraId="10A07FD6" w14:textId="77777777" w:rsidR="00685116" w:rsidRPr="00F223AA" w:rsidRDefault="00685116" w:rsidP="00685116">
      <w:pPr>
        <w:pStyle w:val="NormalHanging12a"/>
      </w:pPr>
      <w:r w:rsidRPr="00F223AA">
        <w:t>6.</w:t>
      </w:r>
      <w:r w:rsidRPr="00F223AA">
        <w:tab/>
        <w:t>poudarja, da mora zaščita proračuna Unije ostati temeljna vrednota dobrega finančnega upravljanja, ki jo morajo spoštovati vse institucije Unije, vključno z agencijami in decentraliziranimi organi, ki morajo biti jasen zgled odgovornosti in preglednosti pri uporabi evropskih javnih sredstev; ponovno poudarja, da je treba okrepiti usklajevanje in sodelovanje v institucionalnem okviru za boj proti goljufijam, zlasti za obravnavanje potrebe po hitrejših in učinkovitejših preiskavah urada OLAF, s čimer bi ta prizadevanja uskladili s širšim ciljem zaščite financ Unije;</w:t>
      </w:r>
    </w:p>
    <w:p w14:paraId="7854DBC7" w14:textId="77777777" w:rsidR="00685116" w:rsidRPr="00F223AA" w:rsidRDefault="00685116" w:rsidP="00685116">
      <w:pPr>
        <w:pStyle w:val="NormalHanging12a"/>
      </w:pPr>
      <w:r w:rsidRPr="00F223AA">
        <w:t>7.</w:t>
      </w:r>
      <w:r w:rsidRPr="00F223AA">
        <w:tab/>
        <w:t>poziva agencijo in OLAF, naj zaradi preglednosti in zaupanja da javnosti na voljo anonimizirani povzetek poročila urada OLAF, kolikor je to pravno mogoče;</w:t>
      </w:r>
    </w:p>
    <w:p w14:paraId="6A80537B" w14:textId="77777777" w:rsidR="00685116" w:rsidRPr="00F223AA" w:rsidRDefault="00685116" w:rsidP="00685116">
      <w:pPr>
        <w:pStyle w:val="NormalHanging12a"/>
      </w:pPr>
      <w:r w:rsidRPr="00F223AA">
        <w:t>8.</w:t>
      </w:r>
      <w:r w:rsidRPr="00F223AA">
        <w:tab/>
        <w:t>ugotavlja, da je urad OLAF po preiskavi izdal disciplinska in upravna priporočila;</w:t>
      </w:r>
    </w:p>
    <w:p w14:paraId="580F8EFE" w14:textId="77777777" w:rsidR="00685116" w:rsidRPr="00F223AA" w:rsidRDefault="00685116" w:rsidP="00685116">
      <w:pPr>
        <w:pStyle w:val="NormalHanging12a"/>
      </w:pPr>
      <w:r w:rsidRPr="00F223AA">
        <w:t>9.</w:t>
      </w:r>
      <w:r w:rsidRPr="00F223AA">
        <w:tab/>
        <w:t>ugotavlja, da se je upravni odbor v zvezi z disciplinskimi priporočili – kot nadaljnje ukrepanje – odločil, da ne bo začel disciplinskega postopka, ter je namesto tega izdal pisna priporočila z opozorilom, izvršno direktorico pa je zaprosil, da predlaga konkretne popravne ukrepe in časovnico za njihovo čimprejšnjo izvedbo; potrjuje, da je izvršna direktorica v skladu s to zahtevo upravnemu odboru predložila naslednje dokumente, ki vključujejo:</w:t>
      </w:r>
    </w:p>
    <w:p w14:paraId="67ED8308" w14:textId="77777777" w:rsidR="00685116" w:rsidRPr="00F223AA" w:rsidRDefault="00685116" w:rsidP="00004F71">
      <w:pPr>
        <w:pStyle w:val="NormalHanging12a"/>
        <w:ind w:left="1134"/>
      </w:pPr>
      <w:r w:rsidRPr="00F223AA">
        <w:t>–</w:t>
      </w:r>
      <w:r w:rsidRPr="00F223AA">
        <w:tab/>
        <w:t>priporočila upravnega odbora;</w:t>
      </w:r>
    </w:p>
    <w:p w14:paraId="1DC8C52A" w14:textId="588BBCBA" w:rsidR="00685116" w:rsidRPr="00F223AA" w:rsidRDefault="00685116" w:rsidP="00004F71">
      <w:pPr>
        <w:pStyle w:val="NormalHanging12a"/>
        <w:ind w:left="1134"/>
      </w:pPr>
      <w:r w:rsidRPr="00F223AA">
        <w:t>–</w:t>
      </w:r>
      <w:r w:rsidRPr="00F223AA">
        <w:tab/>
        <w:t>trenutno stanje v agenciji, kar zadeva vsako priporočilo</w:t>
      </w:r>
      <w:r w:rsidR="0076654E" w:rsidRPr="00F223AA">
        <w:t>,</w:t>
      </w:r>
      <w:r w:rsidRPr="00F223AA">
        <w:t xml:space="preserve"> in</w:t>
      </w:r>
    </w:p>
    <w:p w14:paraId="3A40AE61" w14:textId="77777777" w:rsidR="00685116" w:rsidRPr="00F223AA" w:rsidRDefault="00685116" w:rsidP="00004F71">
      <w:pPr>
        <w:pStyle w:val="NormalHanging12a"/>
        <w:ind w:left="1134"/>
      </w:pPr>
      <w:r w:rsidRPr="00F223AA">
        <w:t>–</w:t>
      </w:r>
      <w:r w:rsidRPr="00F223AA">
        <w:tab/>
        <w:t>dodatne popravne ukrepe, ki se izvedejo z vključitvijo začasnega časovnega okvira za njihovo izvedbo; poziva upravni odbor, naj ukrepa na podlagi priporočil in organu za podelitev razrešnice poroča o njihovi celoviti in pravočasni izvedbi;</w:t>
      </w:r>
    </w:p>
    <w:p w14:paraId="5E6E9C13" w14:textId="34326ADB" w:rsidR="00685116" w:rsidRPr="00F223AA" w:rsidRDefault="00685116" w:rsidP="00685116">
      <w:pPr>
        <w:pStyle w:val="NormalHanging12a"/>
      </w:pPr>
      <w:r w:rsidRPr="00F223AA">
        <w:lastRenderedPageBreak/>
        <w:t>10.</w:t>
      </w:r>
      <w:r w:rsidRPr="00F223AA">
        <w:tab/>
        <w:t xml:space="preserve">obžaluje, da se je upravni odbor po intenzivnih razpravah odločil, da ne bo izvajal disciplinskih priporočil urada OLAF, vključno z uvedbo disciplinskih postopkov proti izvršnemu direktorju </w:t>
      </w:r>
      <w:r w:rsidR="0076654E" w:rsidRPr="00F223AA">
        <w:t>a</w:t>
      </w:r>
      <w:r w:rsidRPr="00F223AA">
        <w:t>gencije ali drugemu osebju v agenciji, kljub pomembnim ugotovitvam urada OLAF, ki se zdijo sistematične in spodkopavajo zaupanje v vodstvo agencije; poudarja, da ta odločitev odpira vprašanja o zavezanosti odbora odgovornosti v skladu z institucionalnimi pričakovanji, in priznava, da se je odbor po pregledu izpostavljenih vprašanj namerno odločil, da priporočil ne bo izvajal; poudarja, da bo Parlament še naprej posebno pozoren na sprejete popravne ukrepe; pričakuje, da bo agencija pokazala zgledno nadaljnje ukrepanje, visoke standarde, jasno odgovornost za izvajanje popravnih ukrepov ter polno odgovornost; poziva agencijo, naj zagotovi pregledno poročanje Parlamentu in med drugim zapisnike razprav upravnega odbora posreduje Evropskemu parlamentu, da se okrepi parlamentarni nadzor;</w:t>
      </w:r>
    </w:p>
    <w:p w14:paraId="546660C3" w14:textId="77777777" w:rsidR="00685116" w:rsidRPr="00F223AA" w:rsidRDefault="00685116" w:rsidP="00685116">
      <w:pPr>
        <w:pStyle w:val="NormalHanging12a"/>
      </w:pPr>
      <w:r w:rsidRPr="00F223AA">
        <w:t>11.</w:t>
      </w:r>
      <w:r w:rsidRPr="00F223AA">
        <w:tab/>
        <w:t>ugotavlja, da je izvršna direktorica pripravila izjavo z vizijo o vodenju pri izvajanju sprememb v agenciji EUAA, v kateri so popravni ukrepi, ki so že izvedeni, in popravni ukrepi, ki jih je še treba izvesti; zahteva, naj agencija obvesti organ za podelitev razrešnice o izvedenih popravnih ukrepih in popravnih ukrepih, ki jih je treba še izvesti, skupaj z roki za njihovo dokončanje;</w:t>
      </w:r>
    </w:p>
    <w:p w14:paraId="769B0D33" w14:textId="77777777" w:rsidR="00685116" w:rsidRPr="00F223AA" w:rsidRDefault="00685116" w:rsidP="00685116">
      <w:pPr>
        <w:pStyle w:val="NormalHanging12a"/>
      </w:pPr>
      <w:r w:rsidRPr="00F223AA">
        <w:t>12.</w:t>
      </w:r>
      <w:r w:rsidRPr="00F223AA">
        <w:tab/>
        <w:t>izraža zaskrbljenost, da so upravna priporočila obravnavala prakso, po kateri so uslužbence ocenjevali vodje sektorjev, ne pa vodje oddelkov, ter pomanjkljivosti pri obvladovanju nasprotij interesov v agenciji;</w:t>
      </w:r>
    </w:p>
    <w:p w14:paraId="3556611A" w14:textId="77777777" w:rsidR="00685116" w:rsidRPr="00F223AA" w:rsidRDefault="00685116" w:rsidP="00685116">
      <w:pPr>
        <w:pStyle w:val="NormalHanging12a"/>
      </w:pPr>
      <w:r w:rsidRPr="00F223AA">
        <w:t>13.</w:t>
      </w:r>
      <w:r w:rsidRPr="00F223AA">
        <w:tab/>
        <w:t>pozdravlja, da bodo od leta 2025 vodje enot ocenjevali uslužbence, kot je predvideno v veljavnih pravilih;</w:t>
      </w:r>
    </w:p>
    <w:p w14:paraId="4DD7FAC9" w14:textId="77777777" w:rsidR="00685116" w:rsidRPr="00F223AA" w:rsidRDefault="00685116" w:rsidP="00685116">
      <w:pPr>
        <w:pStyle w:val="NormalHanging12a"/>
      </w:pPr>
      <w:r w:rsidRPr="00F223AA">
        <w:t>14.</w:t>
      </w:r>
      <w:r w:rsidRPr="00F223AA">
        <w:tab/>
        <w:t>močno obžaluje slabosti pri obvladovanju nasprotij interesov v agenciji, zlasti glede tega, kako upravni odbor obravnava pritožbe zoper odločitve izvršne direktorice; vztraja, da takšne prakse spodkopavajo integriteto in verodostojnost agencije; poziva agencijo, naj organ za podelitev razrešnice obvesti o popravnih ukrepih in uvedenih organizacijskih spremembah; poudarja, da bo sprejemljiv le trden in zgleden okvir za obvladovanje navzkrižja interesov;</w:t>
      </w:r>
    </w:p>
    <w:p w14:paraId="71BCD0C6" w14:textId="77777777" w:rsidR="00685116" w:rsidRPr="00F223AA" w:rsidRDefault="00685116" w:rsidP="00685116">
      <w:pPr>
        <w:pStyle w:val="NormalHanging12a"/>
      </w:pPr>
      <w:r w:rsidRPr="00F223AA">
        <w:t>15.</w:t>
      </w:r>
      <w:r w:rsidRPr="00F223AA">
        <w:tab/>
        <w:t>ugotavlja, da sta upravni odbor in izvršna direktorica priznala, da gre za resne obtožbe in izpostavljene težave; vendar priznava, da je izvršni direktor izrazil dvom in se skliceval na izredno delovno obremenitev med krizami, ki je ni mogoče uporabiti kot utemeljitev za zavrnitev ugotovitev; meni, da morajo priznanje spremljati odločni korektivni ukrepi, pravočasno izvajanje in popolna odgovornost organu za podelitev razrešnice;</w:t>
      </w:r>
    </w:p>
    <w:p w14:paraId="73A24160" w14:textId="77777777" w:rsidR="00685116" w:rsidRPr="00F223AA" w:rsidRDefault="00685116" w:rsidP="00685116">
      <w:pPr>
        <w:pStyle w:val="NormalHanging12a"/>
      </w:pPr>
      <w:r w:rsidRPr="00F223AA">
        <w:t>16.</w:t>
      </w:r>
      <w:r w:rsidRPr="00F223AA">
        <w:tab/>
        <w:t>je zaskrbljen, ker se kršitve pri upravljanju ponavljajo, kar vključuje nezmožnost upravnega odbora, da bi izvajal pravočasen in učinkovit nadzor; z obžalovanjem ugotavlja, da bi bilo mogoče več nepravilnosti preprečiti z boljšimi notranjimi kontrolami in proaktivnim delovanjem upravnega odbora; vztraja, da je treba ta institucionalni neuspeh obravnavati strukturno in ne le postopkovno;</w:t>
      </w:r>
    </w:p>
    <w:p w14:paraId="32B2ED0C" w14:textId="0D3A2FCC" w:rsidR="00685116" w:rsidRPr="00F223AA" w:rsidRDefault="00685116" w:rsidP="00685116">
      <w:pPr>
        <w:pStyle w:val="NormalHanging12a"/>
      </w:pPr>
      <w:r w:rsidRPr="00F223AA">
        <w:t>17.</w:t>
      </w:r>
      <w:r w:rsidRPr="00F223AA">
        <w:tab/>
        <w:t xml:space="preserve">obžaluje težave zaradi slabega upravljanja, zlasti na področju človeških virov, kjer je prihajalo do resnih nepravilnosti, zlasti v postopkih imenovanja in izbora, s kršitvami Kadrovskih predpisov za uradnike in pogojev za zaposlitev drugih uslužbencev; se zaveda, da se je agencija v obdobju 2019–2022 soočala z zahtevnimi okoliščinami, kot so pandemija covida-19, aktivacija Direktive o začasni zaščiti oziroma začetek </w:t>
      </w:r>
      <w:r w:rsidRPr="00F223AA">
        <w:lastRenderedPageBreak/>
        <w:t>veljavnosti uredbe o agenciji</w:t>
      </w:r>
      <w:r w:rsidR="0076654E" w:rsidRPr="00F223AA">
        <w:rPr>
          <w:rStyle w:val="FootnoteReference"/>
        </w:rPr>
        <w:footnoteReference w:id="17"/>
      </w:r>
      <w:r w:rsidRPr="00F223AA">
        <w:t>, s katero je dobila nov mandat, pristojnosti in odgovornosti; vendar zavrača vsak poskus, da bi s sklicevanjem na takšne okoliščine upravičili nespoštovanje zavezujoče zakonodaje; poziva agencijo, naj svoje postopke zaposlovanja v celoti uskladi z veljavnimi pravili, in vztraja, da je treba sprejeti stroge, pregledne in na dosežkih temelječe postopke, ki jih bodo spremljale izvedljive smernice in bodo pod strogim nadzorom organa za podelitev razrešnice;</w:t>
      </w:r>
    </w:p>
    <w:p w14:paraId="153CB1DD" w14:textId="77777777" w:rsidR="00685116" w:rsidRPr="00F223AA" w:rsidRDefault="00685116" w:rsidP="00685116">
      <w:pPr>
        <w:pStyle w:val="NormalHanging12a"/>
      </w:pPr>
      <w:r w:rsidRPr="00F223AA">
        <w:t>18.</w:t>
      </w:r>
      <w:r w:rsidRPr="00F223AA">
        <w:tab/>
        <w:t>pozdravlja, da se je januarja 2023 prenehala praksa imenovanja začasnih vodstvenih delavcev;</w:t>
      </w:r>
    </w:p>
    <w:p w14:paraId="54803038" w14:textId="77777777" w:rsidR="00685116" w:rsidRPr="00F223AA" w:rsidRDefault="00685116" w:rsidP="00685116">
      <w:pPr>
        <w:pStyle w:val="NormalHanging12a"/>
      </w:pPr>
      <w:r w:rsidRPr="00F223AA">
        <w:t>19.</w:t>
      </w:r>
      <w:r w:rsidRPr="00F223AA">
        <w:tab/>
        <w:t>opozarja, da je ena od glavnih nalog upravnega odbora skrb za splošne usmeritve dejavnosti agencije in zagotavljanje, da agencija učinkovito izpolnjuje svoj mandat; meni, da mora biti upravni odbor – da bi podajal splošne usmeritve – seznanjen z zakonodajo, ki se uporablja za agencijo, in o njej ustrezno obveščen, to pa velja tudi za ključne spremembe pri upravljanju agencije; obžaluje sporočene pomanjkljivosti v zvezi s tem in poziva agencijo, naj zagotovi učinkovite, sistematične in pregledne postopke v komunikaciji z upravnim odborom;</w:t>
      </w:r>
    </w:p>
    <w:p w14:paraId="54C6B261" w14:textId="77777777" w:rsidR="00685116" w:rsidRPr="00F223AA" w:rsidRDefault="00685116" w:rsidP="00685116">
      <w:pPr>
        <w:pStyle w:val="NormalHanging12a"/>
      </w:pPr>
      <w:r w:rsidRPr="00F223AA">
        <w:t>20.</w:t>
      </w:r>
      <w:r w:rsidRPr="00F223AA">
        <w:tab/>
        <w:t>poziva Evropsko komisijo, ki ima dva sedeža v upravnem odboru, naj druge člane odbora dejavno podpira in jim pomaga pri razumevanju pravil, ki se uporabljajo za agencijo, ter naj v okviru širših prizadevanj za preprečevanje opredeli in razširja izkušnje, pridobljene v tem konkretnem primeru;; poziva agencijo, naj organu za podelitev razrešnice poroča o ukrepih, ki jih je sprejela za izboljšanje komuniciranja z upravnim odborom;</w:t>
      </w:r>
    </w:p>
    <w:p w14:paraId="65B60B80" w14:textId="77777777" w:rsidR="00685116" w:rsidRPr="00F223AA" w:rsidRDefault="00685116" w:rsidP="00685116">
      <w:pPr>
        <w:pStyle w:val="NormalHanging12a"/>
      </w:pPr>
      <w:r w:rsidRPr="00F223AA">
        <w:t>21.</w:t>
      </w:r>
      <w:r w:rsidRPr="00F223AA">
        <w:tab/>
        <w:t>pozdravlja predlog, ki ga je Komisija podala med izmenjavo mnenj o možnosti, da bi decentralizirane agencije uporabljale skupne službe na nekaterih horizontalnih področjih, saj bi to pripomoglo k boljšemu upravljanju postopkov in pomenilo učinkovitejšo uporabo virov; spodbuja Komisijo, naj preuči to možnost in v zvezi s tem predlaga konkretne ukrepe;</w:t>
      </w:r>
    </w:p>
    <w:p w14:paraId="13E42CA8" w14:textId="77777777" w:rsidR="00685116" w:rsidRPr="00F223AA" w:rsidRDefault="00685116" w:rsidP="00685116">
      <w:pPr>
        <w:pStyle w:val="NormalHanging12a"/>
      </w:pPr>
      <w:r w:rsidRPr="00F223AA">
        <w:t>22.</w:t>
      </w:r>
      <w:r w:rsidRPr="00F223AA">
        <w:tab/>
        <w:t>poziva agencijo, naj vzpostavi neodvisno notranjo funkcijo za etiko, in poudarja pomen strogih pravil o zaščiti prijaviteljev nepravilnosti v skladu z Direktivo (EU) 2019/1937; poudarja, da morajo biti notranji kanali za prijavljanje zaupni in verodostojni ter da se morajo zaposlenim na vseh ravneh zdeti zanesljivi;</w:t>
      </w:r>
    </w:p>
    <w:p w14:paraId="3391E5E0" w14:textId="77777777" w:rsidR="00685116" w:rsidRPr="00F223AA" w:rsidRDefault="00685116" w:rsidP="00685116">
      <w:pPr>
        <w:pStyle w:val="NormalHanging12a"/>
      </w:pPr>
      <w:r w:rsidRPr="00F223AA">
        <w:t>23.</w:t>
      </w:r>
      <w:r w:rsidRPr="00F223AA">
        <w:tab/>
        <w:t>poudarja, da se je preiskava urada OLAF zaključila šele leta 2024, čeprav nekateri dogodki segajo v leti 2021 in 2022 oziroma še bolj nazaj v preteklost; poudarja, da še ne more biti zaključeno, da so bile te težave v celoti odpravljene; poudarja, da organ za podelitev razrešnice ohranja polno pravico do izvajanja svojih nadzornih pristojnosti, dokler se razmere v celoti ne popravijo in pojasnijo; poziva izvršno direktorico in upravni odbor, naj prepoznata in obravnavata vse strukturne pomanjkljivosti pri upravljanju človeških virov agencije in v nadzornih funkcijah upravnega odbora ter sprejmeta učinkovite ukrepe, da bi preprečila ponovitev podobnih težav, prav tako si pridržuje pravico, da prihodnje odločitve o razrešnici, zadrži ali pogojuje, če agencija ne bo izvedla popolne strukturne reforme;</w:t>
      </w:r>
    </w:p>
    <w:p w14:paraId="7F2C88BB" w14:textId="77777777" w:rsidR="00685116" w:rsidRPr="00F223AA" w:rsidRDefault="00685116" w:rsidP="00685116">
      <w:pPr>
        <w:pStyle w:val="NormalHanging12a"/>
      </w:pPr>
      <w:r w:rsidRPr="00F223AA">
        <w:lastRenderedPageBreak/>
        <w:t>24.</w:t>
      </w:r>
      <w:r w:rsidRPr="00F223AA">
        <w:tab/>
        <w:t>z zaskrbljenostjo ugotavlja, da je stopnja fluktuacije zaposlenih izjemno visoka, kot je navedeno v poročilu urada OLAF, ne da bi vodstvo lahko podalo zadovoljivo razlago; poziva izvršnega direktorja in upravni odbor, zlasti predstavnike Komisije v njem, naj uvedejo sistematične razgovore o prekinitvi dela z vsemi uslužbenci, ki prekinejo delovno razmerje, izčrpno dokumentirajo ugotovitve ter organu za podelitev razrešnice poročajo o rezultatih in napredku, doseženem v zvezi s tem v okviru postopka razrešnice za leto 2024;</w:t>
      </w:r>
    </w:p>
    <w:p w14:paraId="6A865D46" w14:textId="77777777" w:rsidR="00685116" w:rsidRPr="00F223AA" w:rsidRDefault="00685116" w:rsidP="00685116">
      <w:pPr>
        <w:pStyle w:val="NormalHanging12a"/>
      </w:pPr>
      <w:r w:rsidRPr="00F223AA">
        <w:t>25.</w:t>
      </w:r>
      <w:r w:rsidRPr="00F223AA">
        <w:tab/>
        <w:t>izreka pohvalo osebju agencije, ker kljub zahtevnim okoliščinam svoje naloge opravlja predano in zavzeto; meni, da je bistveno spodbujati pozitivno delovno okolje s promocijo dobrih praks na ravni človeških virov in nagrajevanjem uspešnosti na podlagi dosežkov; poziva upravni odbor in izvršno direktorico, naj poskrbita, da bo delovno okolje v agenciji varno in podporno ter da bo spodbujalo odprte komunikacije in posameznikom omogočalo, da spregovorijo brez strahu pred povračilnimi ukrepi; poziva agencijo, naj poskrbi za resno in temeljito preiskavo vseh prijav o kršitvah poklicnih pravil ter sprejme ustrezne nadaljnje ukrepe za ohranitev integritete in zaupanja v organizaciji;</w:t>
      </w:r>
    </w:p>
    <w:p w14:paraId="3FB543A3" w14:textId="77777777" w:rsidR="00685116" w:rsidRPr="00F223AA" w:rsidRDefault="00685116" w:rsidP="00685116">
      <w:pPr>
        <w:pStyle w:val="NormalHanging12a"/>
        <w:jc w:val="center"/>
      </w:pPr>
      <w:r w:rsidRPr="00F223AA">
        <w:t>°</w:t>
      </w:r>
    </w:p>
    <w:p w14:paraId="27F08BB3" w14:textId="77777777" w:rsidR="00685116" w:rsidRPr="00F223AA" w:rsidRDefault="00685116" w:rsidP="00685116">
      <w:pPr>
        <w:pStyle w:val="NormalHanging12a"/>
        <w:jc w:val="center"/>
      </w:pPr>
      <w:r w:rsidRPr="00F223AA">
        <w:t>°</w:t>
      </w:r>
      <w:r w:rsidRPr="00F223AA">
        <w:tab/>
        <w:t>°</w:t>
      </w:r>
    </w:p>
    <w:p w14:paraId="587B10DB" w14:textId="5E5B77AC" w:rsidR="00E365E1" w:rsidRPr="00F223AA" w:rsidRDefault="00685116" w:rsidP="00496570">
      <w:pPr>
        <w:ind w:left="567" w:hanging="567"/>
      </w:pPr>
      <w:r w:rsidRPr="00F223AA">
        <w:rPr>
          <w:snapToGrid w:val="0"/>
        </w:rPr>
        <w:t>26.</w:t>
      </w:r>
      <w:r w:rsidRPr="00F223AA">
        <w:rPr>
          <w:snapToGrid w:val="0"/>
        </w:rPr>
        <w:tab/>
        <w:t>sporoča, da so druge ugotovitve zbrane v resoluciji z dne 7. maja 2025</w:t>
      </w:r>
      <w:r w:rsidRPr="00F223AA">
        <w:rPr>
          <w:rStyle w:val="FootnoteReference"/>
          <w:snapToGrid w:val="0"/>
        </w:rPr>
        <w:footnoteReference w:id="18"/>
      </w:r>
      <w:r w:rsidRPr="00F223AA">
        <w:rPr>
          <w:snapToGrid w:val="0"/>
        </w:rPr>
        <w:t xml:space="preserve"> s pripombami, ki so del sklepov o razrešnici glede izvrševanja proračuna agencij Evropske unije.</w:t>
      </w:r>
    </w:p>
    <w:sectPr w:rsidR="00E365E1" w:rsidRPr="00F223AA" w:rsidSect="00F05F8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BEF92" w14:textId="77777777" w:rsidR="00957A92" w:rsidRPr="00F05F87" w:rsidRDefault="00957A92">
      <w:r w:rsidRPr="00F05F87">
        <w:separator/>
      </w:r>
    </w:p>
  </w:endnote>
  <w:endnote w:type="continuationSeparator" w:id="0">
    <w:p w14:paraId="7DFEEAD0" w14:textId="77777777" w:rsidR="00957A92" w:rsidRPr="00F05F87" w:rsidRDefault="00957A92">
      <w:r w:rsidRPr="00F05F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D4E9B" w14:textId="77777777" w:rsidR="00F05F87" w:rsidRPr="00F05F87" w:rsidRDefault="00F05F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BFF29" w14:textId="77777777" w:rsidR="00F05F87" w:rsidRPr="00F05F87" w:rsidRDefault="00F05F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A3A72" w14:textId="77777777" w:rsidR="00685116" w:rsidRPr="00F05F87" w:rsidRDefault="00685116" w:rsidP="00806EEE">
    <w:pPr>
      <w:pStyle w:val="EPFooter"/>
    </w:pPr>
    <w:r w:rsidRPr="00F05F87">
      <w:rPr>
        <w:rStyle w:val="HideTWBExt"/>
      </w:rPr>
      <w:t>&lt;PathFdR&gt;</w:t>
    </w:r>
    <w:r w:rsidRPr="00F05F87">
      <w:t>PR\1321847SL.docx</w:t>
    </w:r>
    <w:r w:rsidRPr="00F05F87">
      <w:rPr>
        <w:rStyle w:val="HideTWBExt"/>
      </w:rPr>
      <w:t>&lt;/PathFdR&gt;</w:t>
    </w:r>
    <w:r w:rsidRPr="00F05F87">
      <w:tab/>
    </w:r>
    <w:r w:rsidRPr="00F05F87">
      <w:fldChar w:fldCharType="begin"/>
    </w:r>
    <w:r w:rsidRPr="00F05F87">
      <w:instrText xml:space="preserve"> PAGE </w:instrText>
    </w:r>
    <w:r w:rsidRPr="00F05F87">
      <w:fldChar w:fldCharType="separate"/>
    </w:r>
    <w:r w:rsidRPr="00F05F87">
      <w:rPr>
        <w:noProof/>
      </w:rPr>
      <w:t>4</w:t>
    </w:r>
    <w:r w:rsidRPr="00F05F87">
      <w:fldChar w:fldCharType="end"/>
    </w:r>
    <w:r w:rsidRPr="00F05F87">
      <w:t>/</w:t>
    </w:r>
    <w:r w:rsidRPr="00F05F87">
      <w:fldChar w:fldCharType="begin"/>
    </w:r>
    <w:r w:rsidRPr="00F05F87">
      <w:instrText xml:space="preserve"> NUMPAGES </w:instrText>
    </w:r>
    <w:r w:rsidRPr="00F05F87">
      <w:fldChar w:fldCharType="separate"/>
    </w:r>
    <w:r w:rsidRPr="00F05F87">
      <w:rPr>
        <w:noProof/>
      </w:rPr>
      <w:t>14</w:t>
    </w:r>
    <w:r w:rsidRPr="00F05F87">
      <w:rPr>
        <w:noProof/>
      </w:rPr>
      <w:fldChar w:fldCharType="end"/>
    </w:r>
    <w:r w:rsidRPr="00F05F87">
      <w:tab/>
      <w:t>PE</w:t>
    </w:r>
    <w:r w:rsidRPr="00F05F87">
      <w:rPr>
        <w:rStyle w:val="HideTWBExt"/>
      </w:rPr>
      <w:t>&lt;NoPE&gt;</w:t>
    </w:r>
    <w:r w:rsidRPr="00F05F87">
      <w:t>774.259</w:t>
    </w:r>
    <w:r w:rsidRPr="00F05F87">
      <w:rPr>
        <w:rStyle w:val="HideTWBExt"/>
      </w:rPr>
      <w:t>&lt;/NoPE&gt;&lt;Version&gt;</w:t>
    </w:r>
    <w:r w:rsidRPr="00F05F87">
      <w:t>v01-00</w:t>
    </w:r>
    <w:r w:rsidRPr="00F05F87">
      <w:rPr>
        <w:rStyle w:val="HideTWBExt"/>
      </w:rPr>
      <w:t>&lt;/Version&gt;</w:t>
    </w:r>
  </w:p>
  <w:p w14:paraId="2BA0FE08" w14:textId="77777777" w:rsidR="00685116" w:rsidRPr="00F05F87" w:rsidRDefault="00685116" w:rsidP="00806EEE">
    <w:pPr>
      <w:pStyle w:val="EPFooter2"/>
    </w:pPr>
    <w:r w:rsidRPr="00F05F87">
      <w:tab/>
    </w:r>
    <w:r w:rsidRPr="00F05F87">
      <w:tab/>
    </w:r>
    <w:r w:rsidRPr="00F05F87">
      <w:fldChar w:fldCharType="begin"/>
    </w:r>
    <w:r w:rsidRPr="00F05F87">
      <w:instrText xml:space="preserve"> DOCPROPERTY "&lt;Extension&gt;" </w:instrText>
    </w:r>
    <w:r w:rsidRPr="00F05F87">
      <w:fldChar w:fldCharType="separate"/>
    </w:r>
    <w:proofErr w:type="gramStart"/>
    <w:r w:rsidRPr="00F05F87">
      <w:t>SL</w:t>
    </w:r>
    <w:proofErr w:type="gramEnd"/>
    <w:r w:rsidRPr="00F05F87">
      <w:fldChar w:fldCharType="end"/>
    </w:r>
  </w:p>
  <w:p w14:paraId="5A3E51D8" w14:textId="77777777" w:rsidR="00685116" w:rsidRPr="00F05F87" w:rsidRDefault="00685116" w:rsidP="00806EE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9128" w14:textId="77777777" w:rsidR="00685116" w:rsidRPr="00F05F87" w:rsidRDefault="00685116" w:rsidP="001A54A8">
    <w:pPr>
      <w:pStyle w:val="EPFooter"/>
    </w:pPr>
    <w:r w:rsidRPr="00F05F87">
      <w:rPr>
        <w:rStyle w:val="HideTWBExt"/>
        <w:rFonts w:eastAsiaTheme="majorEastAsia"/>
      </w:rPr>
      <w:t>&lt;PathFdR&gt;</w:t>
    </w:r>
    <w:r w:rsidRPr="00F05F87">
      <w:t>PR\1321847SL.docx</w:t>
    </w:r>
    <w:r w:rsidRPr="00F05F87">
      <w:rPr>
        <w:rStyle w:val="HideTWBExt"/>
        <w:rFonts w:eastAsiaTheme="majorEastAsia"/>
      </w:rPr>
      <w:t>&lt;/PathFdR&gt;</w:t>
    </w:r>
    <w:r w:rsidRPr="00F05F87">
      <w:tab/>
    </w:r>
    <w:r w:rsidRPr="00F05F87">
      <w:tab/>
      <w:t>PE</w:t>
    </w:r>
    <w:r w:rsidRPr="00F05F87">
      <w:rPr>
        <w:rStyle w:val="HideTWBExt"/>
        <w:rFonts w:eastAsiaTheme="majorEastAsia"/>
      </w:rPr>
      <w:t>&lt;NoPE&gt;</w:t>
    </w:r>
    <w:r w:rsidRPr="00F05F87">
      <w:t>774.259</w:t>
    </w:r>
    <w:r w:rsidRPr="00F05F87">
      <w:rPr>
        <w:rStyle w:val="HideTWBExt"/>
        <w:rFonts w:eastAsiaTheme="majorEastAsia"/>
      </w:rPr>
      <w:t>&lt;/NoPE&gt;&lt;Version&gt;</w:t>
    </w:r>
    <w:r w:rsidRPr="00F05F87">
      <w:t>v01-00</w:t>
    </w:r>
    <w:r w:rsidRPr="00F05F87">
      <w:rPr>
        <w:rStyle w:val="HideTWBExt"/>
        <w:rFonts w:eastAsiaTheme="majorEastAsia"/>
      </w:rPr>
      <w:t>&lt;/Version&gt;</w:t>
    </w:r>
  </w:p>
  <w:p w14:paraId="49E34EE6" w14:textId="77777777" w:rsidR="00685116" w:rsidRPr="00F05F87" w:rsidRDefault="00685116" w:rsidP="00390068">
    <w:pPr>
      <w:pStyle w:val="EPFooter2"/>
      <w:tabs>
        <w:tab w:val="clear" w:pos="4535"/>
        <w:tab w:val="center" w:pos="4536"/>
      </w:tabs>
    </w:pPr>
    <w:r w:rsidRPr="00F05F87">
      <w:fldChar w:fldCharType="begin"/>
    </w:r>
    <w:r w:rsidRPr="00F05F87">
      <w:instrText xml:space="preserve"> DOCPROPERTY "&lt;Extension&gt;" </w:instrText>
    </w:r>
    <w:r w:rsidRPr="00F05F87">
      <w:fldChar w:fldCharType="separate"/>
    </w:r>
    <w:proofErr w:type="gramStart"/>
    <w:r w:rsidRPr="00F05F87">
      <w:t>SL</w:t>
    </w:r>
    <w:proofErr w:type="gramEnd"/>
    <w:r w:rsidRPr="00F05F87">
      <w:fldChar w:fldCharType="end"/>
    </w:r>
    <w:r w:rsidRPr="00F05F87">
      <w:tab/>
    </w:r>
    <w:r w:rsidRPr="00F05F87">
      <w:rPr>
        <w:b w:val="0"/>
        <w:i/>
        <w:color w:val="C0C0C0"/>
        <w:sz w:val="22"/>
        <w:szCs w:val="22"/>
      </w:rPr>
      <w:t>Združena v raznolikosti</w:t>
    </w:r>
    <w:r w:rsidRPr="00F05F87">
      <w:tab/>
    </w:r>
    <w:r w:rsidRPr="00F05F87">
      <w:fldChar w:fldCharType="begin"/>
    </w:r>
    <w:r w:rsidRPr="00F05F87">
      <w:instrText xml:space="preserve"> DOCPROPERTY "&lt;Extension&gt;" </w:instrText>
    </w:r>
    <w:r w:rsidRPr="00F05F87">
      <w:fldChar w:fldCharType="separate"/>
    </w:r>
    <w:r w:rsidRPr="00F05F87">
      <w:t>SL</w:t>
    </w:r>
    <w:r w:rsidRPr="00F05F87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57DD" w14:textId="77777777" w:rsidR="00064002" w:rsidRPr="00F05F8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748A3" w14:textId="77777777" w:rsidR="00064002" w:rsidRPr="00F05F87" w:rsidRDefault="0006400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8921" w14:textId="77777777" w:rsidR="00064002" w:rsidRPr="00F05F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620B6" w14:textId="77777777" w:rsidR="00957A92" w:rsidRPr="00F05F87" w:rsidRDefault="00957A92">
      <w:r w:rsidRPr="00F05F87">
        <w:separator/>
      </w:r>
    </w:p>
  </w:footnote>
  <w:footnote w:type="continuationSeparator" w:id="0">
    <w:p w14:paraId="68BD79B3" w14:textId="77777777" w:rsidR="00957A92" w:rsidRPr="00F05F87" w:rsidRDefault="00957A92">
      <w:r w:rsidRPr="00F05F87">
        <w:continuationSeparator/>
      </w:r>
    </w:p>
  </w:footnote>
  <w:footnote w:id="1">
    <w:p w14:paraId="7F7FA4A6" w14:textId="49FAC029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C, C/2024/6332, 24.10.2024, ELI: </w:t>
      </w:r>
      <w:hyperlink r:id="rId1" w:history="1">
        <w:r w:rsidRPr="0076654E">
          <w:rPr>
            <w:rStyle w:val="Hyperlink"/>
            <w:sz w:val="24"/>
            <w:szCs w:val="24"/>
            <w:lang w:val="sl-SI"/>
          </w:rPr>
          <w:t>http://data.europa.eu/eli/C/2024/6332/oj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2">
    <w:p w14:paraId="5EDC8032" w14:textId="39AE9519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C, C/2024/6041, 10.10.2024, ELI: </w:t>
      </w:r>
      <w:hyperlink r:id="rId2" w:history="1">
        <w:r w:rsidRPr="0076654E">
          <w:rPr>
            <w:rStyle w:val="Hyperlink"/>
            <w:sz w:val="24"/>
            <w:szCs w:val="24"/>
            <w:lang w:val="sl-SI"/>
          </w:rPr>
          <w:t>http://data.europa.eu/eli/C/2024/6041/oj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3">
    <w:p w14:paraId="4C2EDCCC" w14:textId="785BCF8B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="00E170C9">
        <w:rPr>
          <w:sz w:val="24"/>
          <w:szCs w:val="24"/>
          <w:lang w:val="sl-SI"/>
        </w:rPr>
        <w:t>UL</w:t>
      </w:r>
      <w:r w:rsidR="00E170C9" w:rsidRPr="00E170C9">
        <w:rPr>
          <w:sz w:val="24"/>
          <w:szCs w:val="24"/>
          <w:lang w:val="sl-SI"/>
        </w:rPr>
        <w:t xml:space="preserve"> L, 2025/1663, 8.10.2025, ELI: </w:t>
      </w:r>
      <w:hyperlink r:id="rId3" w:history="1">
        <w:r w:rsidR="00E170C9" w:rsidRPr="00E170C9">
          <w:rPr>
            <w:rStyle w:val="Hyperlink"/>
            <w:sz w:val="24"/>
            <w:szCs w:val="24"/>
            <w:lang w:val="sl-SI"/>
          </w:rPr>
          <w:t>http://data.europa.eu/eli/dec/2025/1663/oj</w:t>
        </w:r>
      </w:hyperlink>
      <w:r w:rsidR="00E170C9" w:rsidRPr="00E170C9">
        <w:rPr>
          <w:sz w:val="24"/>
          <w:szCs w:val="24"/>
          <w:lang w:val="sl-SI"/>
        </w:rPr>
        <w:t>.</w:t>
      </w:r>
    </w:p>
  </w:footnote>
  <w:footnote w:id="4">
    <w:p w14:paraId="3CD967C2" w14:textId="7C3B8729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 193, 30.7.2018, str. 1, ELI: </w:t>
      </w:r>
      <w:hyperlink r:id="rId4" w:history="1">
        <w:r w:rsidRPr="0076654E">
          <w:rPr>
            <w:rStyle w:val="Hyperlink"/>
            <w:sz w:val="24"/>
            <w:szCs w:val="24"/>
            <w:lang w:val="sl-SI"/>
          </w:rPr>
          <w:t>http://data.europa.eu/eli/reg/2018/1046/oj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5">
    <w:p w14:paraId="7B6E5BA8" w14:textId="7D24D542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L, 2024/2509, 26.9.2024, ELI: </w:t>
      </w:r>
      <w:hyperlink r:id="rId5" w:history="1">
        <w:r w:rsidRPr="0076654E">
          <w:rPr>
            <w:rStyle w:val="Hyperlink"/>
            <w:sz w:val="24"/>
            <w:szCs w:val="24"/>
            <w:lang w:val="sl-SI"/>
          </w:rPr>
          <w:t>http://data.europa.eu/eli/reg/2024/2509/oj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6">
    <w:p w14:paraId="53BF4899" w14:textId="373A9DF1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 132, 29.5.2010, str. 11, ELI: </w:t>
      </w:r>
      <w:hyperlink r:id="rId6" w:history="1">
        <w:r w:rsidRPr="0076654E">
          <w:rPr>
            <w:rStyle w:val="Hyperlink"/>
            <w:sz w:val="24"/>
            <w:szCs w:val="24"/>
            <w:lang w:val="sl-SI"/>
          </w:rPr>
          <w:t>http://data.europa.eu/eli/reg/2010/439/oj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7">
    <w:p w14:paraId="6C50E621" w14:textId="0755644E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 468, 30.12.2021, str. 1, ELI: </w:t>
      </w:r>
      <w:hyperlink r:id="rId7" w:history="1">
        <w:r w:rsidRPr="0076654E">
          <w:rPr>
            <w:rStyle w:val="Hyperlink"/>
            <w:sz w:val="24"/>
            <w:szCs w:val="24"/>
            <w:lang w:val="sl-SI"/>
          </w:rPr>
          <w:t>http://data.europa.eu/eli/reg/2021/2303/oj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8">
    <w:p w14:paraId="769963F1" w14:textId="7A34DCC2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 122, 10.5.2019, str. 1, ELI: </w:t>
      </w:r>
      <w:hyperlink r:id="rId8" w:history="1">
        <w:r w:rsidRPr="0076654E">
          <w:rPr>
            <w:rStyle w:val="Hyperlink"/>
            <w:sz w:val="24"/>
            <w:szCs w:val="24"/>
            <w:lang w:val="sl-SI"/>
          </w:rPr>
          <w:t>http://data.europa.eu/eli/reg_del/2019/715/oj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9">
    <w:p w14:paraId="759BFA60" w14:textId="54983B83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C, C/2024/6332, 24.10.2024, ELI: </w:t>
      </w:r>
      <w:hyperlink r:id="rId9" w:history="1">
        <w:r w:rsidRPr="0076654E">
          <w:rPr>
            <w:rStyle w:val="Hyperlink"/>
            <w:sz w:val="24"/>
            <w:szCs w:val="24"/>
            <w:lang w:val="sl-SI"/>
          </w:rPr>
          <w:t>http://data.europa.eu/eli/C/2024/6332/oj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10">
    <w:p w14:paraId="7BE12F61" w14:textId="1BCB74F0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C, C/2024/6041, 10.10.2024, ELI: </w:t>
      </w:r>
      <w:hyperlink r:id="rId10" w:history="1">
        <w:r w:rsidRPr="0076654E">
          <w:rPr>
            <w:rStyle w:val="Hyperlink"/>
            <w:sz w:val="24"/>
            <w:szCs w:val="24"/>
            <w:lang w:val="sl-SI"/>
          </w:rPr>
          <w:t>http://data.europa.eu/eli/C/2024/6041/oj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11">
    <w:p w14:paraId="08E39BD8" w14:textId="70964CE1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="00E170C9">
        <w:rPr>
          <w:sz w:val="24"/>
          <w:szCs w:val="24"/>
          <w:lang w:val="sl-SI"/>
        </w:rPr>
        <w:t>UL</w:t>
      </w:r>
      <w:r w:rsidR="00E170C9" w:rsidRPr="00E170C9">
        <w:rPr>
          <w:sz w:val="24"/>
          <w:szCs w:val="24"/>
          <w:lang w:val="sl-SI"/>
        </w:rPr>
        <w:t xml:space="preserve"> L, 2025/1663, 8.10.2025, ELI: </w:t>
      </w:r>
      <w:hyperlink r:id="rId11" w:history="1">
        <w:r w:rsidR="00E170C9" w:rsidRPr="00E170C9">
          <w:rPr>
            <w:rStyle w:val="Hyperlink"/>
            <w:sz w:val="24"/>
            <w:szCs w:val="24"/>
            <w:lang w:val="sl-SI"/>
          </w:rPr>
          <w:t>http://data.europa.eu/eli/dec/2025/1663/oj</w:t>
        </w:r>
      </w:hyperlink>
      <w:r w:rsidR="00E170C9" w:rsidRPr="00E170C9">
        <w:rPr>
          <w:sz w:val="24"/>
          <w:szCs w:val="24"/>
          <w:lang w:val="sl-SI"/>
        </w:rPr>
        <w:t>.</w:t>
      </w:r>
    </w:p>
  </w:footnote>
  <w:footnote w:id="12">
    <w:p w14:paraId="1EDE6DD6" w14:textId="2C905DE1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 193, 30.7.2018, str. 1, ELI: </w:t>
      </w:r>
      <w:hyperlink r:id="rId12" w:history="1">
        <w:r w:rsidRPr="0076654E">
          <w:rPr>
            <w:rStyle w:val="Hyperlink"/>
            <w:sz w:val="24"/>
            <w:szCs w:val="24"/>
            <w:lang w:val="sl-SI"/>
          </w:rPr>
          <w:t>http://data.europa.eu/eli/reg/2018/1046/oj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13">
    <w:p w14:paraId="56285F57" w14:textId="5A19EB7D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L, 2024/2509, 26.9.2024, ELI: </w:t>
      </w:r>
      <w:hyperlink r:id="rId13" w:history="1">
        <w:r w:rsidRPr="0076654E">
          <w:rPr>
            <w:rStyle w:val="Hyperlink"/>
            <w:sz w:val="24"/>
            <w:szCs w:val="24"/>
            <w:lang w:val="sl-SI"/>
          </w:rPr>
          <w:t>http://data.europa.eu/eli/reg/2024/2509/oj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14">
    <w:p w14:paraId="65DE7A13" w14:textId="5BCB09D1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 132, 29.5.2010, str. 11, ELI: </w:t>
      </w:r>
      <w:hyperlink r:id="rId14" w:history="1">
        <w:r w:rsidRPr="0076654E">
          <w:rPr>
            <w:rStyle w:val="Hyperlink"/>
            <w:sz w:val="24"/>
            <w:szCs w:val="24"/>
            <w:lang w:val="sl-SI"/>
          </w:rPr>
          <w:t>http://data.europa.eu/eli/reg/2010/439/oj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15">
    <w:p w14:paraId="22FE1334" w14:textId="3A0285B8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 468, 30.12.2021, str. 1, ELI: </w:t>
      </w:r>
      <w:hyperlink r:id="rId15" w:history="1">
        <w:r w:rsidRPr="0076654E">
          <w:rPr>
            <w:rStyle w:val="Hyperlink"/>
            <w:sz w:val="24"/>
            <w:szCs w:val="24"/>
            <w:lang w:val="sl-SI"/>
          </w:rPr>
          <w:t>http://data.europa.eu/eli/reg/2021/2303/oj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16">
    <w:p w14:paraId="083385BD" w14:textId="18C25A03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Pr="0076654E">
        <w:rPr>
          <w:sz w:val="24"/>
          <w:szCs w:val="24"/>
          <w:lang w:val="sl-SI"/>
        </w:rPr>
        <w:t xml:space="preserve">UL L 122, 10.5.2019, str. 1, ELI: </w:t>
      </w:r>
      <w:hyperlink r:id="rId16" w:history="1">
        <w:r w:rsidRPr="0076654E">
          <w:rPr>
            <w:rStyle w:val="Hyperlink"/>
            <w:sz w:val="24"/>
            <w:szCs w:val="24"/>
            <w:lang w:val="sl-SI"/>
          </w:rPr>
          <w:t>http://data.europa.eu/eli/reg_del/2019/715/oj</w:t>
        </w:r>
      </w:hyperlink>
      <w:r w:rsidRPr="0076654E">
        <w:rPr>
          <w:sz w:val="24"/>
          <w:szCs w:val="24"/>
          <w:lang w:val="sl-SI"/>
        </w:rPr>
        <w:t>.</w:t>
      </w:r>
    </w:p>
  </w:footnote>
  <w:footnote w:id="17">
    <w:p w14:paraId="3889D5EE" w14:textId="616C45D1" w:rsidR="0076654E" w:rsidRPr="00004F71" w:rsidRDefault="0076654E" w:rsidP="00004F71">
      <w:pPr>
        <w:pStyle w:val="FootnoteText"/>
        <w:ind w:left="567" w:hanging="567"/>
        <w:rPr>
          <w:sz w:val="24"/>
          <w:szCs w:val="24"/>
          <w:lang w:val="sl-SI"/>
        </w:rPr>
      </w:pPr>
      <w:r w:rsidRPr="00004F71">
        <w:rPr>
          <w:rStyle w:val="FootnoteReference"/>
          <w:sz w:val="24"/>
          <w:szCs w:val="24"/>
          <w:lang w:val="sl-SI"/>
        </w:rPr>
        <w:footnoteRef/>
      </w:r>
      <w:r w:rsidRPr="00004F71">
        <w:rPr>
          <w:sz w:val="24"/>
          <w:szCs w:val="24"/>
          <w:lang w:val="sl-SI"/>
        </w:rPr>
        <w:t xml:space="preserve"> </w:t>
      </w:r>
      <w:r w:rsidRPr="00004F71">
        <w:rPr>
          <w:sz w:val="24"/>
          <w:szCs w:val="24"/>
          <w:lang w:val="sl-SI"/>
        </w:rPr>
        <w:tab/>
        <w:t xml:space="preserve">Uredba (EU) 2021/2303 Evropskega parlamenta in Sveta z dne 15. decembra 2021 o Agenciji Evropske unije za azil in razveljavitvi Uredbe (EU) št. 439/2010 (UL L 468, 30.12.2021, str. 1, ELI: </w:t>
      </w:r>
      <w:hyperlink r:id="rId17" w:history="1">
        <w:r w:rsidRPr="00004F71">
          <w:rPr>
            <w:rStyle w:val="Hyperlink"/>
            <w:sz w:val="24"/>
            <w:szCs w:val="24"/>
            <w:lang w:val="sl-SI"/>
          </w:rPr>
          <w:t>http://data.europa.eu/eli/reg/2021/2303/oj</w:t>
        </w:r>
      </w:hyperlink>
      <w:r w:rsidRPr="00A7307C">
        <w:rPr>
          <w:rStyle w:val="Hyperlink"/>
          <w:color w:val="000000" w:themeColor="text1"/>
          <w:sz w:val="24"/>
          <w:szCs w:val="24"/>
          <w:u w:val="none"/>
          <w:lang w:val="sl-SI"/>
        </w:rPr>
        <w:t>).</w:t>
      </w:r>
    </w:p>
  </w:footnote>
  <w:footnote w:id="18">
    <w:p w14:paraId="3B9E60F4" w14:textId="589D1532" w:rsidR="00685116" w:rsidRPr="0076654E" w:rsidRDefault="00685116" w:rsidP="00F05F87">
      <w:pPr>
        <w:pStyle w:val="FootnoteText"/>
        <w:ind w:left="567" w:hanging="567"/>
        <w:rPr>
          <w:sz w:val="24"/>
          <w:szCs w:val="24"/>
          <w:lang w:val="sl-SI"/>
        </w:rPr>
      </w:pPr>
      <w:r w:rsidRPr="0076654E">
        <w:rPr>
          <w:rStyle w:val="FootnoteReference"/>
          <w:sz w:val="24"/>
          <w:szCs w:val="24"/>
          <w:lang w:val="sl-SI"/>
        </w:rPr>
        <w:footnoteRef/>
      </w:r>
      <w:r w:rsidR="00F05F87" w:rsidRPr="0076654E">
        <w:rPr>
          <w:sz w:val="24"/>
          <w:szCs w:val="24"/>
          <w:lang w:val="sl-SI"/>
        </w:rPr>
        <w:t xml:space="preserve"> </w:t>
      </w:r>
      <w:r w:rsidR="00F05F87" w:rsidRPr="0076654E">
        <w:rPr>
          <w:sz w:val="24"/>
          <w:szCs w:val="24"/>
          <w:lang w:val="sl-SI"/>
        </w:rPr>
        <w:tab/>
      </w:r>
      <w:r w:rsidR="00A7307C">
        <w:rPr>
          <w:sz w:val="24"/>
          <w:szCs w:val="24"/>
          <w:lang w:val="sl-SI"/>
        </w:rPr>
        <w:t>UL</w:t>
      </w:r>
      <w:r w:rsidR="00A7307C" w:rsidRPr="00A7307C">
        <w:rPr>
          <w:sz w:val="24"/>
          <w:szCs w:val="24"/>
          <w:lang w:val="sl-SI"/>
        </w:rPr>
        <w:t xml:space="preserve"> L, 2025/1681, 8.10.2025, ELI: </w:t>
      </w:r>
      <w:hyperlink r:id="rId18" w:history="1">
        <w:r w:rsidR="00A7307C" w:rsidRPr="00A7307C">
          <w:rPr>
            <w:rStyle w:val="Hyperlink"/>
            <w:sz w:val="24"/>
            <w:szCs w:val="24"/>
            <w:lang w:val="sl-SI"/>
          </w:rPr>
          <w:t>http://data.europa.eu/eli/res/2025/1681/oj</w:t>
        </w:r>
      </w:hyperlink>
      <w:r w:rsidR="00A7307C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DC330" w14:textId="77777777" w:rsidR="00F05F87" w:rsidRPr="00F05F87" w:rsidRDefault="00F05F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27FC" w14:textId="77777777" w:rsidR="00F05F87" w:rsidRPr="00F05F87" w:rsidRDefault="00F05F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EBC35" w14:textId="77777777" w:rsidR="00F05F87" w:rsidRPr="00F05F87" w:rsidRDefault="00F05F8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46BD1" w14:textId="77777777" w:rsidR="00064002" w:rsidRPr="00F05F8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18D64" w14:textId="77777777" w:rsidR="00064002" w:rsidRPr="00F05F8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5F21F" w14:textId="77777777" w:rsidR="00064002" w:rsidRPr="00F05F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1300692">
    <w:abstractNumId w:val="9"/>
  </w:num>
  <w:num w:numId="2" w16cid:durableId="1654988950">
    <w:abstractNumId w:val="9"/>
  </w:num>
  <w:num w:numId="3" w16cid:durableId="410204283">
    <w:abstractNumId w:val="7"/>
  </w:num>
  <w:num w:numId="4" w16cid:durableId="1816951638">
    <w:abstractNumId w:val="7"/>
  </w:num>
  <w:num w:numId="5" w16cid:durableId="1246845814">
    <w:abstractNumId w:val="6"/>
  </w:num>
  <w:num w:numId="6" w16cid:durableId="9723090">
    <w:abstractNumId w:val="6"/>
  </w:num>
  <w:num w:numId="7" w16cid:durableId="51270990">
    <w:abstractNumId w:val="5"/>
  </w:num>
  <w:num w:numId="8" w16cid:durableId="1623030582">
    <w:abstractNumId w:val="5"/>
  </w:num>
  <w:num w:numId="9" w16cid:durableId="273706660">
    <w:abstractNumId w:val="4"/>
  </w:num>
  <w:num w:numId="10" w16cid:durableId="968170183">
    <w:abstractNumId w:val="4"/>
  </w:num>
  <w:num w:numId="11" w16cid:durableId="256910953">
    <w:abstractNumId w:val="8"/>
  </w:num>
  <w:num w:numId="12" w16cid:durableId="2095474436">
    <w:abstractNumId w:val="8"/>
  </w:num>
  <w:num w:numId="13" w16cid:durableId="1244871456">
    <w:abstractNumId w:val="3"/>
  </w:num>
  <w:num w:numId="14" w16cid:durableId="1102149289">
    <w:abstractNumId w:val="3"/>
  </w:num>
  <w:num w:numId="15" w16cid:durableId="1338771980">
    <w:abstractNumId w:val="2"/>
  </w:num>
  <w:num w:numId="16" w16cid:durableId="1586955789">
    <w:abstractNumId w:val="2"/>
  </w:num>
  <w:num w:numId="17" w16cid:durableId="1815174590">
    <w:abstractNumId w:val="1"/>
  </w:num>
  <w:num w:numId="18" w16cid:durableId="1391809308">
    <w:abstractNumId w:val="1"/>
  </w:num>
  <w:num w:numId="19" w16cid:durableId="133909353">
    <w:abstractNumId w:val="0"/>
  </w:num>
  <w:num w:numId="20" w16cid:durableId="1480220858">
    <w:abstractNumId w:val="0"/>
  </w:num>
  <w:num w:numId="21" w16cid:durableId="448477667">
    <w:abstractNumId w:val="9"/>
  </w:num>
  <w:num w:numId="22" w16cid:durableId="2124301723">
    <w:abstractNumId w:val="7"/>
  </w:num>
  <w:num w:numId="23" w16cid:durableId="535699692">
    <w:abstractNumId w:val="6"/>
  </w:num>
  <w:num w:numId="24" w16cid:durableId="1932279017">
    <w:abstractNumId w:val="5"/>
  </w:num>
  <w:num w:numId="25" w16cid:durableId="571962228">
    <w:abstractNumId w:val="4"/>
  </w:num>
  <w:num w:numId="26" w16cid:durableId="1130779950">
    <w:abstractNumId w:val="8"/>
  </w:num>
  <w:num w:numId="27" w16cid:durableId="1119646413">
    <w:abstractNumId w:val="3"/>
  </w:num>
  <w:num w:numId="28" w16cid:durableId="2103910756">
    <w:abstractNumId w:val="2"/>
  </w:num>
  <w:num w:numId="29" w16cid:durableId="1759673066">
    <w:abstractNumId w:val="1"/>
  </w:num>
  <w:num w:numId="30" w16cid:durableId="444006932">
    <w:abstractNumId w:val="0"/>
  </w:num>
  <w:num w:numId="31" w16cid:durableId="1778065305">
    <w:abstractNumId w:val="9"/>
  </w:num>
  <w:num w:numId="32" w16cid:durableId="1758745447">
    <w:abstractNumId w:val="7"/>
  </w:num>
  <w:num w:numId="33" w16cid:durableId="359015270">
    <w:abstractNumId w:val="6"/>
  </w:num>
  <w:num w:numId="34" w16cid:durableId="1426530923">
    <w:abstractNumId w:val="5"/>
  </w:num>
  <w:num w:numId="35" w16cid:durableId="1788239085">
    <w:abstractNumId w:val="4"/>
  </w:num>
  <w:num w:numId="36" w16cid:durableId="988095563">
    <w:abstractNumId w:val="8"/>
  </w:num>
  <w:num w:numId="37" w16cid:durableId="902183500">
    <w:abstractNumId w:val="3"/>
  </w:num>
  <w:num w:numId="38" w16cid:durableId="1381784245">
    <w:abstractNumId w:val="2"/>
  </w:num>
  <w:num w:numId="39" w16cid:durableId="1034229524">
    <w:abstractNumId w:val="1"/>
  </w:num>
  <w:num w:numId="40" w16cid:durableId="120149689">
    <w:abstractNumId w:val="0"/>
  </w:num>
  <w:num w:numId="41" w16cid:durableId="363210965">
    <w:abstractNumId w:val="10"/>
  </w:num>
  <w:num w:numId="42" w16cid:durableId="204216255">
    <w:abstractNumId w:val="10"/>
  </w:num>
  <w:num w:numId="43" w16cid:durableId="452482136">
    <w:abstractNumId w:val="10"/>
  </w:num>
  <w:num w:numId="44" w16cid:durableId="20775806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5"/>
    <w:docVar w:name="dvlangue" w:val="SL"/>
    <w:docVar w:name="dvnumam" w:val="0"/>
    <w:docVar w:name="dvpe" w:val="774.259"/>
    <w:docVar w:name="dvrapporteur" w:val="Poročevalec: "/>
    <w:docVar w:name="dvtitre" w:val="1. Sklep Evropskega parlamenta z dne XX. oktobra 2025 o razrešnici glede izvrševanja proračuna agencij Evropske unije za proračunsko leto 2023(2024/2030(DEC))"/>
  </w:docVars>
  <w:rsids>
    <w:rsidRoot w:val="00957A92"/>
    <w:rsid w:val="00002272"/>
    <w:rsid w:val="00004F7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51BF"/>
    <w:rsid w:val="00343214"/>
    <w:rsid w:val="00361C00"/>
    <w:rsid w:val="00395FA1"/>
    <w:rsid w:val="003E15D4"/>
    <w:rsid w:val="00411CCE"/>
    <w:rsid w:val="0041666E"/>
    <w:rsid w:val="00421060"/>
    <w:rsid w:val="00441752"/>
    <w:rsid w:val="0045142E"/>
    <w:rsid w:val="00471C19"/>
    <w:rsid w:val="004867E3"/>
    <w:rsid w:val="00494A28"/>
    <w:rsid w:val="0049657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5116"/>
    <w:rsid w:val="006C2581"/>
    <w:rsid w:val="006F74FA"/>
    <w:rsid w:val="00731ADD"/>
    <w:rsid w:val="00734777"/>
    <w:rsid w:val="00747932"/>
    <w:rsid w:val="00751A4A"/>
    <w:rsid w:val="00756632"/>
    <w:rsid w:val="00762C74"/>
    <w:rsid w:val="0076654E"/>
    <w:rsid w:val="00786EC0"/>
    <w:rsid w:val="007D1690"/>
    <w:rsid w:val="007E22AD"/>
    <w:rsid w:val="00813A2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A92"/>
    <w:rsid w:val="00981893"/>
    <w:rsid w:val="009C69C2"/>
    <w:rsid w:val="00A1687D"/>
    <w:rsid w:val="00A43E52"/>
    <w:rsid w:val="00A4678D"/>
    <w:rsid w:val="00A7307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A45"/>
    <w:rsid w:val="00E170C9"/>
    <w:rsid w:val="00E365E1"/>
    <w:rsid w:val="00E820A4"/>
    <w:rsid w:val="00EB006A"/>
    <w:rsid w:val="00EB4772"/>
    <w:rsid w:val="00ED169E"/>
    <w:rsid w:val="00ED4235"/>
    <w:rsid w:val="00F04346"/>
    <w:rsid w:val="00F05F87"/>
    <w:rsid w:val="00F075DC"/>
    <w:rsid w:val="00F149E9"/>
    <w:rsid w:val="00F223A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65935"/>
  <w15:chartTrackingRefBased/>
  <w15:docId w15:val="{08AB08CC-650F-42CA-8508-AA2F511DB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851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85116"/>
    <w:pPr>
      <w:spacing w:before="480" w:after="240"/>
    </w:pPr>
  </w:style>
  <w:style w:type="paragraph" w:customStyle="1" w:styleId="NormalBold">
    <w:name w:val="NormalBold"/>
    <w:basedOn w:val="Normal"/>
    <w:rsid w:val="00685116"/>
    <w:rPr>
      <w:b/>
    </w:rPr>
  </w:style>
  <w:style w:type="paragraph" w:customStyle="1" w:styleId="NormalHanging12a">
    <w:name w:val="NormalHanging12a"/>
    <w:basedOn w:val="Normal"/>
    <w:link w:val="NormalHanging12aChar"/>
    <w:rsid w:val="00685116"/>
    <w:pPr>
      <w:spacing w:after="240"/>
      <w:ind w:left="567" w:hanging="567"/>
    </w:pPr>
  </w:style>
  <w:style w:type="paragraph" w:customStyle="1" w:styleId="EPFooter">
    <w:name w:val="EPFooter"/>
    <w:basedOn w:val="Normal"/>
    <w:rsid w:val="0068511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685116"/>
    <w:rPr>
      <w:sz w:val="24"/>
      <w:lang w:val="sl-SI"/>
    </w:rPr>
  </w:style>
  <w:style w:type="paragraph" w:customStyle="1" w:styleId="PageHeadingDec">
    <w:name w:val="PageHeadingDec"/>
    <w:basedOn w:val="Normal"/>
    <w:link w:val="PageHeadingDecChar"/>
    <w:qFormat/>
    <w:rsid w:val="00685116"/>
    <w:pPr>
      <w:keepNext/>
      <w:spacing w:after="480"/>
      <w:jc w:val="center"/>
    </w:pPr>
    <w:rPr>
      <w:rFonts w:cs="Arial"/>
      <w:b/>
    </w:rPr>
  </w:style>
  <w:style w:type="character" w:customStyle="1" w:styleId="PageHeadingDecChar">
    <w:name w:val="PageHeadingDec Char"/>
    <w:basedOn w:val="DefaultParagraphFont"/>
    <w:link w:val="PageHeadingDec"/>
    <w:rsid w:val="00685116"/>
    <w:rPr>
      <w:rFonts w:cs="Arial"/>
      <w:b/>
      <w:sz w:val="24"/>
      <w:lang w:val="sl-SI"/>
    </w:rPr>
  </w:style>
  <w:style w:type="paragraph" w:customStyle="1" w:styleId="PageHeadingNotTOC">
    <w:name w:val="PageHeadingNotTOC"/>
    <w:basedOn w:val="Normal"/>
    <w:rsid w:val="00685116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iPriority w:val="99"/>
    <w:rsid w:val="006851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116"/>
    <w:rPr>
      <w:sz w:val="24"/>
      <w:lang w:val="sl-SI"/>
    </w:rPr>
  </w:style>
  <w:style w:type="character" w:styleId="Hyperlink">
    <w:name w:val="Hyperlink"/>
    <w:basedOn w:val="DefaultParagraphFont"/>
    <w:uiPriority w:val="99"/>
    <w:rsid w:val="0068511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F05F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05F87"/>
    <w:rPr>
      <w:sz w:val="24"/>
      <w:lang w:val="sl-SI"/>
    </w:rPr>
  </w:style>
  <w:style w:type="paragraph" w:styleId="Revision">
    <w:name w:val="Revision"/>
    <w:hidden/>
    <w:uiPriority w:val="99"/>
    <w:semiHidden/>
    <w:rsid w:val="00813A2D"/>
    <w:rPr>
      <w:sz w:val="24"/>
      <w:lang w:val="sl-SI"/>
    </w:rPr>
  </w:style>
  <w:style w:type="character" w:customStyle="1" w:styleId="citation-88">
    <w:name w:val="citation-88"/>
    <w:basedOn w:val="DefaultParagraphFont"/>
    <w:rsid w:val="0076654E"/>
  </w:style>
  <w:style w:type="character" w:styleId="FollowedHyperlink">
    <w:name w:val="FollowedHyperlink"/>
    <w:basedOn w:val="DefaultParagraphFont"/>
    <w:rsid w:val="0076654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del/2019/715/oj" TargetMode="External"/><Relationship Id="rId13" Type="http://schemas.openxmlformats.org/officeDocument/2006/relationships/hyperlink" Target="http://data.europa.eu/eli/reg/2024/2509/oj" TargetMode="External"/><Relationship Id="rId18" Type="http://schemas.openxmlformats.org/officeDocument/2006/relationships/hyperlink" Target="http://data.europa.eu/eli/res/2025/1681/oj" TargetMode="External"/><Relationship Id="rId3" Type="http://schemas.openxmlformats.org/officeDocument/2006/relationships/hyperlink" Target="http://data.europa.eu/eli/dec/2025/1663/oj" TargetMode="External"/><Relationship Id="rId7" Type="http://schemas.openxmlformats.org/officeDocument/2006/relationships/hyperlink" Target="http://data.europa.eu/eli/reg/2021/2303/oj" TargetMode="External"/><Relationship Id="rId12" Type="http://schemas.openxmlformats.org/officeDocument/2006/relationships/hyperlink" Target="http://data.europa.eu/eli/reg/2018/1046/oj" TargetMode="External"/><Relationship Id="rId17" Type="http://schemas.openxmlformats.org/officeDocument/2006/relationships/hyperlink" Target="http://data.europa.eu/eli/reg/2021/2303/oj" TargetMode="External"/><Relationship Id="rId2" Type="http://schemas.openxmlformats.org/officeDocument/2006/relationships/hyperlink" Target="http://data.europa.eu/eli/C/2024/6041/oj" TargetMode="External"/><Relationship Id="rId16" Type="http://schemas.openxmlformats.org/officeDocument/2006/relationships/hyperlink" Target="http://data.europa.eu/eli/reg_del/2019/715/oj" TargetMode="External"/><Relationship Id="rId1" Type="http://schemas.openxmlformats.org/officeDocument/2006/relationships/hyperlink" Target="http://data.europa.eu/eli/C/2024/6332/oj" TargetMode="External"/><Relationship Id="rId6" Type="http://schemas.openxmlformats.org/officeDocument/2006/relationships/hyperlink" Target="http://data.europa.eu/eli/reg/2010/439/oj" TargetMode="External"/><Relationship Id="rId11" Type="http://schemas.openxmlformats.org/officeDocument/2006/relationships/hyperlink" Target="http://data.europa.eu/eli/dec/2025/1663/oj" TargetMode="External"/><Relationship Id="rId5" Type="http://schemas.openxmlformats.org/officeDocument/2006/relationships/hyperlink" Target="http://data.europa.eu/eli/reg/2024/2509/oj" TargetMode="External"/><Relationship Id="rId15" Type="http://schemas.openxmlformats.org/officeDocument/2006/relationships/hyperlink" Target="http://data.europa.eu/eli/reg/2021/2303/oj" TargetMode="External"/><Relationship Id="rId10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reg/2018/1046/oj" TargetMode="External"/><Relationship Id="rId9" Type="http://schemas.openxmlformats.org/officeDocument/2006/relationships/hyperlink" Target="http://data.europa.eu/eli/C/2024/6332/oj" TargetMode="External"/><Relationship Id="rId14" Type="http://schemas.openxmlformats.org/officeDocument/2006/relationships/hyperlink" Target="http://data.europa.eu/eli/reg/2010/4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2746</Words>
  <Characters>16513</Characters>
  <Application>Microsoft Office Word</Application>
  <DocSecurity>0</DocSecurity>
  <Lines>366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GROSELJ Tadej</cp:lastModifiedBy>
  <cp:revision>2</cp:revision>
  <cp:lastPrinted>2004-11-19T15:42:00Z</cp:lastPrinted>
  <dcterms:created xsi:type="dcterms:W3CDTF">2025-11-25T13:25:00Z</dcterms:created>
  <dcterms:modified xsi:type="dcterms:W3CDTF">2025-11-25T13:25:00Z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P10_TA(2025)0246_</vt:lpwstr>
  </property>
  <property fmtid="{D5CDD505-2E9C-101B-9397-08002B2CF9AE}" pid="4" name="&lt;Type&gt;">
    <vt:lpwstr>RR</vt:lpwstr>
  </property>
</Properties>
</file>