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19EA" w14:paraId="6CC32BEA" w14:textId="77777777" w:rsidTr="0010095E">
        <w:trPr>
          <w:trHeight w:hRule="exact" w:val="1418"/>
        </w:trPr>
        <w:tc>
          <w:tcPr>
            <w:tcW w:w="6804" w:type="dxa"/>
            <w:shd w:val="clear" w:color="auto" w:fill="auto"/>
            <w:vAlign w:val="center"/>
          </w:tcPr>
          <w:p w14:paraId="5E5AE049" w14:textId="77777777" w:rsidR="00751A4A" w:rsidRPr="004619EA" w:rsidRDefault="003F63F4" w:rsidP="0010095E">
            <w:pPr>
              <w:pStyle w:val="EPName"/>
            </w:pPr>
            <w:r w:rsidRPr="004619EA">
              <w:t>Europaparlamentet</w:t>
            </w:r>
          </w:p>
          <w:p w14:paraId="5F5B3E5D" w14:textId="77777777" w:rsidR="00751A4A" w:rsidRPr="004619EA" w:rsidRDefault="005F1B17" w:rsidP="005F1B17">
            <w:pPr>
              <w:pStyle w:val="EPTerm"/>
              <w:rPr>
                <w:rStyle w:val="HideTWBExt"/>
                <w:noProof w:val="0"/>
                <w:vanish w:val="0"/>
                <w:color w:val="auto"/>
              </w:rPr>
            </w:pPr>
            <w:r w:rsidRPr="004619EA">
              <w:t>2024</w:t>
            </w:r>
            <w:r w:rsidR="00817416" w:rsidRPr="004619EA">
              <w:t>-202</w:t>
            </w:r>
            <w:r w:rsidRPr="004619EA">
              <w:t>9</w:t>
            </w:r>
          </w:p>
        </w:tc>
        <w:tc>
          <w:tcPr>
            <w:tcW w:w="2268" w:type="dxa"/>
            <w:shd w:val="clear" w:color="auto" w:fill="auto"/>
          </w:tcPr>
          <w:p w14:paraId="4A745A90" w14:textId="77777777" w:rsidR="00751A4A" w:rsidRPr="004619EA" w:rsidRDefault="00187494" w:rsidP="0010095E">
            <w:pPr>
              <w:pStyle w:val="EPLogo"/>
            </w:pPr>
            <w:r w:rsidRPr="004619EA">
              <w:rPr>
                <w:noProof/>
                <w:lang w:eastAsia="ja-JP"/>
              </w:rPr>
              <w:drawing>
                <wp:inline distT="0" distB="0" distL="0" distR="0" wp14:anchorId="71702800" wp14:editId="76BB79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78958A" w14:textId="77777777" w:rsidR="00D058B8" w:rsidRPr="004619EA" w:rsidRDefault="00D058B8" w:rsidP="004C5D52">
      <w:pPr>
        <w:pStyle w:val="LineTop"/>
      </w:pPr>
    </w:p>
    <w:p w14:paraId="2B0D8768" w14:textId="77777777" w:rsidR="00680577" w:rsidRPr="004619EA" w:rsidRDefault="003F63F4" w:rsidP="00680577">
      <w:pPr>
        <w:pStyle w:val="EPBodyTA1"/>
      </w:pPr>
      <w:r w:rsidRPr="004619EA">
        <w:t>ANTAGNA TEXTER</w:t>
      </w:r>
    </w:p>
    <w:p w14:paraId="41106411" w14:textId="77777777" w:rsidR="00D058B8" w:rsidRPr="004619EA" w:rsidRDefault="00D058B8" w:rsidP="00D058B8">
      <w:pPr>
        <w:pStyle w:val="LineBottom"/>
      </w:pPr>
    </w:p>
    <w:p w14:paraId="2CDBBE5D" w14:textId="154BAD3D" w:rsidR="003F63F4" w:rsidRPr="004619EA" w:rsidRDefault="003F63F4" w:rsidP="003F63F4">
      <w:pPr>
        <w:pStyle w:val="ATHeading1"/>
      </w:pPr>
      <w:bookmarkStart w:id="0" w:name="TANumber"/>
      <w:r w:rsidRPr="004619EA">
        <w:t>P10_TA(2025)0</w:t>
      </w:r>
      <w:bookmarkEnd w:id="0"/>
      <w:r w:rsidR="004619EA" w:rsidRPr="004619EA">
        <w:t>246</w:t>
      </w:r>
    </w:p>
    <w:p w14:paraId="0522B5A1" w14:textId="77777777" w:rsidR="003F63F4" w:rsidRPr="004619EA" w:rsidRDefault="003F63F4" w:rsidP="003F63F4">
      <w:pPr>
        <w:pStyle w:val="ATHeading2"/>
      </w:pPr>
      <w:bookmarkStart w:id="1" w:name="title"/>
      <w:r w:rsidRPr="004619EA">
        <w:t>Ansvarsfrihet 2023: Byråer</w:t>
      </w:r>
      <w:bookmarkEnd w:id="1"/>
    </w:p>
    <w:p w14:paraId="1F9E8BAD" w14:textId="77777777" w:rsidR="003F63F4" w:rsidRPr="004619EA" w:rsidRDefault="003F63F4" w:rsidP="003F63F4">
      <w:pPr>
        <w:rPr>
          <w:i/>
          <w:vanish/>
        </w:rPr>
      </w:pPr>
      <w:r w:rsidRPr="004619EA">
        <w:rPr>
          <w:i/>
        </w:rPr>
        <w:fldChar w:fldCharType="begin"/>
      </w:r>
      <w:r w:rsidRPr="004619EA">
        <w:rPr>
          <w:i/>
        </w:rPr>
        <w:instrText xml:space="preserve"> TC"(</w:instrText>
      </w:r>
      <w:bookmarkStart w:id="2" w:name="DocNumber"/>
      <w:r w:rsidRPr="004619EA">
        <w:rPr>
          <w:i/>
        </w:rPr>
        <w:instrText>A10-0169/2025</w:instrText>
      </w:r>
      <w:bookmarkEnd w:id="2"/>
      <w:r w:rsidRPr="004619EA">
        <w:rPr>
          <w:i/>
        </w:rPr>
        <w:instrText xml:space="preserve"> - Föredragande: Erik Marquardt)"\l3 \n&gt; \* MERGEFORMAT </w:instrText>
      </w:r>
      <w:r w:rsidRPr="004619EA">
        <w:rPr>
          <w:i/>
        </w:rPr>
        <w:fldChar w:fldCharType="end"/>
      </w:r>
    </w:p>
    <w:p w14:paraId="20612971" w14:textId="77777777" w:rsidR="003F63F4" w:rsidRPr="004619EA" w:rsidRDefault="003F63F4" w:rsidP="003F63F4">
      <w:pPr>
        <w:rPr>
          <w:vanish/>
        </w:rPr>
      </w:pPr>
      <w:bookmarkStart w:id="3" w:name="Commission"/>
      <w:r w:rsidRPr="004619EA">
        <w:rPr>
          <w:vanish/>
        </w:rPr>
        <w:t>Budgetkontrollutskottet</w:t>
      </w:r>
      <w:bookmarkEnd w:id="3"/>
    </w:p>
    <w:p w14:paraId="4A7F935D" w14:textId="77777777" w:rsidR="003F63F4" w:rsidRPr="004619EA" w:rsidRDefault="003F63F4" w:rsidP="003F63F4">
      <w:pPr>
        <w:rPr>
          <w:vanish/>
        </w:rPr>
      </w:pPr>
      <w:bookmarkStart w:id="4" w:name="PE"/>
      <w:r w:rsidRPr="004619EA">
        <w:rPr>
          <w:vanish/>
        </w:rPr>
        <w:t>PE774.259</w:t>
      </w:r>
      <w:bookmarkEnd w:id="4"/>
    </w:p>
    <w:p w14:paraId="1B454349" w14:textId="62712849" w:rsidR="003F63F4" w:rsidRPr="004619EA" w:rsidRDefault="001E3005" w:rsidP="003F63F4">
      <w:pPr>
        <w:pStyle w:val="ATHeading3"/>
      </w:pPr>
      <w:bookmarkStart w:id="5" w:name="Sujet"/>
      <w:r w:rsidRPr="004619EA">
        <w:t xml:space="preserve">1. </w:t>
      </w:r>
      <w:r w:rsidR="003F63F4" w:rsidRPr="004619EA">
        <w:t xml:space="preserve">Europaparlamentets beslut av den </w:t>
      </w:r>
      <w:r w:rsidRPr="004619EA">
        <w:t>22 oktober</w:t>
      </w:r>
      <w:r w:rsidR="003F63F4" w:rsidRPr="004619EA">
        <w:t xml:space="preserve"> 2025 om ansvarsfrihet för genomförandet av budgeten för </w:t>
      </w:r>
      <w:r w:rsidR="000024C5" w:rsidRPr="000024C5">
        <w:t xml:space="preserve">Europeiska unionens asylbyrå </w:t>
      </w:r>
      <w:r w:rsidR="003F63F4" w:rsidRPr="004619EA">
        <w:t>för budgetåret 2023</w:t>
      </w:r>
      <w:bookmarkEnd w:id="5"/>
      <w:r w:rsidR="003F63F4" w:rsidRPr="004619EA">
        <w:t xml:space="preserve"> </w:t>
      </w:r>
      <w:bookmarkStart w:id="6" w:name="References"/>
      <w:r w:rsidR="003F63F4" w:rsidRPr="004619EA">
        <w:t>(2024/2030(DEC))</w:t>
      </w:r>
      <w:bookmarkEnd w:id="6"/>
    </w:p>
    <w:p w14:paraId="226B02A9" w14:textId="77777777" w:rsidR="00E86703" w:rsidRPr="004619EA" w:rsidRDefault="00E86703" w:rsidP="00E86703">
      <w:pPr>
        <w:pStyle w:val="EPComma"/>
      </w:pPr>
      <w:bookmarkStart w:id="7" w:name="TextBodyBegin"/>
      <w:bookmarkEnd w:id="7"/>
      <w:r w:rsidRPr="004619EA">
        <w:rPr>
          <w:i/>
          <w:iCs/>
        </w:rPr>
        <w:t>Europaparlamentet fattar detta beslut</w:t>
      </w:r>
    </w:p>
    <w:p w14:paraId="7E51DD31" w14:textId="77777777" w:rsidR="00E86703" w:rsidRPr="004619EA" w:rsidRDefault="00E86703" w:rsidP="00E86703">
      <w:pPr>
        <w:pStyle w:val="NormalHanging12a"/>
      </w:pPr>
      <w:r w:rsidRPr="004619EA">
        <w:t>–</w:t>
      </w:r>
      <w:r w:rsidRPr="004619EA">
        <w:tab/>
        <w:t>med beaktande av den slutliga årsredovisningen för Europeiska unionens asylbyrå för budgetåret 2023,</w:t>
      </w:r>
    </w:p>
    <w:p w14:paraId="259F8BCD" w14:textId="77777777" w:rsidR="00E86703" w:rsidRPr="004619EA" w:rsidRDefault="00E86703" w:rsidP="00E86703">
      <w:pPr>
        <w:pStyle w:val="NormalHanging12a"/>
      </w:pPr>
      <w:r w:rsidRPr="004619EA">
        <w:t>–</w:t>
      </w:r>
      <w:r w:rsidRPr="004619EA">
        <w:tab/>
        <w:t>med beaktande av revisionsrättens årsrapport om EU:s byråer för budgetåret 2023, med byråernas svar</w:t>
      </w:r>
      <w:r w:rsidRPr="004619EA">
        <w:rPr>
          <w:rStyle w:val="FootnoteReference"/>
        </w:rPr>
        <w:footnoteReference w:id="1"/>
      </w:r>
      <w:r w:rsidRPr="004619EA">
        <w:t>,</w:t>
      </w:r>
    </w:p>
    <w:p w14:paraId="74C2F9A2" w14:textId="77777777" w:rsidR="00E86703" w:rsidRPr="004619EA" w:rsidRDefault="00E86703" w:rsidP="00E86703">
      <w:pPr>
        <w:pStyle w:val="NormalHanging12a"/>
      </w:pPr>
      <w:r w:rsidRPr="004619EA">
        <w:t>–</w:t>
      </w:r>
      <w:r w:rsidRPr="004619EA">
        <w:tab/>
        <w:t>med beaktande av förklaringen om räkenskapernas tillförlitlighet och de underliggande transaktionernas laglighet och korrekthet</w:t>
      </w:r>
      <w:r w:rsidRPr="004619EA">
        <w:rPr>
          <w:rStyle w:val="FootnoteReference"/>
        </w:rPr>
        <w:footnoteReference w:id="2"/>
      </w:r>
      <w:r w:rsidRPr="004619EA">
        <w:t>, som avgetts av revisionsrätten för budgetåret 2023 i enlighet med artikel 287 i fördraget om Europeiska unionens funktionssätt,</w:t>
      </w:r>
    </w:p>
    <w:p w14:paraId="76EFA499" w14:textId="77777777" w:rsidR="00E86703" w:rsidRPr="004619EA" w:rsidRDefault="00E86703" w:rsidP="00E86703">
      <w:pPr>
        <w:pStyle w:val="NormalHanging12a"/>
      </w:pPr>
      <w:r w:rsidRPr="004619EA">
        <w:t>–</w:t>
      </w:r>
      <w:r w:rsidRPr="004619EA">
        <w:tab/>
        <w:t>med beaktande av rådets rekommendation av den 17 februari 2025 om att bevilja myndigheten ansvarsfrihet för genomförandet av budgeten för budgetåret 2023 (05755/2025 – C10</w:t>
      </w:r>
      <w:r w:rsidRPr="004619EA">
        <w:noBreakHyphen/>
        <w:t>0024/2025),</w:t>
      </w:r>
    </w:p>
    <w:p w14:paraId="628A7F63" w14:textId="77777777" w:rsidR="00E86703" w:rsidRPr="004619EA" w:rsidRDefault="00E86703" w:rsidP="00E86703">
      <w:pPr>
        <w:pStyle w:val="NormalHanging12a"/>
      </w:pPr>
      <w:r w:rsidRPr="004619EA">
        <w:t>–</w:t>
      </w:r>
      <w:r w:rsidRPr="004619EA">
        <w:tab/>
        <w:t>med beaktande av sitt beslut av den 7 maj 2025</w:t>
      </w:r>
      <w:r w:rsidRPr="004619EA">
        <w:rPr>
          <w:rStyle w:val="FootnoteReference"/>
        </w:rPr>
        <w:footnoteReference w:id="3"/>
      </w:r>
      <w:r w:rsidRPr="004619EA">
        <w:t xml:space="preserve"> om att uppskjuta beviljandet av ansvarsfrihet för budgetåret 2023 samt av svaren från verkställande direktören för Europeiska unionens asylbyrå,</w:t>
      </w:r>
    </w:p>
    <w:p w14:paraId="7645D1E7" w14:textId="77777777" w:rsidR="00E86703" w:rsidRPr="004619EA" w:rsidRDefault="00E86703" w:rsidP="00E86703">
      <w:pPr>
        <w:pStyle w:val="NormalHanging12a"/>
      </w:pPr>
      <w:r w:rsidRPr="004619EA">
        <w:t>–</w:t>
      </w:r>
      <w:r w:rsidRPr="004619EA">
        <w:tab/>
        <w:t>med beaktande av artikel 319 i fördraget om Europeiska unionens funktionssätt,</w:t>
      </w:r>
    </w:p>
    <w:p w14:paraId="6F927C0F" w14:textId="77777777" w:rsidR="00E86703" w:rsidRPr="004619EA" w:rsidRDefault="00E86703" w:rsidP="00E86703">
      <w:pPr>
        <w:pStyle w:val="NormalHanging12a"/>
      </w:pPr>
      <w:r w:rsidRPr="004619EA">
        <w:t>–</w:t>
      </w:r>
      <w:r w:rsidRPr="004619EA">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619EA">
        <w:rPr>
          <w:rStyle w:val="FootnoteReference"/>
        </w:rPr>
        <w:footnoteReference w:id="4"/>
      </w:r>
      <w:r w:rsidRPr="004619EA">
        <w:t>, särskilt artikel 70,</w:t>
      </w:r>
    </w:p>
    <w:p w14:paraId="61AE3014" w14:textId="77777777" w:rsidR="00E86703" w:rsidRPr="004619EA" w:rsidRDefault="00E86703" w:rsidP="00E86703">
      <w:pPr>
        <w:pStyle w:val="NormalHanging12a"/>
      </w:pPr>
      <w:r w:rsidRPr="004619EA">
        <w:lastRenderedPageBreak/>
        <w:t>–</w:t>
      </w:r>
      <w:r w:rsidRPr="004619EA">
        <w:tab/>
        <w:t>med beaktande av Europaparlamentets och rådets förordning (EU, Euratom) 2024/2509 av den 23 september 2024 om finansiella regler för unionens allmänna budget</w:t>
      </w:r>
      <w:r w:rsidRPr="004619EA">
        <w:rPr>
          <w:rStyle w:val="FootnoteReference"/>
        </w:rPr>
        <w:footnoteReference w:id="5"/>
      </w:r>
      <w:r w:rsidRPr="004619EA">
        <w:t>, särskilt artikel 70,</w:t>
      </w:r>
    </w:p>
    <w:p w14:paraId="72774701" w14:textId="77777777" w:rsidR="00E86703" w:rsidRPr="004619EA" w:rsidRDefault="00E86703" w:rsidP="00E86703">
      <w:pPr>
        <w:pStyle w:val="NormalHanging12a"/>
      </w:pPr>
      <w:r w:rsidRPr="004619EA">
        <w:t>–</w:t>
      </w:r>
      <w:r w:rsidRPr="004619EA">
        <w:tab/>
        <w:t>med beaktande av Europaparlamentets och rådets förordning (EU) nr 439/2010 av den 19 maj 2010 om inrättande av ett europeiskt stödkontor för asylfrågor</w:t>
      </w:r>
      <w:r w:rsidRPr="004619EA">
        <w:rPr>
          <w:rStyle w:val="FootnoteReference"/>
        </w:rPr>
        <w:footnoteReference w:id="6"/>
      </w:r>
      <w:r w:rsidRPr="004619EA">
        <w:t>, särskilt artikel 36,</w:t>
      </w:r>
    </w:p>
    <w:p w14:paraId="64EBE61A" w14:textId="77777777" w:rsidR="00E86703" w:rsidRPr="004619EA" w:rsidRDefault="00E86703" w:rsidP="00E86703">
      <w:pPr>
        <w:pStyle w:val="NormalHanging12a"/>
      </w:pPr>
      <w:r w:rsidRPr="004619EA">
        <w:t>–</w:t>
      </w:r>
      <w:r w:rsidRPr="004619EA">
        <w:tab/>
        <w:t>med beaktande av Europaparlamentets och rådets förordning (EU) 2021/2303 av den 15 december 2021 om Europeiska unionens asylbyrå och om upphävande av förordning (EU) nr 439/2010</w:t>
      </w:r>
      <w:r w:rsidRPr="004619EA">
        <w:rPr>
          <w:rStyle w:val="FootnoteReference"/>
        </w:rPr>
        <w:footnoteReference w:id="7"/>
      </w:r>
      <w:r w:rsidRPr="004619EA">
        <w:t>, särskilt artikel 55,</w:t>
      </w:r>
    </w:p>
    <w:p w14:paraId="48E74D49" w14:textId="77777777" w:rsidR="00E86703" w:rsidRPr="004619EA" w:rsidRDefault="00E86703" w:rsidP="00E86703">
      <w:pPr>
        <w:pStyle w:val="NormalHanging12a"/>
      </w:pPr>
      <w:r w:rsidRPr="004619EA">
        <w:t>–</w:t>
      </w:r>
      <w:r w:rsidRPr="004619EA">
        <w:tab/>
        <w:t>med beaktande av kommissionens delegerade förordning (EU) 2019/715 av den 18 december 2018 med rambudgetförordning för de organ som inrättats enligt EUF</w:t>
      </w:r>
      <w:r w:rsidRPr="004619EA">
        <w:noBreakHyphen/>
        <w:t>fördraget och Euratomfördraget och som avses i artikel 70 i Europaparlamentets och rådets förordning (EU, Euratom) 2018/1046</w:t>
      </w:r>
      <w:r w:rsidRPr="004619EA">
        <w:rPr>
          <w:rStyle w:val="FootnoteReference"/>
        </w:rPr>
        <w:footnoteReference w:id="8"/>
      </w:r>
      <w:r w:rsidRPr="004619EA">
        <w:t>, särskilt artikel 105,</w:t>
      </w:r>
    </w:p>
    <w:p w14:paraId="6C8CBB30" w14:textId="77777777" w:rsidR="00E86703" w:rsidRPr="004619EA" w:rsidRDefault="00E86703" w:rsidP="00E86703">
      <w:pPr>
        <w:pStyle w:val="NormalHanging12a"/>
      </w:pPr>
      <w:r w:rsidRPr="004619EA">
        <w:t>–</w:t>
      </w:r>
      <w:r w:rsidRPr="004619EA">
        <w:tab/>
        <w:t>med beaktande av artikel 102 och bilaga V i arbetsordningen,</w:t>
      </w:r>
    </w:p>
    <w:p w14:paraId="6DF62030" w14:textId="77777777" w:rsidR="00E86703" w:rsidRPr="004619EA" w:rsidRDefault="00E86703" w:rsidP="00E86703">
      <w:pPr>
        <w:pStyle w:val="NormalHanging12a"/>
      </w:pPr>
      <w:r w:rsidRPr="004619EA">
        <w:t>–</w:t>
      </w:r>
      <w:r w:rsidRPr="004619EA">
        <w:tab/>
        <w:t>med beaktande av betänkandet från budgetkontrollutskottet (A10-0169/2025).</w:t>
      </w:r>
    </w:p>
    <w:p w14:paraId="163DC61B" w14:textId="77777777" w:rsidR="00E86703" w:rsidRPr="004619EA" w:rsidRDefault="00E86703" w:rsidP="00E86703">
      <w:pPr>
        <w:pStyle w:val="NormalHanging12a"/>
      </w:pPr>
      <w:r w:rsidRPr="004619EA">
        <w:t>1.</w:t>
      </w:r>
      <w:r w:rsidRPr="004619EA">
        <w:tab/>
        <w:t>Europaparlamentet beviljar verkställande direktören för Europeiska unionens asylbyrå ansvarsfrihet för genomförandet av byråns budget för budgetåret 2023.</w:t>
      </w:r>
    </w:p>
    <w:p w14:paraId="5AE5A63D" w14:textId="77777777" w:rsidR="00E86703" w:rsidRPr="004619EA" w:rsidRDefault="00E86703" w:rsidP="00E86703">
      <w:pPr>
        <w:pStyle w:val="NormalHanging12a"/>
      </w:pPr>
      <w:r w:rsidRPr="004619EA">
        <w:t>2.</w:t>
      </w:r>
      <w:r w:rsidRPr="004619EA">
        <w:tab/>
        <w:t>Europaparlamentet redovisar sina iakttagelser i resolutionen nedan.</w:t>
      </w:r>
    </w:p>
    <w:p w14:paraId="37276759" w14:textId="77777777" w:rsidR="00E86703" w:rsidRPr="004619EA" w:rsidRDefault="00E86703" w:rsidP="00E86703">
      <w:pPr>
        <w:pStyle w:val="NormalHanging12a"/>
      </w:pPr>
      <w:r w:rsidRPr="004619EA">
        <w:t>3.</w:t>
      </w:r>
      <w:r w:rsidRPr="004619EA">
        <w:tab/>
        <w:t>Europaparlamentet uppdrar åt talmannen att översända detta beslut och den resolution som utgör en del av beslutet till verkställande direktören för Europeiska unionens asylbyrå, rådet, kommissionen och revisionsrätten, och att se till att de offentliggörs i </w:t>
      </w:r>
      <w:r w:rsidRPr="004619EA">
        <w:rPr>
          <w:i/>
          <w:iCs/>
        </w:rPr>
        <w:t>Europeiska unionens officiella tidning</w:t>
      </w:r>
      <w:r w:rsidRPr="004619EA">
        <w:t xml:space="preserve"> (L-serien).</w:t>
      </w:r>
    </w:p>
    <w:p w14:paraId="7DB49E77" w14:textId="77777777" w:rsidR="00E86703" w:rsidRPr="004619EA" w:rsidRDefault="00E86703" w:rsidP="00E86703"/>
    <w:p w14:paraId="153032F8" w14:textId="77777777" w:rsidR="00E86703" w:rsidRPr="004619EA" w:rsidRDefault="00E86703" w:rsidP="00E86703">
      <w:pPr>
        <w:pStyle w:val="PageHeadingDec"/>
        <w:sectPr w:rsidR="00E86703" w:rsidRPr="004619EA" w:rsidSect="008C4A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E789CA" w14:textId="2CB98359" w:rsidR="00E86703" w:rsidRPr="004619EA" w:rsidRDefault="001E3005" w:rsidP="004D57BC">
      <w:pPr>
        <w:pStyle w:val="ATHeading3"/>
      </w:pPr>
      <w:r w:rsidRPr="004619EA">
        <w:lastRenderedPageBreak/>
        <w:t xml:space="preserve">2. Europaparlamentets beslut av den 22 oktober 2025 </w:t>
      </w:r>
      <w:r w:rsidR="00E86703" w:rsidRPr="004619EA">
        <w:t>om avslutande av räkenskaperna för Europeiska unionens asylbyrå för budgetåret 2023</w:t>
      </w:r>
      <w:r w:rsidRPr="004619EA">
        <w:t xml:space="preserve"> </w:t>
      </w:r>
      <w:r w:rsidR="00E86703" w:rsidRPr="004619EA">
        <w:t>(2024/2030(DEC))</w:t>
      </w:r>
    </w:p>
    <w:p w14:paraId="7B9DCCC4" w14:textId="77777777" w:rsidR="00E86703" w:rsidRPr="004619EA" w:rsidRDefault="00E86703" w:rsidP="00E86703">
      <w:pPr>
        <w:pStyle w:val="EPComma"/>
      </w:pPr>
      <w:r w:rsidRPr="004619EA">
        <w:rPr>
          <w:i/>
          <w:iCs/>
        </w:rPr>
        <w:t>Europaparlamentet fattar detta beslut</w:t>
      </w:r>
    </w:p>
    <w:p w14:paraId="6FC578DB" w14:textId="77777777" w:rsidR="00E86703" w:rsidRPr="004619EA" w:rsidRDefault="00E86703" w:rsidP="00E86703">
      <w:pPr>
        <w:pStyle w:val="NormalHanging12a"/>
      </w:pPr>
      <w:r w:rsidRPr="004619EA">
        <w:t>–</w:t>
      </w:r>
      <w:r w:rsidRPr="004619EA">
        <w:tab/>
        <w:t>med beaktande av den slutliga årsredovisningen för Europeiska unionens asylbyrå för budgetåret 2023,</w:t>
      </w:r>
    </w:p>
    <w:p w14:paraId="05BA5AEE" w14:textId="77777777" w:rsidR="00E86703" w:rsidRPr="004619EA" w:rsidRDefault="00E86703" w:rsidP="00E86703">
      <w:pPr>
        <w:pStyle w:val="NormalHanging12a"/>
      </w:pPr>
      <w:r w:rsidRPr="004619EA">
        <w:t>–</w:t>
      </w:r>
      <w:r w:rsidRPr="004619EA">
        <w:tab/>
        <w:t>med beaktande av revisionsrättens årsrapport om EU:s byråer för budgetåret 2023, med byråernas svar</w:t>
      </w:r>
      <w:r w:rsidRPr="004619EA">
        <w:rPr>
          <w:rStyle w:val="FootnoteReference"/>
        </w:rPr>
        <w:footnoteReference w:id="9"/>
      </w:r>
      <w:r w:rsidRPr="004619EA">
        <w:t>,</w:t>
      </w:r>
    </w:p>
    <w:p w14:paraId="593F0931" w14:textId="77777777" w:rsidR="00E86703" w:rsidRPr="004619EA" w:rsidRDefault="00E86703" w:rsidP="00E86703">
      <w:pPr>
        <w:pStyle w:val="NormalHanging12a"/>
      </w:pPr>
      <w:r w:rsidRPr="004619EA">
        <w:t>–</w:t>
      </w:r>
      <w:r w:rsidRPr="004619EA">
        <w:tab/>
        <w:t>med beaktande av förklaringen om räkenskapernas tillförlitlighet och de underliggande transaktionernas laglighet och korrekthet</w:t>
      </w:r>
      <w:r w:rsidRPr="004619EA">
        <w:rPr>
          <w:rStyle w:val="FootnoteReference"/>
        </w:rPr>
        <w:footnoteReference w:id="10"/>
      </w:r>
      <w:r w:rsidRPr="004619EA">
        <w:t>, som avgetts av revisionsrätten för budgetåret 2023 i enlighet med artikel 287 i fördraget om Europeiska unionens funktionssätt,</w:t>
      </w:r>
    </w:p>
    <w:p w14:paraId="6250877F" w14:textId="77777777" w:rsidR="00E86703" w:rsidRPr="004619EA" w:rsidRDefault="00E86703" w:rsidP="00E86703">
      <w:pPr>
        <w:pStyle w:val="NormalHanging12a"/>
      </w:pPr>
      <w:r w:rsidRPr="004619EA">
        <w:t>–</w:t>
      </w:r>
      <w:r w:rsidRPr="004619EA">
        <w:tab/>
        <w:t>med beaktande av rådets rekommendation av den 17 februari 2025 om att bevilja myndigheten ansvarsfrihet för genomförandet av budgeten för budgetåret 2023 (05755/2025 – C10</w:t>
      </w:r>
      <w:r w:rsidRPr="004619EA">
        <w:noBreakHyphen/>
        <w:t>0024/2025),</w:t>
      </w:r>
    </w:p>
    <w:p w14:paraId="466B0627" w14:textId="77777777" w:rsidR="00E86703" w:rsidRPr="004619EA" w:rsidRDefault="00E86703" w:rsidP="00E86703">
      <w:pPr>
        <w:pStyle w:val="NormalHanging12a"/>
      </w:pPr>
      <w:r w:rsidRPr="004619EA">
        <w:t>–</w:t>
      </w:r>
      <w:r w:rsidRPr="004619EA">
        <w:tab/>
        <w:t>med beaktande av sitt beslut av den 7 maj 2025</w:t>
      </w:r>
      <w:r w:rsidRPr="004619EA">
        <w:rPr>
          <w:rStyle w:val="FootnoteReference"/>
        </w:rPr>
        <w:footnoteReference w:id="11"/>
      </w:r>
      <w:r w:rsidRPr="004619EA">
        <w:t xml:space="preserve"> om att uppskjuta beviljandet av ansvarsfrihet för budgetåret 2023 samt av svaren från verkställande direktören för Europeiska unionens asylbyrå,</w:t>
      </w:r>
    </w:p>
    <w:p w14:paraId="12D7D90B" w14:textId="77777777" w:rsidR="00E86703" w:rsidRPr="004619EA" w:rsidRDefault="00E86703" w:rsidP="00E86703">
      <w:pPr>
        <w:pStyle w:val="NormalHanging12a"/>
      </w:pPr>
      <w:r w:rsidRPr="004619EA">
        <w:t>–</w:t>
      </w:r>
      <w:r w:rsidRPr="004619EA">
        <w:tab/>
        <w:t>med beaktande av artikel 319 i fördraget om Europeiska unionens funktionssätt,</w:t>
      </w:r>
    </w:p>
    <w:p w14:paraId="7DAE2A6C" w14:textId="77777777" w:rsidR="00E86703" w:rsidRPr="004619EA" w:rsidRDefault="00E86703" w:rsidP="00E86703">
      <w:pPr>
        <w:pStyle w:val="NormalHanging12a"/>
      </w:pPr>
      <w:r w:rsidRPr="004619EA">
        <w:t>–</w:t>
      </w:r>
      <w:r w:rsidRPr="004619EA">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619EA">
        <w:rPr>
          <w:rStyle w:val="FootnoteReference"/>
        </w:rPr>
        <w:footnoteReference w:id="12"/>
      </w:r>
      <w:r w:rsidRPr="004619EA">
        <w:t>, särskilt artikel 70,</w:t>
      </w:r>
    </w:p>
    <w:p w14:paraId="1D9E709D" w14:textId="77777777" w:rsidR="00E86703" w:rsidRPr="004619EA" w:rsidRDefault="00E86703" w:rsidP="00E86703">
      <w:pPr>
        <w:pStyle w:val="NormalHanging12a"/>
      </w:pPr>
      <w:r w:rsidRPr="004619EA">
        <w:t>–</w:t>
      </w:r>
      <w:r w:rsidRPr="004619EA">
        <w:tab/>
        <w:t>med beaktande av Europaparlamentets och rådets förordning (EU, Euratom) 2024/2509 av den 23 september 2024 om finansiella regler för unionens allmänna budget</w:t>
      </w:r>
      <w:r w:rsidRPr="004619EA">
        <w:rPr>
          <w:rStyle w:val="FootnoteReference"/>
        </w:rPr>
        <w:footnoteReference w:id="13"/>
      </w:r>
      <w:r w:rsidRPr="004619EA">
        <w:t>, särskilt artikel 70,</w:t>
      </w:r>
    </w:p>
    <w:p w14:paraId="625308C8" w14:textId="77777777" w:rsidR="00E86703" w:rsidRPr="004619EA" w:rsidRDefault="00E86703" w:rsidP="00E86703">
      <w:pPr>
        <w:pStyle w:val="NormalHanging12a"/>
      </w:pPr>
      <w:r w:rsidRPr="004619EA">
        <w:t>–</w:t>
      </w:r>
      <w:r w:rsidRPr="004619EA">
        <w:tab/>
        <w:t>med beaktande av Europaparlamentets och rådets förordning (EU) nr 439/2010 av den 19 maj 2010 om inrättande av ett europeiskt stödkontor för asylfrågor</w:t>
      </w:r>
      <w:r w:rsidRPr="004619EA">
        <w:rPr>
          <w:rStyle w:val="FootnoteReference"/>
        </w:rPr>
        <w:footnoteReference w:id="14"/>
      </w:r>
      <w:r w:rsidRPr="004619EA">
        <w:t>, särskilt artikel 36,</w:t>
      </w:r>
    </w:p>
    <w:p w14:paraId="2684C104" w14:textId="77777777" w:rsidR="00E86703" w:rsidRPr="004619EA" w:rsidRDefault="00E86703" w:rsidP="00E86703">
      <w:pPr>
        <w:pStyle w:val="NormalHanging12a"/>
        <w:keepNext/>
        <w:keepLines/>
        <w:widowControl/>
      </w:pPr>
      <w:r w:rsidRPr="004619EA">
        <w:lastRenderedPageBreak/>
        <w:t>–</w:t>
      </w:r>
      <w:r w:rsidRPr="004619EA">
        <w:tab/>
        <w:t>med beaktande av Europaparlamentets och rådets förordning (EU) 2021/2303 av den 15 december 2021 om Europeiska unionens asylbyrå och om upphävande av förordning (EU) nr 439/2010</w:t>
      </w:r>
      <w:r w:rsidRPr="004619EA">
        <w:rPr>
          <w:rStyle w:val="FootnoteReference"/>
        </w:rPr>
        <w:footnoteReference w:id="15"/>
      </w:r>
      <w:r w:rsidRPr="004619EA">
        <w:t>, särskilt artikel 55,</w:t>
      </w:r>
    </w:p>
    <w:p w14:paraId="4DED808F" w14:textId="77777777" w:rsidR="00E86703" w:rsidRPr="004619EA" w:rsidRDefault="00E86703" w:rsidP="00E86703">
      <w:pPr>
        <w:pStyle w:val="NormalHanging12a"/>
      </w:pPr>
      <w:r w:rsidRPr="004619EA">
        <w:t>–</w:t>
      </w:r>
      <w:r w:rsidRPr="004619EA">
        <w:tab/>
        <w:t>med beaktande av kommissionens delegerade förordning (EU) 2019/715 av den 18 december 2018 med rambudgetförordning för de organ som inrättats enligt EUF</w:t>
      </w:r>
      <w:r w:rsidRPr="004619EA">
        <w:noBreakHyphen/>
        <w:t>fördraget och Euratomfördraget och som avses i artikel 70 i Europaparlamentets och rådets förordning (EU, Euratom) 2018/1046</w:t>
      </w:r>
      <w:r w:rsidRPr="004619EA">
        <w:rPr>
          <w:rStyle w:val="FootnoteReference"/>
        </w:rPr>
        <w:footnoteReference w:id="16"/>
      </w:r>
      <w:r w:rsidRPr="004619EA">
        <w:t>, särskilt artikel 105,</w:t>
      </w:r>
    </w:p>
    <w:p w14:paraId="2B69BA14" w14:textId="77777777" w:rsidR="00E86703" w:rsidRPr="004619EA" w:rsidRDefault="00E86703" w:rsidP="00E86703">
      <w:pPr>
        <w:pStyle w:val="NormalHanging12a"/>
      </w:pPr>
      <w:r w:rsidRPr="004619EA">
        <w:t>–</w:t>
      </w:r>
      <w:r w:rsidRPr="004619EA">
        <w:tab/>
        <w:t>med beaktande av artikel 102 och bilaga V i arbetsordningen,</w:t>
      </w:r>
    </w:p>
    <w:p w14:paraId="121459B9" w14:textId="77777777" w:rsidR="00E86703" w:rsidRPr="004619EA" w:rsidRDefault="00E86703" w:rsidP="00E86703">
      <w:pPr>
        <w:pStyle w:val="NormalHanging12a"/>
      </w:pPr>
      <w:r w:rsidRPr="004619EA">
        <w:t>–</w:t>
      </w:r>
      <w:r w:rsidRPr="004619EA">
        <w:tab/>
        <w:t>med beaktande av betänkandet från budgetkontrollutskottet (A10-0169/2025).</w:t>
      </w:r>
    </w:p>
    <w:p w14:paraId="31C2DA7C" w14:textId="77777777" w:rsidR="00E86703" w:rsidRPr="004619EA" w:rsidRDefault="00E86703" w:rsidP="00E86703">
      <w:pPr>
        <w:pStyle w:val="NormalHanging12a"/>
      </w:pPr>
      <w:r w:rsidRPr="004619EA">
        <w:t>1.</w:t>
      </w:r>
      <w:r w:rsidRPr="004619EA">
        <w:tab/>
        <w:t>Europaparlamentet godkänner avslutandet av räkenskaperna för Europeiska unionens asylbyrå 2023.</w:t>
      </w:r>
    </w:p>
    <w:p w14:paraId="1B449D71" w14:textId="77777777" w:rsidR="00E86703" w:rsidRPr="004619EA" w:rsidRDefault="00E86703" w:rsidP="00E86703">
      <w:pPr>
        <w:pStyle w:val="NormalHanging12a"/>
      </w:pPr>
      <w:r w:rsidRPr="004619EA">
        <w:t>2.</w:t>
      </w:r>
      <w:r w:rsidRPr="004619EA">
        <w:tab/>
        <w:t xml:space="preserve">Europaparlamentet uppdrar åt talmannen att översända detta beslut till verkställande direktören för Europeiska unionens asylbyrå, rådet, kommissionen och revisionsrätten, och att se till att det offentliggörs i </w:t>
      </w:r>
      <w:r w:rsidRPr="004619EA">
        <w:rPr>
          <w:i/>
          <w:iCs/>
        </w:rPr>
        <w:t>Europeiska unionens officiella tidning</w:t>
      </w:r>
      <w:r w:rsidRPr="004619EA">
        <w:t xml:space="preserve"> (L-serien).</w:t>
      </w:r>
    </w:p>
    <w:p w14:paraId="3258BC16" w14:textId="77777777" w:rsidR="00E86703" w:rsidRPr="004619EA" w:rsidRDefault="00E86703" w:rsidP="00E86703"/>
    <w:p w14:paraId="11346F23" w14:textId="77777777" w:rsidR="00E86703" w:rsidRPr="004619EA" w:rsidRDefault="00E86703" w:rsidP="00E86703"/>
    <w:p w14:paraId="23984EB5" w14:textId="77777777" w:rsidR="00E86703" w:rsidRPr="004619EA" w:rsidRDefault="00E86703" w:rsidP="00E86703">
      <w:pPr>
        <w:pStyle w:val="PageHeadingDec"/>
        <w:sectPr w:rsidR="00E86703" w:rsidRPr="004619EA" w:rsidSect="008C4A8E">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473A74E" w14:textId="216A1CDC" w:rsidR="00E86703" w:rsidRPr="004619EA" w:rsidRDefault="0079281B" w:rsidP="004D57BC">
      <w:pPr>
        <w:pStyle w:val="ATHeading3"/>
      </w:pPr>
      <w:r w:rsidRPr="004619EA">
        <w:lastRenderedPageBreak/>
        <w:t xml:space="preserve">3. </w:t>
      </w:r>
      <w:r w:rsidR="001E3005" w:rsidRPr="004619EA">
        <w:t>E</w:t>
      </w:r>
      <w:r w:rsidRPr="004619EA">
        <w:t>uropaparlamentets resolution</w:t>
      </w:r>
      <w:r w:rsidR="001E3005" w:rsidRPr="004619EA">
        <w:t xml:space="preserve"> av den 22 oktober 2025</w:t>
      </w:r>
      <w:r w:rsidRPr="004619EA">
        <w:t xml:space="preserve"> </w:t>
      </w:r>
      <w:r w:rsidR="00E86703" w:rsidRPr="004619EA">
        <w:t>med de iakttagelser som utgör en del av besluten om ansvarsfrihet för genomförande</w:t>
      </w:r>
      <w:r w:rsidR="00E150CD" w:rsidRPr="004619EA">
        <w:t>t</w:t>
      </w:r>
      <w:r w:rsidR="00E86703" w:rsidRPr="004619EA">
        <w:t xml:space="preserve"> av budgeten för Europeiska unionens byråer för budgetåret 2023</w:t>
      </w:r>
      <w:r w:rsidR="001E3005" w:rsidRPr="004619EA">
        <w:t xml:space="preserve"> </w:t>
      </w:r>
      <w:r w:rsidR="00E86703" w:rsidRPr="004619EA">
        <w:t>(2024/2030(DEC))</w:t>
      </w:r>
    </w:p>
    <w:p w14:paraId="13E65AA4" w14:textId="77777777" w:rsidR="00E86703" w:rsidRPr="004619EA" w:rsidRDefault="00E86703" w:rsidP="00E86703">
      <w:pPr>
        <w:pStyle w:val="EPComma"/>
      </w:pPr>
      <w:r w:rsidRPr="004619EA">
        <w:rPr>
          <w:i/>
          <w:iCs/>
        </w:rPr>
        <w:t>Europaparlamentet utfärdar denna resolution</w:t>
      </w:r>
    </w:p>
    <w:p w14:paraId="0730106F" w14:textId="77777777" w:rsidR="00E86703" w:rsidRPr="004619EA" w:rsidRDefault="00E86703" w:rsidP="00E86703">
      <w:pPr>
        <w:pStyle w:val="NormalHanging12a"/>
      </w:pPr>
      <w:r w:rsidRPr="004619EA">
        <w:t>–</w:t>
      </w:r>
      <w:r w:rsidRPr="004619EA">
        <w:tab/>
        <w:t>med beaktande av sitt beslut om ansvarsfrihet för genomförandet av budgeten för Europeiska unionens asylbyrå för budgetåret 2023,</w:t>
      </w:r>
    </w:p>
    <w:p w14:paraId="59F33768" w14:textId="77777777" w:rsidR="00E86703" w:rsidRPr="004619EA" w:rsidRDefault="00E86703" w:rsidP="00E86703">
      <w:pPr>
        <w:pStyle w:val="NormalHanging12a"/>
      </w:pPr>
      <w:r w:rsidRPr="004619EA">
        <w:t>–</w:t>
      </w:r>
      <w:r w:rsidRPr="004619EA">
        <w:tab/>
        <w:t>med beaktande av artikel 102 och bilaga V i arbetsordningen,</w:t>
      </w:r>
    </w:p>
    <w:p w14:paraId="62A17CC0" w14:textId="32ED5342" w:rsidR="00E86703" w:rsidRPr="004619EA" w:rsidRDefault="00E86703" w:rsidP="00E86703">
      <w:pPr>
        <w:pStyle w:val="NormalHanging12a"/>
      </w:pPr>
      <w:r w:rsidRPr="004619EA">
        <w:t>–</w:t>
      </w:r>
      <w:r w:rsidRPr="004619EA">
        <w:tab/>
        <w:t xml:space="preserve">med beaktande av det gemensamma europeiska asylsystemet funktion är det mycket viktigt att reglerna respekteras och genomförs och verkställs på ett korrekt sätt samt att </w:t>
      </w:r>
      <w:r w:rsidR="001E3005" w:rsidRPr="004619EA">
        <w:t>Europeiska unionens asylbyrå</w:t>
      </w:r>
      <w:r w:rsidRPr="004619EA">
        <w:t xml:space="preserve"> får ett hållbart och lämpligt ekonomiskt stöd för att säkerställa systemet med delat ansvar och solidaritet mellan Europeiska unionens medlemsstater,</w:t>
      </w:r>
    </w:p>
    <w:p w14:paraId="683BC822" w14:textId="77777777" w:rsidR="00E86703" w:rsidRPr="004619EA" w:rsidRDefault="00E86703" w:rsidP="00E86703">
      <w:pPr>
        <w:pStyle w:val="NormalHanging12a"/>
      </w:pPr>
      <w:r w:rsidRPr="004619EA">
        <w:t>–</w:t>
      </w:r>
      <w:r w:rsidRPr="004619EA">
        <w:tab/>
        <w:t>med beaktande av Olafs slutrapport (OC-2022–0717) om Europeiska unionens asylbyrå, som slutfördes i oktober 2024 och gjordes tillgänglig i mars 2025 för ledamöterna i budgetkontrollutskottet,</w:t>
      </w:r>
    </w:p>
    <w:p w14:paraId="5879C041" w14:textId="31C0E5C2" w:rsidR="00E86703" w:rsidRPr="004619EA" w:rsidRDefault="00E86703" w:rsidP="00E86703">
      <w:pPr>
        <w:pStyle w:val="NormalHanging12a"/>
        <w:rPr>
          <w:bCs/>
        </w:rPr>
      </w:pPr>
      <w:r w:rsidRPr="004619EA">
        <w:t>–</w:t>
      </w:r>
      <w:r w:rsidRPr="004619EA">
        <w:tab/>
        <w:t xml:space="preserve">med beaktande av skrivelserna från ordföranden </w:t>
      </w:r>
      <w:r w:rsidR="000024C5">
        <w:t xml:space="preserve">för styrelsen </w:t>
      </w:r>
      <w:r w:rsidRPr="004619EA">
        <w:t>för Europeiska unionens asylbyrå i mars 2025 och den verkställande direktören för Europeiska unionens asylbyrå i juli 2025,</w:t>
      </w:r>
    </w:p>
    <w:p w14:paraId="51D159C6" w14:textId="77777777" w:rsidR="00E86703" w:rsidRPr="004619EA" w:rsidRDefault="00E86703" w:rsidP="00E86703">
      <w:pPr>
        <w:pStyle w:val="NormalHanging12a"/>
      </w:pPr>
      <w:r w:rsidRPr="004619EA">
        <w:t xml:space="preserve">– </w:t>
      </w:r>
      <w:r w:rsidRPr="004619EA">
        <w:tab/>
        <w:t>med beaktande av diskussionen med företrädare för Olaf, Europeiska unionens asylbyrå och GD HOME den 15 juli 2025,</w:t>
      </w:r>
    </w:p>
    <w:p w14:paraId="676DEACD" w14:textId="77777777" w:rsidR="00E86703" w:rsidRPr="004619EA" w:rsidRDefault="00E86703" w:rsidP="00E86703">
      <w:pPr>
        <w:pStyle w:val="NormalHanging12a"/>
      </w:pPr>
      <w:r w:rsidRPr="004619EA">
        <w:t>–</w:t>
      </w:r>
      <w:r w:rsidRPr="004619EA">
        <w:tab/>
        <w:t>med beaktande av betänkandet från budgetkontrollutskottet (A10-0169/2025), och av följande skäl:</w:t>
      </w:r>
    </w:p>
    <w:p w14:paraId="7ED5AD8F" w14:textId="77777777" w:rsidR="00E86703" w:rsidRPr="004619EA" w:rsidRDefault="00E86703" w:rsidP="00E86703">
      <w:pPr>
        <w:pStyle w:val="NormalHanging12a"/>
      </w:pPr>
      <w:r w:rsidRPr="004619EA">
        <w:t>A.</w:t>
      </w:r>
      <w:r w:rsidRPr="004619EA">
        <w:tab/>
        <w:t>Samtliga EU:s decentraliserade byråer måste vara transparenta och fullt redovisningsskyldiga inför EU-medborgarna för de medel som de anförtros i sin egenskap av EU-organ.</w:t>
      </w:r>
    </w:p>
    <w:p w14:paraId="66704726" w14:textId="77777777" w:rsidR="00E86703" w:rsidRPr="004619EA" w:rsidRDefault="00E86703" w:rsidP="00E86703">
      <w:pPr>
        <w:pStyle w:val="NormalHanging12a"/>
      </w:pPr>
      <w:r w:rsidRPr="004619EA">
        <w:t>B.</w:t>
      </w:r>
      <w:r w:rsidRPr="004619EA">
        <w:tab/>
        <w:t>Europeiska unionens asylbyrå, som är ett unionsorgan med betydande ansvar och resurser, har en motsvarande skyldighet att agera med högsta möjliga standarder för transparens, ansvarsskyldighet och föredömligt uppträdande, vilket säkerställer förtroendet hos unionens medborgare och institutioner.</w:t>
      </w:r>
    </w:p>
    <w:p w14:paraId="7C6674E9" w14:textId="77777777" w:rsidR="00E86703" w:rsidRPr="004619EA" w:rsidRDefault="00E86703" w:rsidP="00E86703">
      <w:pPr>
        <w:pStyle w:val="NormalHanging12a"/>
      </w:pPr>
      <w:r w:rsidRPr="004619EA">
        <w:t>C.</w:t>
      </w:r>
      <w:r w:rsidRPr="004619EA">
        <w:tab/>
        <w:t>Parlamentets roll i samband med beviljandet av ansvarsfrihet fastställs i fördraget om Europeiska unionens funktionssätt (EUF-fördraget), i budgetförordningen och i rambudgetförordningen.</w:t>
      </w:r>
    </w:p>
    <w:p w14:paraId="01A0155F" w14:textId="77777777" w:rsidR="00E86703" w:rsidRPr="004619EA" w:rsidRDefault="00E86703" w:rsidP="00E86703">
      <w:pPr>
        <w:pStyle w:val="NormalHanging12a"/>
      </w:pPr>
      <w:r w:rsidRPr="004619EA">
        <w:t>D.</w:t>
      </w:r>
      <w:r w:rsidRPr="004619EA">
        <w:tab/>
        <w:t>I egenskap av unionens bedrägeribekämpningsorgan är Olaf skyldig att i god tid säkra adekvat tillgång till sina slutsatser för Europaparlamentet för att möjliggöra en effektiv granskning i samband med beviljandet av ansvarsfrihet.</w:t>
      </w:r>
    </w:p>
    <w:p w14:paraId="75608166" w14:textId="77777777" w:rsidR="00E86703" w:rsidRPr="004619EA" w:rsidRDefault="00E86703" w:rsidP="00E86703">
      <w:pPr>
        <w:pStyle w:val="NormalHanging12a"/>
        <w:keepNext/>
        <w:keepLines/>
        <w:widowControl/>
      </w:pPr>
      <w:r w:rsidRPr="004619EA">
        <w:lastRenderedPageBreak/>
        <w:t>1.</w:t>
      </w:r>
      <w:r w:rsidRPr="004619EA">
        <w:tab/>
        <w:t>Europaparlamentet påminner om parlamentets roll i förfarandet för beviljande av ansvarsfrihet, som regleras i EUF-fördraget, budgetförordningen och parlamentets arbetsordning.</w:t>
      </w:r>
    </w:p>
    <w:p w14:paraId="1251267C" w14:textId="77777777" w:rsidR="00E86703" w:rsidRPr="004619EA" w:rsidRDefault="00E86703" w:rsidP="00E86703">
      <w:pPr>
        <w:pStyle w:val="NormalHanging12a"/>
      </w:pPr>
      <w:r w:rsidRPr="004619EA">
        <w:t>2.</w:t>
      </w:r>
      <w:r w:rsidRPr="004619EA">
        <w:tab/>
        <w:t>Europaparlamentet påminner om att parlamentet den 7 maj 2025 beslutade att skjuta upp beslutet om ansvarsfrihet för 2023 för Europeiska unionens asylbyrå (</w:t>
      </w:r>
      <w:r w:rsidRPr="004619EA">
        <w:rPr>
          <w:i/>
          <w:iCs/>
        </w:rPr>
        <w:t>byrån</w:t>
      </w:r>
      <w:r w:rsidRPr="004619EA">
        <w:t>).</w:t>
      </w:r>
    </w:p>
    <w:p w14:paraId="4E3E2ECD" w14:textId="77777777" w:rsidR="00E86703" w:rsidRPr="004619EA" w:rsidRDefault="00E86703" w:rsidP="00E86703">
      <w:pPr>
        <w:pStyle w:val="NormalHanging12a"/>
      </w:pPr>
      <w:r w:rsidRPr="004619EA">
        <w:t>3.</w:t>
      </w:r>
      <w:r w:rsidRPr="004619EA">
        <w:tab/>
        <w:t>Europaparlamentet understryker att det är ytterst viktigt att agera på ett ansvarsfullt och transparent sätt i samband med genomförandet av unionens budget. Parlamentet insisterar på att varje underlåtenhet att upprätthålla dessa principer allvarligt undergräver allmänhetens förtroende.</w:t>
      </w:r>
    </w:p>
    <w:p w14:paraId="42963A73" w14:textId="77777777" w:rsidR="00E86703" w:rsidRPr="004619EA" w:rsidRDefault="00E86703" w:rsidP="00E86703">
      <w:pPr>
        <w:pStyle w:val="NormalHanging12a"/>
        <w:rPr>
          <w:b/>
          <w:i/>
        </w:rPr>
      </w:pPr>
      <w:r w:rsidRPr="004619EA">
        <w:rPr>
          <w:b/>
          <w:i/>
        </w:rPr>
        <w:t>Resultatet av den undersökning som gjorts av Europeiska byrån för bedrägeribekämpning (Olaf)</w:t>
      </w:r>
    </w:p>
    <w:p w14:paraId="184D2EAA" w14:textId="77777777" w:rsidR="00E86703" w:rsidRPr="004619EA" w:rsidRDefault="00E86703" w:rsidP="00E86703">
      <w:pPr>
        <w:pStyle w:val="NormalHanging12a"/>
      </w:pPr>
      <w:r w:rsidRPr="004619EA">
        <w:t>4.</w:t>
      </w:r>
      <w:r w:rsidRPr="004619EA">
        <w:tab/>
        <w:t>Europaparlamentet noterar att Olaf gjorde en anonymiserad version av sin slutrapport om utredningen tillgänglig för ledamöterna i budgetkontrollutskottet (CONT) i mars 2025 och för utskottet för medborgerliga fri- och rättigheter samt rättsliga och inrikes frågor i juli 2025. Parlamentet beklagar den försenade tillgången till utredningen, som beviljades först i mars trots en begäran från föredraganden i december 2024, där Olaf i sitt svar hänvisade till invändningar från Europeiska unionens asylbyrås styrelse. Parlamentet insisterar på att CONT-utskottets ledamöter borde ha fått tillgång till rapporten tidigare för att säkerställa att de kan utöva sitt mandat på lämpligt sätt.</w:t>
      </w:r>
    </w:p>
    <w:p w14:paraId="6403DDE9" w14:textId="77777777" w:rsidR="00E86703" w:rsidRPr="004619EA" w:rsidRDefault="00E86703" w:rsidP="00E86703">
      <w:pPr>
        <w:pStyle w:val="NormalHanging12a"/>
      </w:pPr>
      <w:r w:rsidRPr="004619EA">
        <w:t>5.</w:t>
      </w:r>
      <w:r w:rsidRPr="004619EA">
        <w:tab/>
        <w:t>Europaparlamentet är medvetet om att Olafs utredningar ska genomföras kontinuerligt under en tidsperiod som ska vara avpassad efter omständigheterna och ärendets komplexitet. Parlamentet är bekymrat över att Olafs utredningar pågår så länge, eftersom det undergräver den ansvarsfrihetsbeviljande myndighetens förmåga att på ett effektivt sätt ta hänsyn till resultaten. Parlamentet insisterar på den avgörande roll som snabbt utförda utredningar spelar för att upprätthålla en effektiv tillsyn från parlamentets sida. Parlamentet uppmanar Olaf att se över och påskynda förfarandet för att slutföra och dela utredningar med den ansvarsfrihetsbeviljande myndigheten. Parlamentet betonar att sådana förseningar undergräver CONT-ledamöternas möjlighet att effektivt utöva sitt tillsynsmandat och efterlyser åtgärder för att säkerställa snabb tillgång till utredningsrapporter i framtiden.</w:t>
      </w:r>
    </w:p>
    <w:p w14:paraId="03652FA8" w14:textId="77777777" w:rsidR="00E86703" w:rsidRPr="004619EA" w:rsidRDefault="00E86703" w:rsidP="00E86703">
      <w:pPr>
        <w:pStyle w:val="NormalHanging12a"/>
      </w:pPr>
      <w:r w:rsidRPr="004619EA">
        <w:t>6.</w:t>
      </w:r>
      <w:r w:rsidRPr="004619EA">
        <w:tab/>
        <w:t xml:space="preserve">Europaparlamentet betonar att skyddet av unionens budget måste förbli ett grundläggande värde för en sund ekonomisk förvaltning, som alla EU-institutioner är skyldiga att upprätthålla, inbegripet byråer och decentraliserade organ som måste föregå med gott exempel när det gäller ansvar och transparens i användningen av europeiska offentliga medel. Parlamentet upprepar att det krävs stärkt samordning och samarbete inom den institutionella ramen för bedrägeribekämpning, i synnerhet för att hantera behovet av snabbare och effektivare Olaf-utredningar och därigenom </w:t>
      </w:r>
      <w:proofErr w:type="spellStart"/>
      <w:r w:rsidRPr="004619EA">
        <w:t>därigenom</w:t>
      </w:r>
      <w:proofErr w:type="spellEnd"/>
      <w:r w:rsidRPr="004619EA">
        <w:t xml:space="preserve"> anpassa dessa insatser till det bredare målet att skydda unionens finanser.</w:t>
      </w:r>
    </w:p>
    <w:p w14:paraId="5BE1E4BF" w14:textId="77777777" w:rsidR="00E86703" w:rsidRPr="004619EA" w:rsidRDefault="00E86703" w:rsidP="00E86703">
      <w:pPr>
        <w:pStyle w:val="NormalHanging12a"/>
      </w:pPr>
      <w:r w:rsidRPr="004619EA">
        <w:t>7.</w:t>
      </w:r>
      <w:r w:rsidRPr="004619EA">
        <w:tab/>
        <w:t>Europaparlamentet uppmanar byrån och Olaf att offentliggöra en anonymiserad sammanfattning av Olafs rapport, i den mån det är rättsligt möjligt, för att öka transparensen och allmänhetens förtroende.</w:t>
      </w:r>
    </w:p>
    <w:p w14:paraId="04114D61" w14:textId="77777777" w:rsidR="00E86703" w:rsidRPr="004619EA" w:rsidRDefault="00E86703" w:rsidP="00E86703">
      <w:pPr>
        <w:pStyle w:val="NormalHanging12a"/>
      </w:pPr>
      <w:r w:rsidRPr="004619EA">
        <w:t>8.</w:t>
      </w:r>
      <w:r w:rsidRPr="004619EA">
        <w:tab/>
        <w:t>Europaparlamentet noterar att Olaf utfärdade disciplinära och administrativa rekommendationer efter utredningen.</w:t>
      </w:r>
    </w:p>
    <w:p w14:paraId="26D23B7C" w14:textId="77777777" w:rsidR="00E86703" w:rsidRPr="004619EA" w:rsidRDefault="00E86703" w:rsidP="00E86703">
      <w:pPr>
        <w:pStyle w:val="NormalHanging12a"/>
      </w:pPr>
      <w:r w:rsidRPr="004619EA">
        <w:lastRenderedPageBreak/>
        <w:t>9.</w:t>
      </w:r>
      <w:r w:rsidRPr="004619EA">
        <w:tab/>
        <w:t>Europaparlamentet konstaterar att styrelsen, när det gäller de disciplinära rekommendationerna, som uppföljning beslutade att inte inleda disciplinära förfaranden och i stället utfärdade skriftliga rekommendationer med en varning och begärde att den verkställande direktören skulle lägga fram konkreta förslag i form av korrigerande åtgärder och en tidsplan för deras genomförande så snart som möjligt. Parlamentet konstaterar att den verkställande direktören i linje med denna begäran har lämnat in följande handlingar till styrelsen:</w:t>
      </w:r>
    </w:p>
    <w:p w14:paraId="6A40D531" w14:textId="77777777" w:rsidR="00E86703" w:rsidRPr="004619EA" w:rsidRDefault="00E86703" w:rsidP="00E86703">
      <w:pPr>
        <w:pStyle w:val="NormalHanging12a"/>
        <w:ind w:left="927" w:hanging="360"/>
      </w:pPr>
      <w:r w:rsidRPr="004619EA">
        <w:t>–</w:t>
      </w:r>
      <w:r w:rsidRPr="004619EA">
        <w:tab/>
        <w:t>Styrelsens rekommendationer.</w:t>
      </w:r>
    </w:p>
    <w:p w14:paraId="543FAE23" w14:textId="77777777" w:rsidR="00E86703" w:rsidRPr="004619EA" w:rsidRDefault="00E86703" w:rsidP="00E86703">
      <w:pPr>
        <w:pStyle w:val="NormalHanging12a"/>
        <w:ind w:left="927" w:hanging="360"/>
      </w:pPr>
      <w:r w:rsidRPr="004619EA">
        <w:t>–</w:t>
      </w:r>
      <w:r w:rsidRPr="004619EA">
        <w:tab/>
        <w:t>Den aktuella situationen i byrån med hänsyn till varje rekommendation.</w:t>
      </w:r>
    </w:p>
    <w:p w14:paraId="2A085FCA" w14:textId="77777777" w:rsidR="00E86703" w:rsidRPr="004619EA" w:rsidRDefault="00E86703" w:rsidP="00E86703">
      <w:pPr>
        <w:pStyle w:val="NormalHanging12a"/>
        <w:ind w:left="927" w:hanging="360"/>
      </w:pPr>
      <w:r w:rsidRPr="004619EA">
        <w:t>–</w:t>
      </w:r>
      <w:r w:rsidRPr="004619EA">
        <w:tab/>
        <w:t>De ytterligare korrigerande åtgärder som ska genomföras och en preliminär tidsplan för deras genomförande. Parlamentet uppmanar styrelsen att följa upp rekommendationerna och rapportera tillbaka till den ansvarsfrihetsbeviljande myndigheten om deras fullständiga och omedelbara genomförande.</w:t>
      </w:r>
    </w:p>
    <w:p w14:paraId="1E4F9184" w14:textId="503B1A9E" w:rsidR="00E86703" w:rsidRPr="004619EA" w:rsidRDefault="00E86703" w:rsidP="001E3005">
      <w:pPr>
        <w:pStyle w:val="NormalHanging12a"/>
      </w:pPr>
      <w:r w:rsidRPr="004619EA">
        <w:t>10.</w:t>
      </w:r>
      <w:r w:rsidRPr="004619EA">
        <w:tab/>
        <w:t xml:space="preserve">Europaparlamentet beklagar att styrelsen efter intensiva överläggningar beslutade att inte genomföra Olafs disciplinära rekommendationer, bland annat att inleda disciplinära förfaranden mot </w:t>
      </w:r>
      <w:r w:rsidR="001E3005" w:rsidRPr="004619EA">
        <w:t>Europeiska unionens asylbyrås</w:t>
      </w:r>
      <w:r w:rsidRPr="004619EA">
        <w:t xml:space="preserve"> verkställande direktör eller annan personal vid byrån, trots Olafs viktiga iakttagelser, vilket förefaller systematiskt och ifrågasätter förtroendet för byråns ledning. Parlamentet betonar att detta beslut väcker frågor om styrelsens åtagande i fråga om ansvarsskyldighet och ansvar i linje med institutionella förväntningar, och konstaterar styrelsens avsiktliga val att inte genomföra rekommendationerna efter att ha sett över de frågor som tagits upp. Parlamentet betonar att det kommer att vara särskilt uppmärksamt på de korrigerande åtgärder som vidtas. Parlamentet förväntar sig att byrån ger prov på en exemplarisk uppföljning, höga standarder, ett tydligt ansvar för genomförandet av korrigerande åtgärder och fullständig ansvarsskyldighet. Parlamentet uppmanar byrån att säkerställa en transparent rapportering till parlamentet genom att bland annat dela protokollen från styrelsens överläggningar med parlamentet för att stärka den parlamentariska tillsynen.</w:t>
      </w:r>
    </w:p>
    <w:p w14:paraId="6D8E3337" w14:textId="77777777" w:rsidR="00E86703" w:rsidRPr="004619EA" w:rsidRDefault="00E86703" w:rsidP="00E86703">
      <w:pPr>
        <w:pStyle w:val="NormalHanging12a"/>
      </w:pPr>
      <w:r w:rsidRPr="004619EA">
        <w:t>11.</w:t>
      </w:r>
      <w:r w:rsidRPr="004619EA">
        <w:tab/>
        <w:t xml:space="preserve">Europaparlamentet noterar att den verkställande direktören utarbetade ett ”Vision Statement on </w:t>
      </w:r>
      <w:proofErr w:type="spellStart"/>
      <w:r w:rsidRPr="004619EA">
        <w:t>leadership</w:t>
      </w:r>
      <w:proofErr w:type="spellEnd"/>
      <w:r w:rsidRPr="004619EA">
        <w:t xml:space="preserve"> </w:t>
      </w:r>
      <w:proofErr w:type="spellStart"/>
      <w:r w:rsidRPr="004619EA">
        <w:t>implementing</w:t>
      </w:r>
      <w:proofErr w:type="spellEnd"/>
      <w:r w:rsidRPr="004619EA">
        <w:t xml:space="preserve"> the </w:t>
      </w:r>
      <w:proofErr w:type="spellStart"/>
      <w:r w:rsidRPr="004619EA">
        <w:t>changes</w:t>
      </w:r>
      <w:proofErr w:type="spellEnd"/>
      <w:r w:rsidRPr="004619EA">
        <w:t xml:space="preserve"> in EUAA” med de genomförda korrigerande åtgärderna och korrigerande åtgärder som ska genomföras. Parlamentet uppmanar byrån att informera den ansvarsfrihetsbeviljande myndigheten om de korrigerande åtgärder som genomförts och som ska genomföras, tillsammans med tidsfrister för deras slutförande.</w:t>
      </w:r>
    </w:p>
    <w:p w14:paraId="034FC304" w14:textId="77777777" w:rsidR="00E86703" w:rsidRPr="004619EA" w:rsidRDefault="00E86703" w:rsidP="00E86703">
      <w:pPr>
        <w:pStyle w:val="NormalHanging12a"/>
      </w:pPr>
      <w:r w:rsidRPr="004619EA">
        <w:t>12.</w:t>
      </w:r>
      <w:r w:rsidRPr="004619EA">
        <w:tab/>
        <w:t xml:space="preserve">Europaparlamentet är oroat över att de administrativa rekommendationerna behandlade praxisen med personalutvärderingar som utfördes av </w:t>
      </w:r>
      <w:proofErr w:type="spellStart"/>
      <w:r w:rsidRPr="004619EA">
        <w:t>sektorschefer</w:t>
      </w:r>
      <w:proofErr w:type="spellEnd"/>
      <w:r w:rsidRPr="004619EA">
        <w:t xml:space="preserve"> och inte av enhetschefer, samt brister i hanteringen av intressekonflikter inom byrån.</w:t>
      </w:r>
    </w:p>
    <w:p w14:paraId="2D144E27" w14:textId="77777777" w:rsidR="007D0369" w:rsidRPr="004619EA" w:rsidRDefault="00E86703" w:rsidP="007D0369">
      <w:pPr>
        <w:pStyle w:val="NormalHanging12a"/>
      </w:pPr>
      <w:r w:rsidRPr="004619EA">
        <w:t>13.</w:t>
      </w:r>
      <w:r w:rsidRPr="004619EA">
        <w:tab/>
        <w:t>Europaparlamentet uppskattar att enhetscheferna från och med 2025 kommer att utföra personalutvärderingarna i enlighet med de tillämpliga reglerna.</w:t>
      </w:r>
    </w:p>
    <w:p w14:paraId="5F26D2B0" w14:textId="34E4155D" w:rsidR="00E86703" w:rsidRPr="004619EA" w:rsidRDefault="00E86703" w:rsidP="004D57BC">
      <w:pPr>
        <w:pStyle w:val="NormalHanging12a"/>
      </w:pPr>
      <w:r w:rsidRPr="004619EA">
        <w:t>14.</w:t>
      </w:r>
      <w:r w:rsidRPr="004619EA">
        <w:tab/>
        <w:t xml:space="preserve">Europaparlamentet beklagar bestämt bristerna i hanteringen av intressekonflikter inom byrån, särskilt styrelsens bristfälliga hantering av klagomål mot beslut som fattats av den verkställande direktören. Parlamentet insisterar på att sådan praxis undergräver byråns integritet och trovärdighet. Parlamentet uppmanar byrån att omgående informera den ansvarsfrihetsbeviljande myndigheten om de korrigerande åtgärder och </w:t>
      </w:r>
      <w:r w:rsidRPr="004619EA">
        <w:lastRenderedPageBreak/>
        <w:t>organisatoriska förändringar som införts. Parlamentet betonar att endast en robust och föredömlig ram för hantering av intressekonflikter kommer att anses vara godtagbar.</w:t>
      </w:r>
    </w:p>
    <w:p w14:paraId="6F6DA26B" w14:textId="77777777" w:rsidR="00E86703" w:rsidRPr="004619EA" w:rsidRDefault="00E86703" w:rsidP="00E86703">
      <w:pPr>
        <w:pStyle w:val="NormalHanging12a"/>
      </w:pPr>
      <w:r w:rsidRPr="004619EA">
        <w:t>15.</w:t>
      </w:r>
      <w:r w:rsidRPr="004619EA">
        <w:tab/>
        <w:t>Europaparlamentet noterar att både styrelsen och den verkställande direktören erkänner allvaret i de dessa anklagelser och den aktuella problematiken. Parlamentet konstaterar dock att den verkställande direktören uttryckte skepsis och hänvisade till extraordinär arbetsbelastning i samband med kriser, vilket inte kan användas som motivering för att avvisa iakttagelserna. Parlamentet betonar dock att erkännandet måste åtföljas av beslutsamma korrigerande åtgärder, ett snabbt genomförande och fullständig ansvarsskyldighet gentemot den ansvarsfrihetsbeviljande myndigheten.</w:t>
      </w:r>
    </w:p>
    <w:p w14:paraId="5BFCE612" w14:textId="77777777" w:rsidR="00E86703" w:rsidRPr="004619EA" w:rsidRDefault="00E86703" w:rsidP="00E86703">
      <w:pPr>
        <w:pStyle w:val="NormalHanging12a"/>
      </w:pPr>
      <w:r w:rsidRPr="004619EA">
        <w:t>16.</w:t>
      </w:r>
      <w:r w:rsidRPr="004619EA">
        <w:tab/>
        <w:t>Europaparlamentet noterar bekymrat de upprepade bristerna i förvaltningen, däribland styrelsens oförmåga att utöva snabb och effektiv tillsyn. Parlamentet beklagar att flera av oriktigheterna kunde ha förhindrats genom bättre interna kontroller och proaktivt engagemang från styrelsens sida. Parlamentet insisterar på att detta institutionella misslyckande måste hanteras strukturellt och inte bara förfarandemässigt.</w:t>
      </w:r>
    </w:p>
    <w:p w14:paraId="10131C7B" w14:textId="769721D5" w:rsidR="00E86703" w:rsidRPr="004619EA" w:rsidRDefault="00E86703" w:rsidP="00E86703">
      <w:pPr>
        <w:pStyle w:val="NormalHanging12a"/>
      </w:pPr>
      <w:r w:rsidRPr="004619EA">
        <w:t>17.</w:t>
      </w:r>
      <w:r w:rsidRPr="004619EA">
        <w:tab/>
        <w:t xml:space="preserve">Europaparlamentet beklagar problemen med dålig förvaltning, särskilt på personalområdet, med allvarliga oriktigheter, särskilt i samband med utnämnings- och urvalsförfaranden som strider mot tjänsteföreskrifterna för tjänstemän och anställningsvillkoren för övriga anställda. Parlamentet är medvetet om att byrån under perioden 2019–2022 ställdes inför svåra omständigheter, såsom covid-19-pandemin, aktiveringen av direktivet om tillfälligt skydd eller ikraftträdandet av förordningen om </w:t>
      </w:r>
      <w:r w:rsidR="001E3005" w:rsidRPr="004619EA">
        <w:t>byrån</w:t>
      </w:r>
      <w:r w:rsidR="0022781B" w:rsidRPr="004619EA">
        <w:rPr>
          <w:rStyle w:val="FootnoteReference"/>
        </w:rPr>
        <w:footnoteReference w:id="17"/>
      </w:r>
      <w:r w:rsidRPr="004619EA">
        <w:t xml:space="preserve"> med ett nytt mandat, nya befogenheter och nya ansvarsområden. Parlamentet avvisar dock alla försök att använda sådana omständigheter som motivering för bristande efterlevnad av bindande lagstiftning. Parlamentet uppmanar byrån att fullt ut anpassa sina rekryteringsförfaranden till de tillämpliga reglerna, och insisterar på att strikta, transparenta och meritbaserade förfaranden antas, åtföljda av verkställbara riktlinjer och under noggrann tillsyn av den ansvarsfrihetsbeviljande myndigheten.</w:t>
      </w:r>
    </w:p>
    <w:p w14:paraId="4838494A" w14:textId="77777777" w:rsidR="00E86703" w:rsidRPr="004619EA" w:rsidRDefault="00E86703" w:rsidP="00E86703">
      <w:pPr>
        <w:pStyle w:val="NormalHanging12a"/>
      </w:pPr>
      <w:r w:rsidRPr="004619EA">
        <w:t>18.</w:t>
      </w:r>
      <w:r w:rsidRPr="004619EA">
        <w:tab/>
        <w:t>Europaparlamentet gläder sig över att praxisen med att utse tillförordnade chefer har upphört från januari 2023.</w:t>
      </w:r>
    </w:p>
    <w:p w14:paraId="326074F9" w14:textId="77777777" w:rsidR="00E86703" w:rsidRPr="004619EA" w:rsidRDefault="00E86703" w:rsidP="00E86703">
      <w:pPr>
        <w:pStyle w:val="NormalHanging12a"/>
      </w:pPr>
      <w:r w:rsidRPr="004619EA">
        <w:t>19.</w:t>
      </w:r>
      <w:r w:rsidRPr="004619EA">
        <w:tab/>
        <w:t>Europaparlamentet påminner om att styrelsens viktigaste uppgifter är att utfärda allmänna riktlinjer för byråns verksamhet och att se till att byrån effektivt fullgör sitt uppdrag. Parlamentet anser att styrelsen för att utfärda allmänna riktlinjer måste vara uppmärksam på och vederbörligen informerad om den lagstiftning som är tillämplig för byrån samt om kritiska utvecklingstendenser i byråns förvaltning. Parlamentet beklagar de upprepade bristerna i detta avseende och uppmanar byrån att inrätta effektiva, systematiska och transparenta förfaranden för kommunikationen med styrelsen.</w:t>
      </w:r>
    </w:p>
    <w:p w14:paraId="39744D2C" w14:textId="77777777" w:rsidR="00E86703" w:rsidRPr="004619EA" w:rsidRDefault="00E86703" w:rsidP="00E86703">
      <w:pPr>
        <w:pStyle w:val="NormalHanging12a"/>
        <w:keepNext/>
        <w:keepLines/>
        <w:widowControl/>
      </w:pPr>
      <w:r w:rsidRPr="004619EA">
        <w:lastRenderedPageBreak/>
        <w:t>20.</w:t>
      </w:r>
      <w:r w:rsidRPr="004619EA">
        <w:tab/>
        <w:t>Europaparlamentet uppmanar kommissionen, som har två ledamöter i styrelsen, att aktivt stödja och bistå andra styrelseledamöter med att förstå de regler som gäller för byrån samt att identifiera och sprida de lärdomar man dragit från detta specifika fall som en del av mer övergripande förebyggande insatser. Parlamentet uppmanar byrån att rapportera tillbaka till den ansvarsfrihetsbeviljande myndigheten om de åtgärder som vidtagits för att förbättra kommunikationen med styrelsen.</w:t>
      </w:r>
    </w:p>
    <w:p w14:paraId="3DC16D39" w14:textId="77777777" w:rsidR="00E86703" w:rsidRPr="004619EA" w:rsidRDefault="00E86703" w:rsidP="00E86703">
      <w:pPr>
        <w:pStyle w:val="NormalHanging12a"/>
      </w:pPr>
      <w:r w:rsidRPr="004619EA">
        <w:t>21.</w:t>
      </w:r>
      <w:r w:rsidRPr="004619EA">
        <w:tab/>
        <w:t>Europaparlamentet välkomnar det förslag som kommissionen lade fram under diskussionerna om möjligheten att dela gemensamma funktioner på vissa övergripande områden inom de decentraliserade byråerna, eftersom detta skulle bidra till en bättre förvaltning av processerna och till att säkra en effektivare resursanvändning. Parlamentet uppmanar kommissionen att undersöka denna möjlighet och föreslå konkreta åtgärder i detta avseende.</w:t>
      </w:r>
    </w:p>
    <w:p w14:paraId="4087EE30" w14:textId="77777777" w:rsidR="00E86703" w:rsidRPr="004619EA" w:rsidRDefault="00E86703" w:rsidP="00E86703">
      <w:pPr>
        <w:pStyle w:val="NormalHanging12a"/>
      </w:pPr>
      <w:r w:rsidRPr="004619EA">
        <w:t>22.</w:t>
      </w:r>
      <w:r w:rsidRPr="004619EA">
        <w:tab/>
        <w:t>Europaparlamentet uppmanar byrån att inrätta en oberoende intern etisk funktion och betonar vikten av robusta regler för skydd av visselblåsare i linje med direktiv (EU) 2019/1937. Parlamentet betonar att de interna rapporteringskanalerna måste vara konfidentiella, trovärdiga och tillförlitliga för personalen på alla nivåer.</w:t>
      </w:r>
    </w:p>
    <w:p w14:paraId="39C9700B" w14:textId="77777777" w:rsidR="00E86703" w:rsidRPr="004619EA" w:rsidRDefault="00E86703" w:rsidP="00E86703">
      <w:pPr>
        <w:pStyle w:val="NormalHanging12a"/>
      </w:pPr>
      <w:r w:rsidRPr="004619EA">
        <w:t>23.</w:t>
      </w:r>
      <w:r w:rsidRPr="004619EA">
        <w:tab/>
        <w:t>Europaparlamentet betonar att Olafs utredning avslutades först 2024 trots att vissa av händelserna inträffade 2021, 2022 och tidigare. Parlamentet betonar att man ännu inte kan anse att dessa frågor har lösts fullt ut. Parlamentet betonar att den ansvarsfrihetsbeviljande myndigheten förbehåller sig den fulla rätten att utöva sitt tillsynsansvar tills situationen helt har åtgärdats och klargjorts. Parlamentet uppmanar den verkställande direktören och styrelsen att erkänna och åtgärda eventuella strukturella svagheter i både byråns personalförvaltning och styrelsens tillsynsfunktioner, och att vidta effektiva åtgärder för att förhindra att liknande problem upprepas, samt förbehåller sig rätten att hålla inne eller villkora framtida beslut om ansvarsfrihet om byrån inte genomför en fullständig strukturell reform.</w:t>
      </w:r>
    </w:p>
    <w:p w14:paraId="7FDC3035" w14:textId="77777777" w:rsidR="00E86703" w:rsidRPr="004619EA" w:rsidRDefault="00E86703" w:rsidP="00E86703">
      <w:pPr>
        <w:pStyle w:val="NormalHanging12a"/>
      </w:pPr>
      <w:r w:rsidRPr="004619EA">
        <w:t>24.</w:t>
      </w:r>
      <w:r w:rsidRPr="004619EA">
        <w:tab/>
        <w:t>Europaparlamentet noterar med särskild oro den extremt höga personalomsättningen som nämns i Olafs rapport, utan att ledningen kan ge en tillfredsställande förklaring. Parlamentet uppmanar den verkställande direktören och styrelsen, och i synnerhet kommissionens företrädare i denna, att införa systematiska exitintervjuer med all avgående personal, att dokumentera resultaten på ett heltäckande sätt och att rapportera till den ansvarsfrihetsbeviljande myndigheten om de resultat och framsteg som uppnåtts i detta avseende inom ramen för ansvarsfrihetsförfarandet för 2024.</w:t>
      </w:r>
    </w:p>
    <w:p w14:paraId="3D3255C5" w14:textId="77777777" w:rsidR="00E86703" w:rsidRPr="004619EA" w:rsidRDefault="00E86703" w:rsidP="00E86703">
      <w:pPr>
        <w:pStyle w:val="NormalHanging12a"/>
      </w:pPr>
      <w:r w:rsidRPr="004619EA">
        <w:t>25.</w:t>
      </w:r>
      <w:r w:rsidRPr="004619EA">
        <w:tab/>
        <w:t>Europaparlamentet lovordar byråns personal för dess engagemang i utförandet av dess uppgifter trots de svåra omständigheterna. Parlamentet anser att det är avgörande att skapa en positiv arbetsmiljö genom att främja god praxis på personalnivå och belöna meritbaserade prestationer. Parlamentet uppmanar med kraft styrelsen och den verkställande direktören att se till att byrån är en säker och stödjande arbetsplats som uppmuntrar öppen kommunikation och ger enskilda personer möjlighet att tala utan rädsla för repressalier. Parlamentet uppmanar byrån att se till att alla rapporter om tjänstefel tas på allvar och utreds grundligt, och att lämpliga uppföljningsåtgärder vidtas för att upprätthålla integriteten och förtroendet inom organisationen.</w:t>
      </w:r>
    </w:p>
    <w:p w14:paraId="4F112B6D" w14:textId="77777777" w:rsidR="00E86703" w:rsidRPr="004619EA" w:rsidRDefault="00E86703" w:rsidP="00E86703">
      <w:pPr>
        <w:pStyle w:val="NormalHanging12a"/>
        <w:jc w:val="center"/>
      </w:pPr>
      <w:r w:rsidRPr="004619EA">
        <w:t>°</w:t>
      </w:r>
    </w:p>
    <w:p w14:paraId="60BBCBAA" w14:textId="77777777" w:rsidR="00E86703" w:rsidRPr="004619EA" w:rsidRDefault="00E86703" w:rsidP="00E86703">
      <w:pPr>
        <w:pStyle w:val="NormalHanging12a"/>
        <w:jc w:val="center"/>
      </w:pPr>
      <w:r w:rsidRPr="004619EA">
        <w:t>°</w:t>
      </w:r>
      <w:r w:rsidRPr="004619EA">
        <w:tab/>
        <w:t>°</w:t>
      </w:r>
    </w:p>
    <w:p w14:paraId="359E3137" w14:textId="3C9D7ECD" w:rsidR="00E365E1" w:rsidRPr="004619EA" w:rsidRDefault="00E86703" w:rsidP="004D57BC">
      <w:pPr>
        <w:pStyle w:val="CM1"/>
        <w:spacing w:before="120" w:after="120"/>
        <w:ind w:left="567" w:hanging="567"/>
      </w:pPr>
      <w:r w:rsidRPr="004619EA">
        <w:rPr>
          <w:rFonts w:ascii="Times New Roman" w:hAnsi="Times New Roman"/>
          <w:snapToGrid w:val="0"/>
        </w:rPr>
        <w:lastRenderedPageBreak/>
        <w:t>26.</w:t>
      </w:r>
      <w:r w:rsidRPr="004619EA">
        <w:rPr>
          <w:rFonts w:ascii="Times New Roman" w:hAnsi="Times New Roman"/>
          <w:snapToGrid w:val="0"/>
        </w:rPr>
        <w:tab/>
        <w:t>Europaparlamentet hänvisar med hänsyn till övriga kommentarer till sin resolution av den 7 maj 2025</w:t>
      </w:r>
      <w:r w:rsidRPr="004619EA">
        <w:rPr>
          <w:rStyle w:val="FootnoteReference"/>
          <w:rFonts w:ascii="Times New Roman" w:hAnsi="Times New Roman"/>
          <w:snapToGrid w:val="0"/>
        </w:rPr>
        <w:footnoteReference w:id="18"/>
      </w:r>
      <w:r w:rsidRPr="004619EA">
        <w:rPr>
          <w:rFonts w:ascii="Times New Roman" w:hAnsi="Times New Roman"/>
          <w:snapToGrid w:val="0"/>
        </w:rPr>
        <w:t xml:space="preserve"> med de iakttagelser som utgör en del av besluten om ansvarsfrihet för genomförandet av budgeten för Europeiska unionens byråer.</w:t>
      </w:r>
    </w:p>
    <w:sectPr w:rsidR="00E365E1" w:rsidRPr="004619EA" w:rsidSect="008C4A8E">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21240" w14:textId="77777777" w:rsidR="003F63F4" w:rsidRPr="008C4A8E" w:rsidRDefault="003F63F4">
      <w:r w:rsidRPr="008C4A8E">
        <w:separator/>
      </w:r>
    </w:p>
  </w:endnote>
  <w:endnote w:type="continuationSeparator" w:id="0">
    <w:p w14:paraId="2C2D2C9E" w14:textId="77777777" w:rsidR="003F63F4" w:rsidRPr="008C4A8E" w:rsidRDefault="003F63F4">
      <w:r w:rsidRPr="008C4A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charset w:val="00"/>
    <w:family w:val="auto"/>
    <w:pitch w:val="variable"/>
    <w:sig w:usb0="800002EF" w:usb1="1000E0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837FA" w14:textId="77777777" w:rsidR="008C4A8E" w:rsidRPr="008C4A8E" w:rsidRDefault="008C4A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5CB95" w14:textId="77777777" w:rsidR="008C4A8E" w:rsidRPr="008C4A8E" w:rsidRDefault="008C4A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6A6B4" w14:textId="77777777" w:rsidR="00E86703" w:rsidRPr="008C4A8E" w:rsidRDefault="00E86703" w:rsidP="00806EEE">
    <w:pPr>
      <w:pStyle w:val="EPFooter"/>
    </w:pPr>
    <w:r w:rsidRPr="008C4A8E">
      <w:rPr>
        <w:rStyle w:val="HideTWBExt"/>
      </w:rPr>
      <w:t>&lt;PathFdR&gt;</w:t>
    </w:r>
    <w:r w:rsidRPr="008C4A8E">
      <w:t>PR\1321847EN.docx</w:t>
    </w:r>
    <w:r w:rsidRPr="008C4A8E">
      <w:rPr>
        <w:rStyle w:val="HideTWBExt"/>
      </w:rPr>
      <w:t>&lt;/PathFdR&gt;</w:t>
    </w:r>
    <w:r w:rsidRPr="008C4A8E">
      <w:tab/>
    </w:r>
    <w:r w:rsidRPr="008C4A8E">
      <w:fldChar w:fldCharType="begin"/>
    </w:r>
    <w:r w:rsidRPr="008C4A8E">
      <w:instrText xml:space="preserve"> PAGE </w:instrText>
    </w:r>
    <w:r w:rsidRPr="008C4A8E">
      <w:fldChar w:fldCharType="separate"/>
    </w:r>
    <w:r w:rsidRPr="008C4A8E">
      <w:rPr>
        <w:noProof/>
      </w:rPr>
      <w:t>4</w:t>
    </w:r>
    <w:r w:rsidRPr="008C4A8E">
      <w:fldChar w:fldCharType="end"/>
    </w:r>
    <w:r w:rsidRPr="008C4A8E">
      <w:t>/</w:t>
    </w:r>
    <w:r w:rsidRPr="008C4A8E">
      <w:fldChar w:fldCharType="begin"/>
    </w:r>
    <w:r w:rsidRPr="008C4A8E">
      <w:instrText xml:space="preserve"> NUMPAGES </w:instrText>
    </w:r>
    <w:r w:rsidRPr="008C4A8E">
      <w:fldChar w:fldCharType="separate"/>
    </w:r>
    <w:r w:rsidRPr="008C4A8E">
      <w:rPr>
        <w:noProof/>
      </w:rPr>
      <w:t>15</w:t>
    </w:r>
    <w:r w:rsidRPr="008C4A8E">
      <w:rPr>
        <w:noProof/>
      </w:rPr>
      <w:fldChar w:fldCharType="end"/>
    </w:r>
    <w:r w:rsidRPr="008C4A8E">
      <w:tab/>
      <w:t>PE</w:t>
    </w:r>
    <w:r w:rsidRPr="008C4A8E">
      <w:rPr>
        <w:rStyle w:val="HideTWBExt"/>
      </w:rPr>
      <w:t>&lt;NoPE&gt;</w:t>
    </w:r>
    <w:r w:rsidRPr="008C4A8E">
      <w:t>774.259</w:t>
    </w:r>
    <w:r w:rsidRPr="008C4A8E">
      <w:rPr>
        <w:rStyle w:val="HideTWBExt"/>
      </w:rPr>
      <w:t>&lt;/NoPE&gt;&lt;Version&gt;</w:t>
    </w:r>
    <w:r w:rsidRPr="008C4A8E">
      <w:t>v01-00</w:t>
    </w:r>
    <w:r w:rsidRPr="008C4A8E">
      <w:rPr>
        <w:rStyle w:val="HideTWBExt"/>
      </w:rPr>
      <w:t>&lt;/Version&gt;</w:t>
    </w:r>
  </w:p>
  <w:p w14:paraId="6C1623ED" w14:textId="77777777" w:rsidR="00E86703" w:rsidRPr="008C4A8E" w:rsidRDefault="00E86703" w:rsidP="00806EEE">
    <w:pPr>
      <w:pStyle w:val="EPFooter2"/>
    </w:pPr>
    <w:r w:rsidRPr="008C4A8E">
      <w:tab/>
    </w:r>
    <w:r w:rsidRPr="008C4A8E">
      <w:tab/>
    </w:r>
    <w:r w:rsidRPr="008C4A8E">
      <w:fldChar w:fldCharType="begin"/>
    </w:r>
    <w:r w:rsidRPr="008C4A8E">
      <w:instrText xml:space="preserve"> DOCPROPERTY "&lt;Extension&gt;" </w:instrText>
    </w:r>
    <w:r w:rsidRPr="008C4A8E">
      <w:fldChar w:fldCharType="separate"/>
    </w:r>
    <w:r w:rsidRPr="008C4A8E">
      <w:t>SV</w:t>
    </w:r>
    <w:r w:rsidRPr="008C4A8E">
      <w:fldChar w:fldCharType="end"/>
    </w:r>
  </w:p>
  <w:p w14:paraId="286D2174" w14:textId="77777777" w:rsidR="00E86703" w:rsidRPr="008C4A8E" w:rsidRDefault="00E86703" w:rsidP="00806E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400CB" w14:textId="77777777" w:rsidR="00E86703" w:rsidRPr="008C4A8E" w:rsidRDefault="00E86703" w:rsidP="00806EEE">
    <w:pPr>
      <w:pStyle w:val="EPFooter"/>
    </w:pPr>
    <w:r w:rsidRPr="008C4A8E">
      <w:rPr>
        <w:rStyle w:val="HideTWBExt"/>
        <w:rFonts w:eastAsiaTheme="majorEastAsia"/>
      </w:rPr>
      <w:t>&lt;PathFdR&gt;</w:t>
    </w:r>
    <w:r w:rsidRPr="008C4A8E">
      <w:t>PR\1321847EN.docx</w:t>
    </w:r>
    <w:r w:rsidRPr="008C4A8E">
      <w:rPr>
        <w:rStyle w:val="HideTWBExt"/>
        <w:rFonts w:eastAsiaTheme="majorEastAsia"/>
      </w:rPr>
      <w:t>&lt;/PathFdR&gt;</w:t>
    </w:r>
    <w:r w:rsidRPr="008C4A8E">
      <w:tab/>
    </w:r>
    <w:r w:rsidRPr="008C4A8E">
      <w:fldChar w:fldCharType="begin"/>
    </w:r>
    <w:r w:rsidRPr="008C4A8E">
      <w:instrText xml:space="preserve"> PAGE </w:instrText>
    </w:r>
    <w:r w:rsidRPr="008C4A8E">
      <w:fldChar w:fldCharType="separate"/>
    </w:r>
    <w:r w:rsidRPr="008C4A8E">
      <w:rPr>
        <w:noProof/>
      </w:rPr>
      <w:t>6</w:t>
    </w:r>
    <w:r w:rsidRPr="008C4A8E">
      <w:fldChar w:fldCharType="end"/>
    </w:r>
    <w:r w:rsidRPr="008C4A8E">
      <w:t>/</w:t>
    </w:r>
    <w:r w:rsidRPr="008C4A8E">
      <w:fldChar w:fldCharType="begin"/>
    </w:r>
    <w:r w:rsidRPr="008C4A8E">
      <w:instrText xml:space="preserve"> NUMPAGES </w:instrText>
    </w:r>
    <w:r w:rsidRPr="008C4A8E">
      <w:fldChar w:fldCharType="separate"/>
    </w:r>
    <w:r w:rsidRPr="008C4A8E">
      <w:rPr>
        <w:noProof/>
      </w:rPr>
      <w:t>15</w:t>
    </w:r>
    <w:r w:rsidRPr="008C4A8E">
      <w:rPr>
        <w:noProof/>
      </w:rPr>
      <w:fldChar w:fldCharType="end"/>
    </w:r>
    <w:r w:rsidRPr="008C4A8E">
      <w:tab/>
      <w:t>PE</w:t>
    </w:r>
    <w:r w:rsidRPr="008C4A8E">
      <w:rPr>
        <w:rStyle w:val="HideTWBExt"/>
        <w:rFonts w:eastAsiaTheme="majorEastAsia"/>
      </w:rPr>
      <w:t>&lt;NoPE&gt;</w:t>
    </w:r>
    <w:r w:rsidRPr="008C4A8E">
      <w:t>774.259</w:t>
    </w:r>
    <w:r w:rsidRPr="008C4A8E">
      <w:rPr>
        <w:rStyle w:val="HideTWBExt"/>
        <w:rFonts w:eastAsiaTheme="majorEastAsia"/>
      </w:rPr>
      <w:t>&lt;/NoPE&gt;&lt;Version&gt;</w:t>
    </w:r>
    <w:r w:rsidRPr="008C4A8E">
      <w:t>v01-00</w:t>
    </w:r>
    <w:r w:rsidRPr="008C4A8E">
      <w:rPr>
        <w:rStyle w:val="HideTWBExt"/>
        <w:rFonts w:eastAsiaTheme="majorEastAsia"/>
      </w:rPr>
      <w:t>&lt;/Version&gt;</w:t>
    </w:r>
  </w:p>
  <w:p w14:paraId="5DCF4A14" w14:textId="77777777" w:rsidR="00E86703" w:rsidRPr="008C4A8E" w:rsidRDefault="00E86703" w:rsidP="00806EEE">
    <w:pPr>
      <w:pStyle w:val="EPFooter2"/>
    </w:pPr>
    <w:r w:rsidRPr="008C4A8E">
      <w:tab/>
    </w:r>
    <w:r w:rsidRPr="008C4A8E">
      <w:tab/>
    </w:r>
    <w:r w:rsidRPr="008C4A8E">
      <w:fldChar w:fldCharType="begin"/>
    </w:r>
    <w:r w:rsidRPr="008C4A8E">
      <w:instrText xml:space="preserve"> DOCPROPERTY "&lt;Extension&gt;" </w:instrText>
    </w:r>
    <w:r w:rsidRPr="008C4A8E">
      <w:fldChar w:fldCharType="separate"/>
    </w:r>
    <w:r w:rsidRPr="008C4A8E">
      <w:t>SV</w:t>
    </w:r>
    <w:r w:rsidRPr="008C4A8E">
      <w:fldChar w:fldCharType="end"/>
    </w:r>
  </w:p>
  <w:p w14:paraId="7459D567" w14:textId="77777777" w:rsidR="00E86703" w:rsidRPr="008C4A8E" w:rsidRDefault="00E86703" w:rsidP="00806E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0C05D" w14:textId="77777777" w:rsidR="00064002" w:rsidRPr="008C4A8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57D06" w14:textId="77777777" w:rsidR="00064002" w:rsidRPr="008C4A8E"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F7C21" w14:textId="77777777" w:rsidR="00064002" w:rsidRPr="008C4A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D2A6C" w14:textId="77777777" w:rsidR="003F63F4" w:rsidRPr="008C4A8E" w:rsidRDefault="003F63F4">
      <w:r w:rsidRPr="008C4A8E">
        <w:separator/>
      </w:r>
    </w:p>
  </w:footnote>
  <w:footnote w:type="continuationSeparator" w:id="0">
    <w:p w14:paraId="09EE4F24" w14:textId="77777777" w:rsidR="003F63F4" w:rsidRPr="008C4A8E" w:rsidRDefault="003F63F4">
      <w:r w:rsidRPr="008C4A8E">
        <w:continuationSeparator/>
      </w:r>
    </w:p>
  </w:footnote>
  <w:footnote w:id="1">
    <w:p w14:paraId="655873D3" w14:textId="50490605" w:rsidR="00E86703" w:rsidRPr="0079281B" w:rsidRDefault="00E86703" w:rsidP="008C4A8E">
      <w:pPr>
        <w:pStyle w:val="FootnoteText"/>
        <w:ind w:left="567" w:hanging="567"/>
        <w:rPr>
          <w:sz w:val="24"/>
          <w:lang w:val="fi-FI"/>
        </w:rPr>
      </w:pPr>
      <w:r w:rsidRPr="008C4A8E">
        <w:rPr>
          <w:rStyle w:val="FootnoteReference"/>
          <w:sz w:val="24"/>
          <w:lang w:val="sv-SE"/>
        </w:rPr>
        <w:footnoteRef/>
      </w:r>
      <w:r w:rsidR="008C4A8E" w:rsidRPr="0079281B">
        <w:rPr>
          <w:sz w:val="24"/>
          <w:lang w:val="fi-FI"/>
        </w:rPr>
        <w:t xml:space="preserve"> </w:t>
      </w:r>
      <w:r w:rsidR="008C4A8E" w:rsidRPr="0079281B">
        <w:rPr>
          <w:sz w:val="24"/>
          <w:lang w:val="fi-FI"/>
        </w:rPr>
        <w:tab/>
      </w:r>
      <w:r w:rsidRPr="0079281B">
        <w:rPr>
          <w:sz w:val="24"/>
          <w:lang w:val="fi-FI"/>
        </w:rPr>
        <w:t>EUT</w:t>
      </w:r>
      <w:r w:rsidR="00330B17">
        <w:rPr>
          <w:sz w:val="24"/>
          <w:lang w:val="fi-FI"/>
        </w:rPr>
        <w:t xml:space="preserve"> C,</w:t>
      </w:r>
      <w:r w:rsidRPr="0079281B">
        <w:rPr>
          <w:sz w:val="24"/>
          <w:lang w:val="fi-FI"/>
        </w:rPr>
        <w:t xml:space="preserve"> C/2024/6332, 24.10.2024, ELI: </w:t>
      </w:r>
      <w:hyperlink r:id="rId1" w:history="1">
        <w:r w:rsidRPr="0079281B">
          <w:rPr>
            <w:rStyle w:val="Hyperlink"/>
            <w:sz w:val="24"/>
            <w:lang w:val="fi-FI"/>
          </w:rPr>
          <w:t>http://data.europa.eu/eli/C/2024/6332/oj</w:t>
        </w:r>
      </w:hyperlink>
      <w:r w:rsidRPr="0079281B">
        <w:rPr>
          <w:sz w:val="24"/>
          <w:lang w:val="fi-FI"/>
        </w:rPr>
        <w:t>.</w:t>
      </w:r>
    </w:p>
  </w:footnote>
  <w:footnote w:id="2">
    <w:p w14:paraId="0D604EDB" w14:textId="02E42E47" w:rsidR="00E86703" w:rsidRPr="0079281B" w:rsidRDefault="00E86703" w:rsidP="008C4A8E">
      <w:pPr>
        <w:pStyle w:val="FootnoteText"/>
        <w:ind w:left="567" w:hanging="567"/>
        <w:rPr>
          <w:sz w:val="24"/>
          <w:lang w:val="fi-FI"/>
        </w:rPr>
      </w:pPr>
      <w:r w:rsidRPr="008C4A8E">
        <w:rPr>
          <w:rStyle w:val="FootnoteReference"/>
          <w:sz w:val="24"/>
          <w:lang w:val="sv-SE"/>
        </w:rPr>
        <w:footnoteRef/>
      </w:r>
      <w:r w:rsidR="008C4A8E" w:rsidRPr="0079281B">
        <w:rPr>
          <w:sz w:val="24"/>
          <w:lang w:val="fi-FI"/>
        </w:rPr>
        <w:t xml:space="preserve"> </w:t>
      </w:r>
      <w:r w:rsidR="008C4A8E" w:rsidRPr="0079281B">
        <w:rPr>
          <w:sz w:val="24"/>
          <w:lang w:val="fi-FI"/>
        </w:rPr>
        <w:tab/>
      </w:r>
      <w:r w:rsidRPr="0079281B">
        <w:rPr>
          <w:sz w:val="24"/>
          <w:lang w:val="fi-FI"/>
        </w:rPr>
        <w:t xml:space="preserve">EUT C, C/2024/6041, 10.10.2024, ELI: </w:t>
      </w:r>
      <w:hyperlink r:id="rId2" w:history="1">
        <w:r w:rsidRPr="0079281B">
          <w:rPr>
            <w:rStyle w:val="Hyperlink"/>
            <w:sz w:val="24"/>
            <w:lang w:val="fi-FI"/>
          </w:rPr>
          <w:t>http://data.europa.eu/eli/C/2024/6041/oj</w:t>
        </w:r>
      </w:hyperlink>
      <w:r w:rsidRPr="0079281B">
        <w:rPr>
          <w:sz w:val="24"/>
          <w:lang w:val="fi-FI"/>
        </w:rPr>
        <w:t>.</w:t>
      </w:r>
    </w:p>
  </w:footnote>
  <w:footnote w:id="3">
    <w:p w14:paraId="42BDDBEF" w14:textId="65A25FE9" w:rsidR="00E86703" w:rsidRPr="000024C5" w:rsidRDefault="00E86703" w:rsidP="008C4A8E">
      <w:pPr>
        <w:pStyle w:val="FootnoteText"/>
        <w:ind w:left="567" w:hanging="567"/>
        <w:rPr>
          <w:sz w:val="24"/>
          <w:lang w:val="fi-FI"/>
        </w:rPr>
      </w:pPr>
      <w:r w:rsidRPr="008C4A8E">
        <w:rPr>
          <w:rStyle w:val="FootnoteReference"/>
          <w:sz w:val="24"/>
          <w:lang w:val="sv-SE"/>
        </w:rPr>
        <w:footnoteRef/>
      </w:r>
      <w:r w:rsidR="008C4A8E" w:rsidRPr="000024C5">
        <w:rPr>
          <w:sz w:val="24"/>
          <w:lang w:val="fi-FI"/>
        </w:rPr>
        <w:t xml:space="preserve"> </w:t>
      </w:r>
      <w:r w:rsidR="008C4A8E" w:rsidRPr="000024C5">
        <w:rPr>
          <w:sz w:val="24"/>
          <w:lang w:val="fi-FI"/>
        </w:rPr>
        <w:tab/>
      </w:r>
      <w:r w:rsidR="009F224C">
        <w:rPr>
          <w:sz w:val="24"/>
          <w:lang w:val="fi-FI"/>
        </w:rPr>
        <w:t>EUT</w:t>
      </w:r>
      <w:r w:rsidR="009F224C" w:rsidRPr="009F224C">
        <w:rPr>
          <w:sz w:val="24"/>
          <w:lang w:val="fi-FI"/>
        </w:rPr>
        <w:t xml:space="preserve"> L, 2025/1663, 8.10.2025, ELI: </w:t>
      </w:r>
      <w:hyperlink r:id="rId3" w:history="1">
        <w:r w:rsidR="009F224C" w:rsidRPr="009F224C">
          <w:rPr>
            <w:rStyle w:val="Hyperlink"/>
            <w:sz w:val="24"/>
            <w:lang w:val="fi-FI"/>
          </w:rPr>
          <w:t>http://data.europa.eu/eli/dec/2025/1663/oj</w:t>
        </w:r>
      </w:hyperlink>
      <w:r w:rsidRPr="000024C5">
        <w:rPr>
          <w:sz w:val="24"/>
          <w:lang w:val="fi-FI"/>
        </w:rPr>
        <w:t>.</w:t>
      </w:r>
    </w:p>
  </w:footnote>
  <w:footnote w:id="4">
    <w:p w14:paraId="08AB3865" w14:textId="10817FD6" w:rsidR="00E86703" w:rsidRPr="0022781B" w:rsidRDefault="00E86703" w:rsidP="008C4A8E">
      <w:pPr>
        <w:pStyle w:val="FootnoteText"/>
        <w:ind w:left="567" w:hanging="567"/>
        <w:rPr>
          <w:sz w:val="24"/>
          <w:lang w:val="sv-SE"/>
        </w:rPr>
      </w:pPr>
      <w:r w:rsidRPr="008C4A8E">
        <w:rPr>
          <w:rStyle w:val="FootnoteReference"/>
          <w:sz w:val="24"/>
          <w:lang w:val="sv-SE"/>
        </w:rPr>
        <w:footnoteRef/>
      </w:r>
      <w:r w:rsidR="008C4A8E" w:rsidRPr="0022781B">
        <w:rPr>
          <w:sz w:val="24"/>
          <w:lang w:val="sv-SE"/>
        </w:rPr>
        <w:t xml:space="preserve"> </w:t>
      </w:r>
      <w:r w:rsidR="008C4A8E" w:rsidRPr="0022781B">
        <w:rPr>
          <w:sz w:val="24"/>
          <w:lang w:val="sv-SE"/>
        </w:rPr>
        <w:tab/>
      </w:r>
      <w:r w:rsidRPr="0022781B">
        <w:rPr>
          <w:sz w:val="24"/>
          <w:lang w:val="sv-SE"/>
        </w:rPr>
        <w:t xml:space="preserve">EUT L 193, 30.7.2018, </w:t>
      </w:r>
      <w:r w:rsidR="004D57BC" w:rsidRPr="0022781B">
        <w:rPr>
          <w:sz w:val="24"/>
          <w:lang w:val="sv-SE"/>
        </w:rPr>
        <w:t>s</w:t>
      </w:r>
      <w:r w:rsidRPr="0022781B">
        <w:rPr>
          <w:sz w:val="24"/>
          <w:lang w:val="sv-SE"/>
        </w:rPr>
        <w:t xml:space="preserve">. 1, ELI: </w:t>
      </w:r>
      <w:hyperlink r:id="rId4" w:history="1">
        <w:r w:rsidRPr="0022781B">
          <w:rPr>
            <w:rStyle w:val="Hyperlink"/>
            <w:sz w:val="24"/>
            <w:lang w:val="sv-SE"/>
          </w:rPr>
          <w:t>http://data.europa.eu/eli/reg/2018/1046/oj</w:t>
        </w:r>
      </w:hyperlink>
      <w:r w:rsidRPr="0022781B">
        <w:rPr>
          <w:sz w:val="24"/>
          <w:lang w:val="sv-SE"/>
        </w:rPr>
        <w:t>.</w:t>
      </w:r>
    </w:p>
  </w:footnote>
  <w:footnote w:id="5">
    <w:p w14:paraId="2B9F22A1" w14:textId="1C78D60B" w:rsidR="00E86703" w:rsidRPr="0079281B" w:rsidRDefault="00E86703" w:rsidP="008C4A8E">
      <w:pPr>
        <w:pStyle w:val="FootnoteText"/>
        <w:ind w:left="567" w:hanging="567"/>
        <w:rPr>
          <w:sz w:val="24"/>
          <w:lang w:val="fi-FI"/>
        </w:rPr>
      </w:pPr>
      <w:r w:rsidRPr="008C4A8E">
        <w:rPr>
          <w:rStyle w:val="FootnoteReference"/>
          <w:sz w:val="24"/>
          <w:lang w:val="sv-SE"/>
        </w:rPr>
        <w:footnoteRef/>
      </w:r>
      <w:r w:rsidR="008C4A8E" w:rsidRPr="0079281B">
        <w:rPr>
          <w:sz w:val="24"/>
          <w:lang w:val="fi-FI"/>
        </w:rPr>
        <w:t xml:space="preserve"> </w:t>
      </w:r>
      <w:r w:rsidR="008C4A8E" w:rsidRPr="0079281B">
        <w:rPr>
          <w:sz w:val="24"/>
          <w:lang w:val="fi-FI"/>
        </w:rPr>
        <w:tab/>
      </w:r>
      <w:r w:rsidRPr="0079281B">
        <w:rPr>
          <w:sz w:val="24"/>
          <w:lang w:val="fi-FI"/>
        </w:rPr>
        <w:t xml:space="preserve">EUT L, 2024/2509, 26.9.2024, ELI: </w:t>
      </w:r>
      <w:hyperlink r:id="rId5" w:history="1">
        <w:r w:rsidRPr="0079281B">
          <w:rPr>
            <w:rStyle w:val="Hyperlink"/>
            <w:sz w:val="24"/>
            <w:lang w:val="fi-FI"/>
          </w:rPr>
          <w:t>http://data.europa.eu/eli/reg/2024/2509/oj</w:t>
        </w:r>
      </w:hyperlink>
      <w:r w:rsidRPr="0079281B">
        <w:rPr>
          <w:sz w:val="24"/>
          <w:lang w:val="fi-FI"/>
        </w:rPr>
        <w:t>.</w:t>
      </w:r>
    </w:p>
  </w:footnote>
  <w:footnote w:id="6">
    <w:p w14:paraId="13004D36" w14:textId="71319C13" w:rsidR="00E86703" w:rsidRPr="0079281B" w:rsidRDefault="00E86703" w:rsidP="008C4A8E">
      <w:pPr>
        <w:pStyle w:val="FootnoteText"/>
        <w:ind w:left="567" w:hanging="567"/>
        <w:rPr>
          <w:sz w:val="24"/>
          <w:lang w:val="fi-FI"/>
        </w:rPr>
      </w:pPr>
      <w:r w:rsidRPr="008C4A8E">
        <w:rPr>
          <w:rStyle w:val="FootnoteReference"/>
          <w:sz w:val="24"/>
          <w:lang w:val="sv-SE"/>
        </w:rPr>
        <w:footnoteRef/>
      </w:r>
      <w:r w:rsidR="008C4A8E" w:rsidRPr="0079281B">
        <w:rPr>
          <w:sz w:val="24"/>
          <w:lang w:val="fi-FI"/>
        </w:rPr>
        <w:t xml:space="preserve"> </w:t>
      </w:r>
      <w:r w:rsidR="008C4A8E" w:rsidRPr="0079281B">
        <w:rPr>
          <w:sz w:val="24"/>
          <w:lang w:val="fi-FI"/>
        </w:rPr>
        <w:tab/>
      </w:r>
      <w:r w:rsidRPr="0079281B">
        <w:rPr>
          <w:sz w:val="24"/>
          <w:lang w:val="fi-FI"/>
        </w:rPr>
        <w:t xml:space="preserve">EUT L 132, 29.5.2010, </w:t>
      </w:r>
      <w:r w:rsidR="004D57BC">
        <w:rPr>
          <w:sz w:val="24"/>
          <w:lang w:val="fi-FI"/>
        </w:rPr>
        <w:t>s</w:t>
      </w:r>
      <w:r w:rsidRPr="0079281B">
        <w:rPr>
          <w:sz w:val="24"/>
          <w:lang w:val="fi-FI"/>
        </w:rPr>
        <w:t xml:space="preserve">. 11, ELI: </w:t>
      </w:r>
      <w:hyperlink r:id="rId6" w:history="1">
        <w:r w:rsidRPr="0079281B">
          <w:rPr>
            <w:rStyle w:val="Hyperlink"/>
            <w:sz w:val="24"/>
            <w:lang w:val="fi-FI"/>
          </w:rPr>
          <w:t>http://data.europa.eu/eli/reg/2010/439/oj</w:t>
        </w:r>
      </w:hyperlink>
      <w:r w:rsidRPr="0079281B">
        <w:rPr>
          <w:sz w:val="24"/>
          <w:lang w:val="fi-FI"/>
        </w:rPr>
        <w:t>.</w:t>
      </w:r>
    </w:p>
  </w:footnote>
  <w:footnote w:id="7">
    <w:p w14:paraId="0D9ED87A" w14:textId="2A9337BD" w:rsidR="00E86703" w:rsidRPr="0079281B" w:rsidRDefault="00E86703" w:rsidP="008C4A8E">
      <w:pPr>
        <w:pStyle w:val="FootnoteText"/>
        <w:ind w:left="567" w:hanging="567"/>
        <w:rPr>
          <w:sz w:val="24"/>
          <w:lang w:val="fi-FI"/>
        </w:rPr>
      </w:pPr>
      <w:r w:rsidRPr="008C4A8E">
        <w:rPr>
          <w:rStyle w:val="FootnoteReference"/>
          <w:sz w:val="24"/>
          <w:lang w:val="sv-SE"/>
        </w:rPr>
        <w:footnoteRef/>
      </w:r>
      <w:r w:rsidR="008C4A8E" w:rsidRPr="0079281B">
        <w:rPr>
          <w:sz w:val="24"/>
          <w:lang w:val="fi-FI"/>
        </w:rPr>
        <w:t xml:space="preserve"> </w:t>
      </w:r>
      <w:r w:rsidR="008C4A8E" w:rsidRPr="0079281B">
        <w:rPr>
          <w:sz w:val="24"/>
          <w:lang w:val="fi-FI"/>
        </w:rPr>
        <w:tab/>
      </w:r>
      <w:r w:rsidRPr="0079281B">
        <w:rPr>
          <w:sz w:val="24"/>
          <w:lang w:val="fi-FI"/>
        </w:rPr>
        <w:t xml:space="preserve">EUT L 468, 30.12.2021, </w:t>
      </w:r>
      <w:r w:rsidR="004D57BC">
        <w:rPr>
          <w:sz w:val="24"/>
          <w:lang w:val="fi-FI"/>
        </w:rPr>
        <w:t>s</w:t>
      </w:r>
      <w:r w:rsidRPr="0079281B">
        <w:rPr>
          <w:sz w:val="24"/>
          <w:lang w:val="fi-FI"/>
        </w:rPr>
        <w:t xml:space="preserve">. 1, ELI: </w:t>
      </w:r>
      <w:hyperlink r:id="rId7" w:history="1">
        <w:r w:rsidRPr="0079281B">
          <w:rPr>
            <w:rStyle w:val="Hyperlink"/>
            <w:sz w:val="24"/>
            <w:lang w:val="fi-FI"/>
          </w:rPr>
          <w:t>http://data.europa.eu/eli/reg/2021/2303/oj</w:t>
        </w:r>
      </w:hyperlink>
      <w:r w:rsidRPr="0079281B">
        <w:rPr>
          <w:sz w:val="24"/>
          <w:lang w:val="fi-FI"/>
        </w:rPr>
        <w:t>.</w:t>
      </w:r>
    </w:p>
  </w:footnote>
  <w:footnote w:id="8">
    <w:p w14:paraId="21E37B37" w14:textId="564754AF" w:rsidR="00E86703" w:rsidRPr="0079281B" w:rsidRDefault="00E86703" w:rsidP="008C4A8E">
      <w:pPr>
        <w:pStyle w:val="FootnoteText"/>
        <w:ind w:left="567" w:hanging="567"/>
        <w:rPr>
          <w:sz w:val="24"/>
          <w:lang w:val="fi-FI"/>
        </w:rPr>
      </w:pPr>
      <w:r w:rsidRPr="008C4A8E">
        <w:rPr>
          <w:rStyle w:val="FootnoteReference"/>
          <w:sz w:val="24"/>
          <w:lang w:val="sv-SE"/>
        </w:rPr>
        <w:footnoteRef/>
      </w:r>
      <w:r w:rsidR="008C4A8E" w:rsidRPr="0079281B">
        <w:rPr>
          <w:sz w:val="24"/>
          <w:lang w:val="fi-FI"/>
        </w:rPr>
        <w:t xml:space="preserve"> </w:t>
      </w:r>
      <w:r w:rsidR="008C4A8E" w:rsidRPr="0079281B">
        <w:rPr>
          <w:sz w:val="24"/>
          <w:lang w:val="fi-FI"/>
        </w:rPr>
        <w:tab/>
      </w:r>
      <w:r w:rsidRPr="0079281B">
        <w:rPr>
          <w:sz w:val="24"/>
          <w:lang w:val="fi-FI"/>
        </w:rPr>
        <w:t xml:space="preserve">EUT L 122, 10.5.2019, s. 1, ELI: </w:t>
      </w:r>
      <w:hyperlink r:id="rId8" w:history="1">
        <w:r w:rsidRPr="0079281B">
          <w:rPr>
            <w:rStyle w:val="Hyperlink"/>
            <w:sz w:val="24"/>
            <w:lang w:val="fi-FI"/>
          </w:rPr>
          <w:t>http://data.europa.eu/eli/reg_del/2019/715/oj</w:t>
        </w:r>
      </w:hyperlink>
      <w:r w:rsidRPr="0079281B">
        <w:rPr>
          <w:sz w:val="24"/>
          <w:lang w:val="fi-FI"/>
        </w:rPr>
        <w:t>.</w:t>
      </w:r>
    </w:p>
  </w:footnote>
  <w:footnote w:id="9">
    <w:p w14:paraId="2EFABDFB" w14:textId="293888D0" w:rsidR="00E86703" w:rsidRPr="0079281B" w:rsidRDefault="00E86703" w:rsidP="008C4A8E">
      <w:pPr>
        <w:pStyle w:val="FootnoteText"/>
        <w:ind w:left="567" w:hanging="567"/>
        <w:rPr>
          <w:sz w:val="24"/>
          <w:lang w:val="fi-FI"/>
        </w:rPr>
      </w:pPr>
      <w:r w:rsidRPr="008C4A8E">
        <w:rPr>
          <w:rStyle w:val="FootnoteReference"/>
          <w:sz w:val="24"/>
          <w:lang w:val="sv-SE"/>
        </w:rPr>
        <w:footnoteRef/>
      </w:r>
      <w:r w:rsidR="008C4A8E" w:rsidRPr="0079281B">
        <w:rPr>
          <w:sz w:val="24"/>
          <w:lang w:val="fi-FI"/>
        </w:rPr>
        <w:t xml:space="preserve"> </w:t>
      </w:r>
      <w:r w:rsidR="008C4A8E" w:rsidRPr="0079281B">
        <w:rPr>
          <w:sz w:val="24"/>
          <w:lang w:val="fi-FI"/>
        </w:rPr>
        <w:tab/>
      </w:r>
      <w:r w:rsidRPr="0079281B">
        <w:rPr>
          <w:sz w:val="24"/>
          <w:lang w:val="fi-FI"/>
        </w:rPr>
        <w:t xml:space="preserve">EUT </w:t>
      </w:r>
      <w:r w:rsidR="00330B17">
        <w:rPr>
          <w:sz w:val="24"/>
          <w:lang w:val="fi-FI"/>
        </w:rPr>
        <w:t xml:space="preserve">C, </w:t>
      </w:r>
      <w:r w:rsidRPr="0079281B">
        <w:rPr>
          <w:sz w:val="24"/>
          <w:lang w:val="fi-FI"/>
        </w:rPr>
        <w:t xml:space="preserve">C/2024/6332, 24.10.2024, ELI: </w:t>
      </w:r>
      <w:hyperlink r:id="rId9" w:history="1">
        <w:r w:rsidRPr="0079281B">
          <w:rPr>
            <w:rStyle w:val="Hyperlink"/>
            <w:sz w:val="24"/>
            <w:lang w:val="fi-FI"/>
          </w:rPr>
          <w:t>http://data.europa.eu/eli/C/2024/6332/oj</w:t>
        </w:r>
      </w:hyperlink>
      <w:r w:rsidRPr="0079281B">
        <w:rPr>
          <w:sz w:val="24"/>
          <w:lang w:val="fi-FI"/>
        </w:rPr>
        <w:t>.</w:t>
      </w:r>
    </w:p>
  </w:footnote>
  <w:footnote w:id="10">
    <w:p w14:paraId="64570738" w14:textId="7CC716D9" w:rsidR="00E86703" w:rsidRPr="0079281B" w:rsidRDefault="00E86703" w:rsidP="008C4A8E">
      <w:pPr>
        <w:pStyle w:val="FootnoteText"/>
        <w:ind w:left="567" w:hanging="567"/>
        <w:rPr>
          <w:sz w:val="24"/>
          <w:lang w:val="fi-FI"/>
        </w:rPr>
      </w:pPr>
      <w:r w:rsidRPr="008C4A8E">
        <w:rPr>
          <w:rStyle w:val="FootnoteReference"/>
          <w:sz w:val="24"/>
          <w:lang w:val="sv-SE"/>
        </w:rPr>
        <w:footnoteRef/>
      </w:r>
      <w:r w:rsidR="008C4A8E" w:rsidRPr="0079281B">
        <w:rPr>
          <w:sz w:val="24"/>
          <w:lang w:val="fi-FI"/>
        </w:rPr>
        <w:t xml:space="preserve"> </w:t>
      </w:r>
      <w:r w:rsidR="008C4A8E" w:rsidRPr="0079281B">
        <w:rPr>
          <w:sz w:val="24"/>
          <w:lang w:val="fi-FI"/>
        </w:rPr>
        <w:tab/>
      </w:r>
      <w:r w:rsidRPr="0079281B">
        <w:rPr>
          <w:sz w:val="24"/>
          <w:lang w:val="fi-FI"/>
        </w:rPr>
        <w:t xml:space="preserve">EUT C, C/2024/6041, 10.10.2024, ELI: </w:t>
      </w:r>
      <w:hyperlink r:id="rId10" w:history="1">
        <w:r w:rsidRPr="0079281B">
          <w:rPr>
            <w:rStyle w:val="Hyperlink"/>
            <w:sz w:val="24"/>
            <w:lang w:val="fi-FI"/>
          </w:rPr>
          <w:t>http://data.europa.eu/eli/C/2024/6041/oj</w:t>
        </w:r>
      </w:hyperlink>
      <w:r w:rsidRPr="0079281B">
        <w:rPr>
          <w:sz w:val="24"/>
          <w:lang w:val="fi-FI"/>
        </w:rPr>
        <w:t>.</w:t>
      </w:r>
    </w:p>
  </w:footnote>
  <w:footnote w:id="11">
    <w:p w14:paraId="79BCE2A8" w14:textId="74E72804" w:rsidR="00E86703" w:rsidRPr="00C50864" w:rsidRDefault="00E86703" w:rsidP="008C4A8E">
      <w:pPr>
        <w:pStyle w:val="FootnoteText"/>
        <w:ind w:left="567" w:hanging="567"/>
        <w:rPr>
          <w:sz w:val="24"/>
          <w:lang w:val="fi-FI"/>
        </w:rPr>
      </w:pPr>
      <w:r w:rsidRPr="008C4A8E">
        <w:rPr>
          <w:rStyle w:val="FootnoteReference"/>
          <w:sz w:val="24"/>
          <w:lang w:val="sv-SE"/>
        </w:rPr>
        <w:footnoteRef/>
      </w:r>
      <w:r w:rsidR="008C4A8E" w:rsidRPr="00C50864">
        <w:rPr>
          <w:sz w:val="24"/>
          <w:lang w:val="fi-FI"/>
        </w:rPr>
        <w:t xml:space="preserve"> </w:t>
      </w:r>
      <w:r w:rsidR="008C4A8E" w:rsidRPr="00C50864">
        <w:rPr>
          <w:sz w:val="24"/>
          <w:lang w:val="fi-FI"/>
        </w:rPr>
        <w:tab/>
      </w:r>
      <w:r w:rsidR="009F224C">
        <w:rPr>
          <w:sz w:val="24"/>
          <w:lang w:val="fi-FI"/>
        </w:rPr>
        <w:t>EUT</w:t>
      </w:r>
      <w:r w:rsidR="009F224C" w:rsidRPr="009F224C">
        <w:rPr>
          <w:sz w:val="24"/>
          <w:lang w:val="fi-FI"/>
        </w:rPr>
        <w:t xml:space="preserve"> L, 2025/1663, 8.10.2025, ELI: </w:t>
      </w:r>
      <w:hyperlink r:id="rId11" w:history="1">
        <w:r w:rsidR="009F224C" w:rsidRPr="009F224C">
          <w:rPr>
            <w:rStyle w:val="Hyperlink"/>
            <w:sz w:val="24"/>
            <w:lang w:val="fi-FI"/>
          </w:rPr>
          <w:t>http://data.europa.eu/eli/dec/2025/1663/oj</w:t>
        </w:r>
      </w:hyperlink>
      <w:r w:rsidRPr="00C50864">
        <w:rPr>
          <w:sz w:val="24"/>
          <w:lang w:val="fi-FI"/>
        </w:rPr>
        <w:t>.</w:t>
      </w:r>
    </w:p>
  </w:footnote>
  <w:footnote w:id="12">
    <w:p w14:paraId="5E5035C6" w14:textId="7DB6A250" w:rsidR="00E86703" w:rsidRPr="00C50864" w:rsidRDefault="00E86703" w:rsidP="008C4A8E">
      <w:pPr>
        <w:pStyle w:val="FootnoteText"/>
        <w:ind w:left="567" w:hanging="567"/>
        <w:rPr>
          <w:sz w:val="24"/>
          <w:lang w:val="fi-FI"/>
        </w:rPr>
      </w:pPr>
      <w:r w:rsidRPr="008C4A8E">
        <w:rPr>
          <w:rStyle w:val="FootnoteReference"/>
          <w:sz w:val="24"/>
          <w:lang w:val="sv-SE"/>
        </w:rPr>
        <w:footnoteRef/>
      </w:r>
      <w:r w:rsidR="008C4A8E" w:rsidRPr="00C50864">
        <w:rPr>
          <w:sz w:val="24"/>
          <w:lang w:val="fi-FI"/>
        </w:rPr>
        <w:t xml:space="preserve"> </w:t>
      </w:r>
      <w:r w:rsidR="008C4A8E" w:rsidRPr="00C50864">
        <w:rPr>
          <w:sz w:val="24"/>
          <w:lang w:val="fi-FI"/>
        </w:rPr>
        <w:tab/>
      </w:r>
      <w:r w:rsidRPr="00C50864">
        <w:rPr>
          <w:sz w:val="24"/>
          <w:lang w:val="fi-FI"/>
        </w:rPr>
        <w:t xml:space="preserve">EUT L 193, 30.7.2018, </w:t>
      </w:r>
      <w:r w:rsidR="004D57BC" w:rsidRPr="00C50864">
        <w:rPr>
          <w:sz w:val="24"/>
          <w:lang w:val="fi-FI"/>
        </w:rPr>
        <w:t>s</w:t>
      </w:r>
      <w:r w:rsidRPr="00C50864">
        <w:rPr>
          <w:sz w:val="24"/>
          <w:lang w:val="fi-FI"/>
        </w:rPr>
        <w:t xml:space="preserve">. 1, ELI: </w:t>
      </w:r>
      <w:hyperlink r:id="rId12" w:history="1">
        <w:r w:rsidRPr="00C50864">
          <w:rPr>
            <w:rStyle w:val="Hyperlink"/>
            <w:sz w:val="24"/>
            <w:lang w:val="fi-FI"/>
          </w:rPr>
          <w:t>http://data.europa.eu/eli/reg/2018/1046/oj</w:t>
        </w:r>
      </w:hyperlink>
      <w:r w:rsidRPr="00C50864">
        <w:rPr>
          <w:sz w:val="24"/>
          <w:lang w:val="fi-FI"/>
        </w:rPr>
        <w:t>.</w:t>
      </w:r>
    </w:p>
  </w:footnote>
  <w:footnote w:id="13">
    <w:p w14:paraId="462BD8C0" w14:textId="78E56DB3" w:rsidR="00E86703" w:rsidRPr="0079281B" w:rsidRDefault="00E86703" w:rsidP="008C4A8E">
      <w:pPr>
        <w:pStyle w:val="FootnoteText"/>
        <w:ind w:left="567" w:hanging="567"/>
        <w:rPr>
          <w:sz w:val="24"/>
          <w:lang w:val="fi-FI"/>
        </w:rPr>
      </w:pPr>
      <w:r w:rsidRPr="008C4A8E">
        <w:rPr>
          <w:rStyle w:val="FootnoteReference"/>
          <w:sz w:val="24"/>
          <w:lang w:val="sv-SE"/>
        </w:rPr>
        <w:footnoteRef/>
      </w:r>
      <w:r w:rsidR="008C4A8E" w:rsidRPr="0079281B">
        <w:rPr>
          <w:sz w:val="24"/>
          <w:lang w:val="fi-FI"/>
        </w:rPr>
        <w:t xml:space="preserve"> </w:t>
      </w:r>
      <w:r w:rsidR="008C4A8E" w:rsidRPr="0079281B">
        <w:rPr>
          <w:sz w:val="24"/>
          <w:lang w:val="fi-FI"/>
        </w:rPr>
        <w:tab/>
      </w:r>
      <w:r w:rsidRPr="0079281B">
        <w:rPr>
          <w:sz w:val="24"/>
          <w:lang w:val="fi-FI"/>
        </w:rPr>
        <w:t xml:space="preserve">EUT L, 2024/2509, 26.9.2024, ELI: </w:t>
      </w:r>
      <w:hyperlink r:id="rId13" w:history="1">
        <w:r w:rsidRPr="0079281B">
          <w:rPr>
            <w:rStyle w:val="Hyperlink"/>
            <w:sz w:val="24"/>
            <w:lang w:val="fi-FI"/>
          </w:rPr>
          <w:t>http://data.europa.eu/eli/reg/2024/2509/oj</w:t>
        </w:r>
      </w:hyperlink>
      <w:r w:rsidRPr="0079281B">
        <w:rPr>
          <w:sz w:val="24"/>
          <w:lang w:val="fi-FI"/>
        </w:rPr>
        <w:t>.</w:t>
      </w:r>
    </w:p>
  </w:footnote>
  <w:footnote w:id="14">
    <w:p w14:paraId="1B272634" w14:textId="3EFD7539" w:rsidR="00E86703" w:rsidRPr="0079281B" w:rsidRDefault="00E86703" w:rsidP="008C4A8E">
      <w:pPr>
        <w:pStyle w:val="FootnoteText"/>
        <w:ind w:left="567" w:hanging="567"/>
        <w:rPr>
          <w:sz w:val="24"/>
          <w:lang w:val="fi-FI"/>
        </w:rPr>
      </w:pPr>
      <w:r w:rsidRPr="008C4A8E">
        <w:rPr>
          <w:rStyle w:val="FootnoteReference"/>
          <w:sz w:val="24"/>
          <w:lang w:val="sv-SE"/>
        </w:rPr>
        <w:footnoteRef/>
      </w:r>
      <w:r w:rsidR="008C4A8E" w:rsidRPr="0079281B">
        <w:rPr>
          <w:sz w:val="24"/>
          <w:lang w:val="fi-FI"/>
        </w:rPr>
        <w:t xml:space="preserve"> </w:t>
      </w:r>
      <w:r w:rsidR="008C4A8E" w:rsidRPr="0079281B">
        <w:rPr>
          <w:sz w:val="24"/>
          <w:lang w:val="fi-FI"/>
        </w:rPr>
        <w:tab/>
      </w:r>
      <w:r w:rsidRPr="0079281B">
        <w:rPr>
          <w:sz w:val="24"/>
          <w:lang w:val="fi-FI"/>
        </w:rPr>
        <w:t xml:space="preserve">EUT L 132, 29.5.2010, </w:t>
      </w:r>
      <w:r w:rsidR="004D57BC">
        <w:rPr>
          <w:sz w:val="24"/>
          <w:lang w:val="fi-FI"/>
        </w:rPr>
        <w:t>s</w:t>
      </w:r>
      <w:r w:rsidRPr="0079281B">
        <w:rPr>
          <w:sz w:val="24"/>
          <w:lang w:val="fi-FI"/>
        </w:rPr>
        <w:t xml:space="preserve">. 11, ELI: </w:t>
      </w:r>
      <w:hyperlink r:id="rId14" w:history="1">
        <w:r w:rsidRPr="0079281B">
          <w:rPr>
            <w:rStyle w:val="Hyperlink"/>
            <w:sz w:val="24"/>
            <w:lang w:val="fi-FI"/>
          </w:rPr>
          <w:t>http://data.europa.eu/eli/reg/2010/439/oj</w:t>
        </w:r>
      </w:hyperlink>
      <w:r w:rsidRPr="0079281B">
        <w:rPr>
          <w:sz w:val="24"/>
          <w:lang w:val="fi-FI"/>
        </w:rPr>
        <w:t>.</w:t>
      </w:r>
    </w:p>
  </w:footnote>
  <w:footnote w:id="15">
    <w:p w14:paraId="47F1544F" w14:textId="70751290" w:rsidR="00E86703" w:rsidRPr="0079281B" w:rsidRDefault="00E86703" w:rsidP="008C4A8E">
      <w:pPr>
        <w:pStyle w:val="FootnoteText"/>
        <w:ind w:left="567" w:hanging="567"/>
        <w:rPr>
          <w:sz w:val="24"/>
          <w:lang w:val="fi-FI"/>
        </w:rPr>
      </w:pPr>
      <w:r w:rsidRPr="008C4A8E">
        <w:rPr>
          <w:rStyle w:val="FootnoteReference"/>
          <w:sz w:val="24"/>
          <w:lang w:val="sv-SE"/>
        </w:rPr>
        <w:footnoteRef/>
      </w:r>
      <w:r w:rsidR="008C4A8E" w:rsidRPr="0079281B">
        <w:rPr>
          <w:sz w:val="24"/>
          <w:lang w:val="fi-FI"/>
        </w:rPr>
        <w:t xml:space="preserve"> </w:t>
      </w:r>
      <w:r w:rsidR="008C4A8E" w:rsidRPr="0079281B">
        <w:rPr>
          <w:sz w:val="24"/>
          <w:lang w:val="fi-FI"/>
        </w:rPr>
        <w:tab/>
      </w:r>
      <w:r w:rsidRPr="0079281B">
        <w:rPr>
          <w:sz w:val="24"/>
          <w:lang w:val="fi-FI"/>
        </w:rPr>
        <w:t xml:space="preserve">EUT L 468, 30.12.2021, </w:t>
      </w:r>
      <w:r w:rsidR="004D57BC">
        <w:rPr>
          <w:sz w:val="24"/>
          <w:lang w:val="fi-FI"/>
        </w:rPr>
        <w:t>s</w:t>
      </w:r>
      <w:r w:rsidRPr="0079281B">
        <w:rPr>
          <w:sz w:val="24"/>
          <w:lang w:val="fi-FI"/>
        </w:rPr>
        <w:t xml:space="preserve">. 1, ELI: </w:t>
      </w:r>
      <w:hyperlink r:id="rId15" w:history="1">
        <w:r w:rsidRPr="0079281B">
          <w:rPr>
            <w:rStyle w:val="Hyperlink"/>
            <w:sz w:val="24"/>
            <w:lang w:val="fi-FI"/>
          </w:rPr>
          <w:t>http://data.europa.eu/eli/reg/2021/2303/oj</w:t>
        </w:r>
      </w:hyperlink>
      <w:r w:rsidRPr="0079281B">
        <w:rPr>
          <w:sz w:val="24"/>
          <w:lang w:val="fi-FI"/>
        </w:rPr>
        <w:t>.</w:t>
      </w:r>
    </w:p>
  </w:footnote>
  <w:footnote w:id="16">
    <w:p w14:paraId="103C361D" w14:textId="2E3D7DE8" w:rsidR="00E86703" w:rsidRPr="0079281B" w:rsidRDefault="00E86703" w:rsidP="008C4A8E">
      <w:pPr>
        <w:pStyle w:val="FootnoteText"/>
        <w:ind w:left="567" w:hanging="567"/>
        <w:rPr>
          <w:sz w:val="24"/>
          <w:lang w:val="fi-FI"/>
        </w:rPr>
      </w:pPr>
      <w:r w:rsidRPr="008C4A8E">
        <w:rPr>
          <w:rStyle w:val="FootnoteReference"/>
          <w:sz w:val="24"/>
          <w:lang w:val="sv-SE"/>
        </w:rPr>
        <w:footnoteRef/>
      </w:r>
      <w:r w:rsidR="008C4A8E" w:rsidRPr="0079281B">
        <w:rPr>
          <w:sz w:val="24"/>
          <w:lang w:val="fi-FI"/>
        </w:rPr>
        <w:t xml:space="preserve"> </w:t>
      </w:r>
      <w:r w:rsidR="008C4A8E" w:rsidRPr="0079281B">
        <w:rPr>
          <w:sz w:val="24"/>
          <w:lang w:val="fi-FI"/>
        </w:rPr>
        <w:tab/>
      </w:r>
      <w:r w:rsidRPr="0079281B">
        <w:rPr>
          <w:sz w:val="24"/>
          <w:lang w:val="fi-FI"/>
        </w:rPr>
        <w:t xml:space="preserve">EUT L 122, 10.5.2019, s. 1, ELI: </w:t>
      </w:r>
      <w:hyperlink r:id="rId16" w:history="1">
        <w:r w:rsidRPr="0079281B">
          <w:rPr>
            <w:rStyle w:val="Hyperlink"/>
            <w:sz w:val="24"/>
            <w:lang w:val="fi-FI"/>
          </w:rPr>
          <w:t>http://data.europa.eu/eli/reg_del/2019/715/oj</w:t>
        </w:r>
      </w:hyperlink>
      <w:r w:rsidRPr="0079281B">
        <w:rPr>
          <w:sz w:val="24"/>
          <w:lang w:val="fi-FI"/>
        </w:rPr>
        <w:t>.</w:t>
      </w:r>
    </w:p>
  </w:footnote>
  <w:footnote w:id="17">
    <w:p w14:paraId="5CC7921F" w14:textId="56C796D5" w:rsidR="0022781B" w:rsidRPr="0022781B" w:rsidRDefault="0022781B" w:rsidP="0022781B">
      <w:pPr>
        <w:pStyle w:val="FootnoteText"/>
        <w:ind w:left="567" w:hanging="567"/>
        <w:rPr>
          <w:lang w:val="sv-SE"/>
        </w:rPr>
      </w:pPr>
      <w:r w:rsidRPr="0022781B">
        <w:rPr>
          <w:rStyle w:val="FootnoteReference"/>
        </w:rPr>
        <w:footnoteRef/>
      </w:r>
      <w:r w:rsidRPr="0022781B">
        <w:rPr>
          <w:lang w:val="sv-SE"/>
        </w:rPr>
        <w:t xml:space="preserve"> </w:t>
      </w:r>
      <w:r w:rsidRPr="0022781B">
        <w:rPr>
          <w:lang w:val="sv-SE"/>
        </w:rPr>
        <w:tab/>
        <w:t>Europaparlamentets och rådets förordning (EU) 2021/2303 av den 15 december 2021 om Europeiska unionens asylbyrå och om upphävande av förordning (EU) nr 439/2010(</w:t>
      </w:r>
      <w:r w:rsidRPr="0022781B">
        <w:rPr>
          <w:sz w:val="24"/>
          <w:lang w:val="sv-SE"/>
        </w:rPr>
        <w:t xml:space="preserve">EUT L 468, 30.12.2021, s. 1, ELI: </w:t>
      </w:r>
      <w:hyperlink r:id="rId17" w:history="1">
        <w:r w:rsidRPr="0022781B">
          <w:rPr>
            <w:rStyle w:val="Hyperlink"/>
            <w:sz w:val="24"/>
            <w:lang w:val="sv-SE"/>
          </w:rPr>
          <w:t>http://data.europa.eu/eli/reg/2021/2303/oj</w:t>
        </w:r>
      </w:hyperlink>
      <w:r w:rsidRPr="0022781B">
        <w:rPr>
          <w:rStyle w:val="Hyperlink"/>
          <w:color w:val="auto"/>
          <w:sz w:val="24"/>
          <w:lang w:val="sv-SE"/>
        </w:rPr>
        <w:t>)</w:t>
      </w:r>
      <w:r w:rsidRPr="00D715D8">
        <w:rPr>
          <w:rStyle w:val="Hyperlink"/>
          <w:color w:val="auto"/>
          <w:sz w:val="24"/>
          <w:u w:val="none"/>
          <w:lang w:val="sv-SE"/>
        </w:rPr>
        <w:t>.</w:t>
      </w:r>
    </w:p>
  </w:footnote>
  <w:footnote w:id="18">
    <w:p w14:paraId="70F4C116" w14:textId="2BF95CD0" w:rsidR="00E86703" w:rsidRPr="000024C5" w:rsidRDefault="00E86703" w:rsidP="008C4A8E">
      <w:pPr>
        <w:pStyle w:val="FootnoteText"/>
        <w:ind w:left="567" w:hanging="567"/>
        <w:rPr>
          <w:sz w:val="24"/>
          <w:lang w:val="fi-FI"/>
        </w:rPr>
      </w:pPr>
      <w:r w:rsidRPr="008C4A8E">
        <w:rPr>
          <w:rStyle w:val="FootnoteReference"/>
          <w:sz w:val="24"/>
          <w:lang w:val="sv-SE"/>
        </w:rPr>
        <w:footnoteRef/>
      </w:r>
      <w:r w:rsidR="008C4A8E" w:rsidRPr="000024C5">
        <w:rPr>
          <w:sz w:val="24"/>
          <w:lang w:val="fi-FI"/>
        </w:rPr>
        <w:t xml:space="preserve"> </w:t>
      </w:r>
      <w:r w:rsidR="008C4A8E" w:rsidRPr="000024C5">
        <w:rPr>
          <w:sz w:val="24"/>
          <w:lang w:val="fi-FI"/>
        </w:rPr>
        <w:tab/>
      </w:r>
      <w:r w:rsidR="000024C5">
        <w:rPr>
          <w:sz w:val="24"/>
          <w:lang w:val="fi-FI"/>
        </w:rPr>
        <w:t>EUT</w:t>
      </w:r>
      <w:r w:rsidR="000024C5" w:rsidRPr="000024C5">
        <w:rPr>
          <w:sz w:val="24"/>
          <w:lang w:val="fi-FI"/>
        </w:rPr>
        <w:t xml:space="preserve"> L, 2025/1681, 8.10.2025, ELI: </w:t>
      </w:r>
      <w:hyperlink r:id="rId18" w:history="1">
        <w:r w:rsidR="000024C5" w:rsidRPr="000024C5">
          <w:rPr>
            <w:rStyle w:val="Hyperlink"/>
            <w:sz w:val="24"/>
            <w:lang w:val="fi-FI"/>
          </w:rPr>
          <w:t>http://data.europa.eu/eli/res/2025/1681/oj</w:t>
        </w:r>
      </w:hyperlink>
      <w:r w:rsidRPr="000024C5">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B9A59" w14:textId="77777777" w:rsidR="008C4A8E" w:rsidRPr="008C4A8E" w:rsidRDefault="008C4A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BF888" w14:textId="77777777" w:rsidR="008C4A8E" w:rsidRPr="008C4A8E" w:rsidRDefault="008C4A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47DC5" w14:textId="77777777" w:rsidR="008C4A8E" w:rsidRPr="008C4A8E" w:rsidRDefault="008C4A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70724" w14:textId="77777777" w:rsidR="00064002" w:rsidRPr="008C4A8E"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53CB8" w14:textId="77777777" w:rsidR="00064002" w:rsidRPr="008C4A8E"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1C661" w14:textId="77777777" w:rsidR="00064002" w:rsidRPr="008C4A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9130380">
    <w:abstractNumId w:val="9"/>
  </w:num>
  <w:num w:numId="2" w16cid:durableId="811365490">
    <w:abstractNumId w:val="9"/>
  </w:num>
  <w:num w:numId="3" w16cid:durableId="1613201160">
    <w:abstractNumId w:val="7"/>
  </w:num>
  <w:num w:numId="4" w16cid:durableId="388846752">
    <w:abstractNumId w:val="7"/>
  </w:num>
  <w:num w:numId="5" w16cid:durableId="235745243">
    <w:abstractNumId w:val="6"/>
  </w:num>
  <w:num w:numId="6" w16cid:durableId="754714914">
    <w:abstractNumId w:val="6"/>
  </w:num>
  <w:num w:numId="7" w16cid:durableId="228081085">
    <w:abstractNumId w:val="5"/>
  </w:num>
  <w:num w:numId="8" w16cid:durableId="1867713308">
    <w:abstractNumId w:val="5"/>
  </w:num>
  <w:num w:numId="9" w16cid:durableId="814570044">
    <w:abstractNumId w:val="4"/>
  </w:num>
  <w:num w:numId="10" w16cid:durableId="2012902348">
    <w:abstractNumId w:val="4"/>
  </w:num>
  <w:num w:numId="11" w16cid:durableId="1188834067">
    <w:abstractNumId w:val="8"/>
  </w:num>
  <w:num w:numId="12" w16cid:durableId="632253760">
    <w:abstractNumId w:val="8"/>
  </w:num>
  <w:num w:numId="13" w16cid:durableId="1714040441">
    <w:abstractNumId w:val="3"/>
  </w:num>
  <w:num w:numId="14" w16cid:durableId="1311249803">
    <w:abstractNumId w:val="3"/>
  </w:num>
  <w:num w:numId="15" w16cid:durableId="1307079037">
    <w:abstractNumId w:val="2"/>
  </w:num>
  <w:num w:numId="16" w16cid:durableId="1240290821">
    <w:abstractNumId w:val="2"/>
  </w:num>
  <w:num w:numId="17" w16cid:durableId="500242626">
    <w:abstractNumId w:val="1"/>
  </w:num>
  <w:num w:numId="18" w16cid:durableId="1723092959">
    <w:abstractNumId w:val="1"/>
  </w:num>
  <w:num w:numId="19" w16cid:durableId="93015527">
    <w:abstractNumId w:val="0"/>
  </w:num>
  <w:num w:numId="20" w16cid:durableId="1911111146">
    <w:abstractNumId w:val="0"/>
  </w:num>
  <w:num w:numId="21" w16cid:durableId="1507553044">
    <w:abstractNumId w:val="9"/>
  </w:num>
  <w:num w:numId="22" w16cid:durableId="1517689240">
    <w:abstractNumId w:val="7"/>
  </w:num>
  <w:num w:numId="23" w16cid:durableId="2143185281">
    <w:abstractNumId w:val="6"/>
  </w:num>
  <w:num w:numId="24" w16cid:durableId="724137007">
    <w:abstractNumId w:val="5"/>
  </w:num>
  <w:num w:numId="25" w16cid:durableId="842278359">
    <w:abstractNumId w:val="4"/>
  </w:num>
  <w:num w:numId="26" w16cid:durableId="1651976452">
    <w:abstractNumId w:val="8"/>
  </w:num>
  <w:num w:numId="27" w16cid:durableId="1201284045">
    <w:abstractNumId w:val="3"/>
  </w:num>
  <w:num w:numId="28" w16cid:durableId="236984996">
    <w:abstractNumId w:val="2"/>
  </w:num>
  <w:num w:numId="29" w16cid:durableId="137040255">
    <w:abstractNumId w:val="1"/>
  </w:num>
  <w:num w:numId="30" w16cid:durableId="1790077864">
    <w:abstractNumId w:val="0"/>
  </w:num>
  <w:num w:numId="31" w16cid:durableId="983579722">
    <w:abstractNumId w:val="9"/>
  </w:num>
  <w:num w:numId="32" w16cid:durableId="1803111085">
    <w:abstractNumId w:val="7"/>
  </w:num>
  <w:num w:numId="33" w16cid:durableId="1384907906">
    <w:abstractNumId w:val="6"/>
  </w:num>
  <w:num w:numId="34" w16cid:durableId="1379931782">
    <w:abstractNumId w:val="5"/>
  </w:num>
  <w:num w:numId="35" w16cid:durableId="1415123188">
    <w:abstractNumId w:val="4"/>
  </w:num>
  <w:num w:numId="36" w16cid:durableId="225452558">
    <w:abstractNumId w:val="8"/>
  </w:num>
  <w:num w:numId="37" w16cid:durableId="983583648">
    <w:abstractNumId w:val="3"/>
  </w:num>
  <w:num w:numId="38" w16cid:durableId="1615139875">
    <w:abstractNumId w:val="2"/>
  </w:num>
  <w:num w:numId="39" w16cid:durableId="450131284">
    <w:abstractNumId w:val="1"/>
  </w:num>
  <w:num w:numId="40" w16cid:durableId="497382697">
    <w:abstractNumId w:val="0"/>
  </w:num>
  <w:num w:numId="41" w16cid:durableId="2027976666">
    <w:abstractNumId w:val="10"/>
  </w:num>
  <w:num w:numId="42" w16cid:durableId="177429813">
    <w:abstractNumId w:val="10"/>
  </w:num>
  <w:num w:numId="43" w16cid:durableId="1983997890">
    <w:abstractNumId w:val="10"/>
  </w:num>
  <w:num w:numId="44" w16cid:durableId="246018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SV"/>
    <w:docVar w:name="dvnumam" w:val="0"/>
    <w:docVar w:name="dvpe" w:val="774.259"/>
    <w:docVar w:name="dvrapporteur" w:val="Föredragande: "/>
    <w:docVar w:name="dvtitre" w:val="Europaparlamentets beslut av den xx xx 2025 om ansvarsfrihet för genomförandet av budgeten för Europeiska unionens byråer för budgetåret 2023(2024/2030(DEC))"/>
  </w:docVars>
  <w:rsids>
    <w:rsidRoot w:val="003F63F4"/>
    <w:rsid w:val="00002272"/>
    <w:rsid w:val="000024C5"/>
    <w:rsid w:val="00064002"/>
    <w:rsid w:val="000677B9"/>
    <w:rsid w:val="000831BA"/>
    <w:rsid w:val="000A42CC"/>
    <w:rsid w:val="000E7DD9"/>
    <w:rsid w:val="000F6C76"/>
    <w:rsid w:val="0010095E"/>
    <w:rsid w:val="00125B37"/>
    <w:rsid w:val="00187494"/>
    <w:rsid w:val="001E3005"/>
    <w:rsid w:val="001F32AE"/>
    <w:rsid w:val="00225A4E"/>
    <w:rsid w:val="0022781B"/>
    <w:rsid w:val="002767FF"/>
    <w:rsid w:val="002B18FE"/>
    <w:rsid w:val="002B5493"/>
    <w:rsid w:val="00330B17"/>
    <w:rsid w:val="00343214"/>
    <w:rsid w:val="00361C00"/>
    <w:rsid w:val="00395FA1"/>
    <w:rsid w:val="003E15D4"/>
    <w:rsid w:val="003F63F4"/>
    <w:rsid w:val="00411CCE"/>
    <w:rsid w:val="0041666E"/>
    <w:rsid w:val="00421060"/>
    <w:rsid w:val="004619EA"/>
    <w:rsid w:val="00471C19"/>
    <w:rsid w:val="004867E3"/>
    <w:rsid w:val="00494A28"/>
    <w:rsid w:val="004C0004"/>
    <w:rsid w:val="004C5D52"/>
    <w:rsid w:val="004D57BC"/>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38D9"/>
    <w:rsid w:val="00786EC0"/>
    <w:rsid w:val="0079281B"/>
    <w:rsid w:val="007D0369"/>
    <w:rsid w:val="007D1690"/>
    <w:rsid w:val="007E22AD"/>
    <w:rsid w:val="00817416"/>
    <w:rsid w:val="00842779"/>
    <w:rsid w:val="00865F67"/>
    <w:rsid w:val="00881A7B"/>
    <w:rsid w:val="008840E5"/>
    <w:rsid w:val="00887B3E"/>
    <w:rsid w:val="008C2AC6"/>
    <w:rsid w:val="008C4A8E"/>
    <w:rsid w:val="00930C23"/>
    <w:rsid w:val="0093193B"/>
    <w:rsid w:val="009509D8"/>
    <w:rsid w:val="00950B64"/>
    <w:rsid w:val="00981893"/>
    <w:rsid w:val="009F224C"/>
    <w:rsid w:val="00A1687D"/>
    <w:rsid w:val="00A43E52"/>
    <w:rsid w:val="00A4678D"/>
    <w:rsid w:val="00A778C7"/>
    <w:rsid w:val="00AB441E"/>
    <w:rsid w:val="00AB6293"/>
    <w:rsid w:val="00AE0928"/>
    <w:rsid w:val="00AF3B82"/>
    <w:rsid w:val="00B12E95"/>
    <w:rsid w:val="00B22876"/>
    <w:rsid w:val="00B41AE5"/>
    <w:rsid w:val="00B558F0"/>
    <w:rsid w:val="00BD48FE"/>
    <w:rsid w:val="00BD7BD8"/>
    <w:rsid w:val="00BE1B25"/>
    <w:rsid w:val="00BE6ADC"/>
    <w:rsid w:val="00C05BFE"/>
    <w:rsid w:val="00C23CD4"/>
    <w:rsid w:val="00C50864"/>
    <w:rsid w:val="00C61C0C"/>
    <w:rsid w:val="00C941CB"/>
    <w:rsid w:val="00CB40AB"/>
    <w:rsid w:val="00CC2357"/>
    <w:rsid w:val="00CF071A"/>
    <w:rsid w:val="00D058B8"/>
    <w:rsid w:val="00D56C11"/>
    <w:rsid w:val="00D715D8"/>
    <w:rsid w:val="00D834A0"/>
    <w:rsid w:val="00D872DF"/>
    <w:rsid w:val="00D91E21"/>
    <w:rsid w:val="00DA7FCD"/>
    <w:rsid w:val="00DB6693"/>
    <w:rsid w:val="00DC7744"/>
    <w:rsid w:val="00DD0F2A"/>
    <w:rsid w:val="00E150CD"/>
    <w:rsid w:val="00E365E1"/>
    <w:rsid w:val="00E820A4"/>
    <w:rsid w:val="00E86703"/>
    <w:rsid w:val="00EB006A"/>
    <w:rsid w:val="00EB4772"/>
    <w:rsid w:val="00ED169E"/>
    <w:rsid w:val="00ED4235"/>
    <w:rsid w:val="00F04346"/>
    <w:rsid w:val="00F075DC"/>
    <w:rsid w:val="00F149E9"/>
    <w:rsid w:val="00F2797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35B55C"/>
  <w15:chartTrackingRefBased/>
  <w15:docId w15:val="{73D02A8C-FB44-41B7-BB63-0CEBA8654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8670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86703"/>
    <w:pPr>
      <w:spacing w:before="480" w:after="240"/>
    </w:pPr>
  </w:style>
  <w:style w:type="paragraph" w:customStyle="1" w:styleId="PageHeading">
    <w:name w:val="PageHeading"/>
    <w:basedOn w:val="Normal"/>
    <w:link w:val="PageHeadingChar"/>
    <w:rsid w:val="00E86703"/>
    <w:pPr>
      <w:keepNext/>
      <w:spacing w:after="480"/>
      <w:jc w:val="center"/>
    </w:pPr>
    <w:rPr>
      <w:rFonts w:ascii="Arial" w:hAnsi="Arial" w:cs="Arial"/>
      <w:b/>
    </w:rPr>
  </w:style>
  <w:style w:type="paragraph" w:customStyle="1" w:styleId="NormalBold">
    <w:name w:val="NormalBold"/>
    <w:basedOn w:val="Normal"/>
    <w:rsid w:val="00E86703"/>
    <w:rPr>
      <w:b/>
    </w:rPr>
  </w:style>
  <w:style w:type="paragraph" w:customStyle="1" w:styleId="NormalHanging12a">
    <w:name w:val="NormalHanging12a"/>
    <w:basedOn w:val="Normal"/>
    <w:link w:val="NormalHanging12aChar"/>
    <w:rsid w:val="00E86703"/>
    <w:pPr>
      <w:spacing w:after="240"/>
      <w:ind w:left="567" w:hanging="567"/>
    </w:pPr>
  </w:style>
  <w:style w:type="paragraph" w:customStyle="1" w:styleId="EPFooter">
    <w:name w:val="EPFooter"/>
    <w:basedOn w:val="Normal"/>
    <w:rsid w:val="00E8670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E86703"/>
    <w:rPr>
      <w:sz w:val="24"/>
      <w:lang w:val="sv-SE"/>
    </w:rPr>
  </w:style>
  <w:style w:type="paragraph" w:customStyle="1" w:styleId="PageHeadingDec">
    <w:name w:val="PageHeadingDec"/>
    <w:basedOn w:val="PageHeading"/>
    <w:link w:val="PageHeadingDecChar"/>
    <w:qFormat/>
    <w:rsid w:val="00E86703"/>
  </w:style>
  <w:style w:type="character" w:customStyle="1" w:styleId="PageHeadingChar">
    <w:name w:val="PageHeading Char"/>
    <w:basedOn w:val="DefaultParagraphFont"/>
    <w:link w:val="PageHeading"/>
    <w:rsid w:val="00E86703"/>
    <w:rPr>
      <w:rFonts w:ascii="Arial" w:hAnsi="Arial" w:cs="Arial"/>
      <w:b/>
      <w:sz w:val="24"/>
      <w:lang w:val="sv-SE"/>
    </w:rPr>
  </w:style>
  <w:style w:type="character" w:customStyle="1" w:styleId="PageHeadingDecChar">
    <w:name w:val="PageHeadingDec Char"/>
    <w:basedOn w:val="PageHeadingChar"/>
    <w:link w:val="PageHeadingDec"/>
    <w:rsid w:val="00E86703"/>
    <w:rPr>
      <w:rFonts w:ascii="Arial" w:hAnsi="Arial" w:cs="Arial"/>
      <w:b/>
      <w:sz w:val="24"/>
      <w:lang w:val="sv-SE"/>
    </w:rPr>
  </w:style>
  <w:style w:type="paragraph" w:customStyle="1" w:styleId="PageHeadingNotTOC">
    <w:name w:val="PageHeadingNotTOC"/>
    <w:basedOn w:val="Normal"/>
    <w:rsid w:val="00E86703"/>
    <w:pPr>
      <w:keepNext/>
      <w:spacing w:after="480"/>
      <w:jc w:val="center"/>
    </w:pPr>
    <w:rPr>
      <w:rFonts w:ascii="Arial" w:hAnsi="Arial" w:cs="Arial"/>
      <w:b/>
    </w:rPr>
  </w:style>
  <w:style w:type="paragraph" w:styleId="Footer">
    <w:name w:val="footer"/>
    <w:basedOn w:val="Normal"/>
    <w:link w:val="FooterChar"/>
    <w:uiPriority w:val="99"/>
    <w:rsid w:val="00E86703"/>
    <w:pPr>
      <w:tabs>
        <w:tab w:val="center" w:pos="4513"/>
        <w:tab w:val="right" w:pos="9026"/>
      </w:tabs>
    </w:pPr>
  </w:style>
  <w:style w:type="character" w:customStyle="1" w:styleId="FooterChar">
    <w:name w:val="Footer Char"/>
    <w:basedOn w:val="DefaultParagraphFont"/>
    <w:link w:val="Footer"/>
    <w:uiPriority w:val="99"/>
    <w:rsid w:val="00E86703"/>
    <w:rPr>
      <w:sz w:val="24"/>
      <w:lang w:val="sv-SE"/>
    </w:rPr>
  </w:style>
  <w:style w:type="character" w:styleId="Hyperlink">
    <w:name w:val="Hyperlink"/>
    <w:basedOn w:val="DefaultParagraphFont"/>
    <w:uiPriority w:val="99"/>
    <w:rsid w:val="00E86703"/>
    <w:rPr>
      <w:color w:val="0563C1" w:themeColor="hyperlink"/>
      <w:u w:val="single"/>
    </w:rPr>
  </w:style>
  <w:style w:type="paragraph" w:customStyle="1" w:styleId="CM1">
    <w:name w:val="CM1"/>
    <w:basedOn w:val="Normal"/>
    <w:next w:val="Normal"/>
    <w:rsid w:val="00E86703"/>
    <w:pPr>
      <w:widowControl/>
      <w:autoSpaceDE w:val="0"/>
      <w:autoSpaceDN w:val="0"/>
      <w:adjustRightInd w:val="0"/>
    </w:pPr>
    <w:rPr>
      <w:rFonts w:ascii="EUAlbertina" w:hAnsi="EUAlbertina"/>
      <w:szCs w:val="24"/>
    </w:rPr>
  </w:style>
  <w:style w:type="paragraph" w:customStyle="1" w:styleId="Normal24a">
    <w:name w:val="Normal24a"/>
    <w:basedOn w:val="Normal"/>
    <w:rsid w:val="00E86703"/>
    <w:pPr>
      <w:spacing w:after="480"/>
    </w:pPr>
  </w:style>
  <w:style w:type="paragraph" w:customStyle="1" w:styleId="NormalBoldCenter">
    <w:name w:val="NormalBoldCenter"/>
    <w:basedOn w:val="Normal"/>
    <w:rsid w:val="00E86703"/>
    <w:pPr>
      <w:jc w:val="center"/>
    </w:pPr>
    <w:rPr>
      <w:b/>
    </w:rPr>
  </w:style>
  <w:style w:type="paragraph" w:customStyle="1" w:styleId="Footprint12b">
    <w:name w:val="Footprint12b"/>
    <w:basedOn w:val="Normal"/>
    <w:rsid w:val="00E86703"/>
    <w:pPr>
      <w:spacing w:before="240"/>
    </w:pPr>
    <w:rPr>
      <w:szCs w:val="24"/>
    </w:rPr>
  </w:style>
  <w:style w:type="paragraph" w:customStyle="1" w:styleId="NormalSingle">
    <w:name w:val="NormalSingle"/>
    <w:basedOn w:val="Normal"/>
    <w:qFormat/>
    <w:rsid w:val="00E86703"/>
    <w:rPr>
      <w:szCs w:val="24"/>
    </w:rPr>
  </w:style>
  <w:style w:type="paragraph" w:customStyle="1" w:styleId="Normal12a">
    <w:name w:val="Normal12a"/>
    <w:basedOn w:val="Normal"/>
    <w:rsid w:val="00E86703"/>
    <w:pPr>
      <w:spacing w:after="240"/>
    </w:pPr>
  </w:style>
  <w:style w:type="paragraph" w:customStyle="1" w:styleId="RollCallVotes">
    <w:name w:val="RollCallVotes"/>
    <w:basedOn w:val="Normal"/>
    <w:rsid w:val="00E86703"/>
    <w:pPr>
      <w:spacing w:before="120" w:after="120"/>
      <w:jc w:val="center"/>
    </w:pPr>
    <w:rPr>
      <w:b/>
      <w:bCs/>
      <w:snapToGrid w:val="0"/>
      <w:sz w:val="16"/>
      <w:lang w:eastAsia="en-US"/>
    </w:rPr>
  </w:style>
  <w:style w:type="paragraph" w:customStyle="1" w:styleId="RollCallTabs">
    <w:name w:val="RollCallTabs"/>
    <w:basedOn w:val="Normal"/>
    <w:qFormat/>
    <w:rsid w:val="00E86703"/>
    <w:pPr>
      <w:tabs>
        <w:tab w:val="center" w:pos="284"/>
        <w:tab w:val="left" w:pos="426"/>
      </w:tabs>
    </w:pPr>
    <w:rPr>
      <w:snapToGrid w:val="0"/>
      <w:lang w:eastAsia="en-US"/>
    </w:rPr>
  </w:style>
  <w:style w:type="paragraph" w:customStyle="1" w:styleId="RollCallSymbols14pt">
    <w:name w:val="RollCallSymbols14pt"/>
    <w:basedOn w:val="Normal"/>
    <w:rsid w:val="00E86703"/>
    <w:pPr>
      <w:spacing w:before="120" w:after="120"/>
      <w:jc w:val="center"/>
    </w:pPr>
    <w:rPr>
      <w:rFonts w:ascii="Arial" w:hAnsi="Arial"/>
      <w:b/>
      <w:bCs/>
      <w:snapToGrid w:val="0"/>
      <w:sz w:val="28"/>
      <w:lang w:eastAsia="en-US"/>
    </w:rPr>
  </w:style>
  <w:style w:type="paragraph" w:customStyle="1" w:styleId="RollCallTable">
    <w:name w:val="RollCallTable"/>
    <w:basedOn w:val="Normal"/>
    <w:rsid w:val="00E86703"/>
    <w:pPr>
      <w:spacing w:before="120" w:after="120"/>
    </w:pPr>
    <w:rPr>
      <w:snapToGrid w:val="0"/>
      <w:sz w:val="16"/>
      <w:lang w:eastAsia="en-US"/>
    </w:rPr>
  </w:style>
  <w:style w:type="paragraph" w:styleId="Header">
    <w:name w:val="header"/>
    <w:basedOn w:val="Normal"/>
    <w:link w:val="HeaderChar"/>
    <w:rsid w:val="008C4A8E"/>
    <w:pPr>
      <w:tabs>
        <w:tab w:val="center" w:pos="4513"/>
        <w:tab w:val="right" w:pos="9026"/>
      </w:tabs>
    </w:pPr>
  </w:style>
  <w:style w:type="character" w:customStyle="1" w:styleId="HeaderChar">
    <w:name w:val="Header Char"/>
    <w:basedOn w:val="DefaultParagraphFont"/>
    <w:link w:val="Header"/>
    <w:rsid w:val="008C4A8E"/>
    <w:rPr>
      <w:sz w:val="24"/>
      <w:lang w:val="sv-SE"/>
    </w:rPr>
  </w:style>
  <w:style w:type="paragraph" w:styleId="Revision">
    <w:name w:val="Revision"/>
    <w:hidden/>
    <w:uiPriority w:val="99"/>
    <w:semiHidden/>
    <w:rsid w:val="0079281B"/>
    <w:rPr>
      <w:sz w:val="24"/>
      <w:lang w:val="sv-SE"/>
    </w:rPr>
  </w:style>
  <w:style w:type="character" w:customStyle="1" w:styleId="citation-88">
    <w:name w:val="citation-88"/>
    <w:basedOn w:val="DefaultParagraphFont"/>
    <w:rsid w:val="0022781B"/>
  </w:style>
  <w:style w:type="character" w:styleId="FollowedHyperlink">
    <w:name w:val="FollowedHyperlink"/>
    <w:basedOn w:val="DefaultParagraphFont"/>
    <w:rsid w:val="0022781B"/>
    <w:rPr>
      <w:color w:val="954F72" w:themeColor="followedHyperlink"/>
      <w:u w:val="single"/>
    </w:rPr>
  </w:style>
  <w:style w:type="character" w:styleId="UnresolvedMention">
    <w:name w:val="Unresolved Mention"/>
    <w:basedOn w:val="DefaultParagraphFont"/>
    <w:uiPriority w:val="99"/>
    <w:semiHidden/>
    <w:unhideWhenUsed/>
    <w:rsid w:val="00C50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9/715/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res/2025/1681/oj" TargetMode="External"/><Relationship Id="rId3" Type="http://schemas.openxmlformats.org/officeDocument/2006/relationships/hyperlink" Target="http://data.europa.eu/eli/dec/2025/1663/oj" TargetMode="External"/><Relationship Id="rId7" Type="http://schemas.openxmlformats.org/officeDocument/2006/relationships/hyperlink" Target="http://data.europa.eu/eli/reg/2021/2303/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reg/2021/2303/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_del/2019/715/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2010/439/oj" TargetMode="External"/><Relationship Id="rId11" Type="http://schemas.openxmlformats.org/officeDocument/2006/relationships/hyperlink" Target="http://data.europa.eu/eli/dec/2025/1663/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reg/2021/2303/oj" TargetMode="External"/><Relationship Id="rId10" Type="http://schemas.openxmlformats.org/officeDocument/2006/relationships/hyperlink" Target="http://data.europa.eu/eli/C/2024/6041/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C/2024/6332/oj" TargetMode="External"/><Relationship Id="rId14" Type="http://schemas.openxmlformats.org/officeDocument/2006/relationships/hyperlink" Target="http://data.europa.eu/eli/reg/2010/4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2850</Words>
  <Characters>18919</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EDHOLM Erik Thomas</cp:lastModifiedBy>
  <cp:revision>2</cp:revision>
  <cp:lastPrinted>2004-11-19T15:42:00Z</cp:lastPrinted>
  <dcterms:created xsi:type="dcterms:W3CDTF">2025-11-28T09:09:00Z</dcterms:created>
  <dcterms:modified xsi:type="dcterms:W3CDTF">2025-11-28T09:09:00Z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P10_TA(2025)0246_</vt:lpwstr>
  </property>
  <property fmtid="{D5CDD505-2E9C-101B-9397-08002B2CF9AE}" pid="4" name="&lt;Type&gt;">
    <vt:lpwstr>RR</vt:lpwstr>
  </property>
</Properties>
</file>