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54BC5" w14:paraId="379D6D7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F8D32C" w14:textId="73AADE46" w:rsidR="00751A4A" w:rsidRPr="00254BC5" w:rsidRDefault="00376BAD" w:rsidP="0010095E">
            <w:pPr>
              <w:pStyle w:val="EPName"/>
            </w:pPr>
            <w:r w:rsidRPr="00254BC5">
              <w:t>Европейски</w:t>
            </w:r>
            <w:r w:rsidR="00001235" w:rsidRPr="00254BC5">
              <w:t xml:space="preserve"> парламент</w:t>
            </w:r>
          </w:p>
          <w:p w14:paraId="3ACA1E5E" w14:textId="3A229565" w:rsidR="00751A4A" w:rsidRPr="00254BC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54BC5">
              <w:t>2024</w:t>
            </w:r>
            <w:r w:rsidR="00376BAD">
              <w:t> – </w:t>
            </w:r>
            <w:r w:rsidR="00817416" w:rsidRPr="00254BC5">
              <w:t>202</w:t>
            </w:r>
            <w:r w:rsidRPr="00254BC5">
              <w:t>9</w:t>
            </w:r>
          </w:p>
        </w:tc>
        <w:tc>
          <w:tcPr>
            <w:tcW w:w="2268" w:type="dxa"/>
            <w:shd w:val="clear" w:color="auto" w:fill="auto"/>
          </w:tcPr>
          <w:p w14:paraId="76FBDEC0" w14:textId="77777777" w:rsidR="00751A4A" w:rsidRPr="00254BC5" w:rsidRDefault="00187494" w:rsidP="0010095E">
            <w:pPr>
              <w:pStyle w:val="EPLogo"/>
            </w:pPr>
            <w:r w:rsidRPr="00254BC5">
              <w:rPr>
                <w:noProof/>
                <w:lang w:eastAsia="ja-JP"/>
              </w:rPr>
              <w:drawing>
                <wp:inline distT="0" distB="0" distL="0" distR="0" wp14:anchorId="175A9760" wp14:editId="096DE91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7CBECD" w14:textId="77777777" w:rsidR="00D058B8" w:rsidRPr="00254BC5" w:rsidRDefault="00D058B8" w:rsidP="004C5D52">
      <w:pPr>
        <w:pStyle w:val="LineTop"/>
      </w:pPr>
    </w:p>
    <w:p w14:paraId="25B09923" w14:textId="77777777" w:rsidR="00680577" w:rsidRPr="00254BC5" w:rsidRDefault="00001235" w:rsidP="00680577">
      <w:pPr>
        <w:pStyle w:val="EPBodyTA1"/>
      </w:pPr>
      <w:r w:rsidRPr="00254BC5">
        <w:t>ПРИЕТИ ТЕКСТОВЕ</w:t>
      </w:r>
    </w:p>
    <w:p w14:paraId="02EFA551" w14:textId="77777777" w:rsidR="00D058B8" w:rsidRPr="00254BC5" w:rsidRDefault="00D058B8" w:rsidP="00D058B8">
      <w:pPr>
        <w:pStyle w:val="LineBottom"/>
      </w:pPr>
    </w:p>
    <w:p w14:paraId="3EA5C07C" w14:textId="693BB1FD" w:rsidR="00001235" w:rsidRPr="00254BC5" w:rsidRDefault="00001235" w:rsidP="00001235">
      <w:pPr>
        <w:pStyle w:val="ATHeading1"/>
      </w:pPr>
      <w:bookmarkStart w:id="0" w:name="TANumber"/>
      <w:r w:rsidRPr="00254BC5">
        <w:t>P10_TA(2025)0</w:t>
      </w:r>
      <w:r w:rsidR="00BC5179">
        <w:t>247</w:t>
      </w:r>
      <w:bookmarkEnd w:id="0"/>
    </w:p>
    <w:p w14:paraId="77D62764" w14:textId="77777777" w:rsidR="00001235" w:rsidRPr="00254BC5" w:rsidRDefault="00001235" w:rsidP="00001235">
      <w:pPr>
        <w:pStyle w:val="ATHeading2"/>
      </w:pPr>
      <w:bookmarkStart w:id="1" w:name="title"/>
      <w:r w:rsidRPr="00254BC5">
        <w:t>Институционални последици от преговорите за разширяване на ЕС</w:t>
      </w:r>
      <w:bookmarkEnd w:id="1"/>
    </w:p>
    <w:p w14:paraId="6DB23012" w14:textId="77777777" w:rsidR="00001235" w:rsidRPr="00254BC5" w:rsidRDefault="00001235" w:rsidP="00001235">
      <w:pPr>
        <w:rPr>
          <w:i/>
          <w:vanish/>
        </w:rPr>
      </w:pPr>
      <w:r w:rsidRPr="00254BC5">
        <w:rPr>
          <w:i/>
        </w:rPr>
        <w:fldChar w:fldCharType="begin"/>
      </w:r>
      <w:r w:rsidRPr="00254BC5">
        <w:rPr>
          <w:i/>
        </w:rPr>
        <w:instrText xml:space="preserve"> TC"(</w:instrText>
      </w:r>
      <w:bookmarkStart w:id="2" w:name="DocNumber"/>
      <w:r w:rsidRPr="00254BC5">
        <w:rPr>
          <w:i/>
        </w:rPr>
        <w:instrText>A10-0177/2025</w:instrText>
      </w:r>
      <w:bookmarkEnd w:id="2"/>
      <w:r w:rsidRPr="00254BC5">
        <w:rPr>
          <w:i/>
        </w:rPr>
        <w:instrText xml:space="preserve"> - Докладчик: Сандро </w:instrText>
      </w:r>
      <w:proofErr w:type="spellStart"/>
      <w:r w:rsidRPr="00254BC5">
        <w:rPr>
          <w:i/>
        </w:rPr>
        <w:instrText>Гоци</w:instrText>
      </w:r>
      <w:proofErr w:type="spellEnd"/>
      <w:r w:rsidRPr="00254BC5">
        <w:rPr>
          <w:i/>
        </w:rPr>
        <w:instrText xml:space="preserve">)"\l3 \n&gt; \* MERGEFORMAT </w:instrText>
      </w:r>
      <w:r w:rsidRPr="00254BC5">
        <w:rPr>
          <w:i/>
        </w:rPr>
        <w:fldChar w:fldCharType="end"/>
      </w:r>
    </w:p>
    <w:p w14:paraId="67EB0F68" w14:textId="77777777" w:rsidR="00001235" w:rsidRPr="00254BC5" w:rsidRDefault="00001235" w:rsidP="00001235">
      <w:pPr>
        <w:rPr>
          <w:vanish/>
        </w:rPr>
      </w:pPr>
      <w:bookmarkStart w:id="3" w:name="Commission"/>
      <w:r w:rsidRPr="00254BC5">
        <w:rPr>
          <w:vanish/>
        </w:rPr>
        <w:t>Комисия по конституционни въпроси</w:t>
      </w:r>
      <w:bookmarkEnd w:id="3"/>
    </w:p>
    <w:p w14:paraId="3FBB0623" w14:textId="77777777" w:rsidR="00001235" w:rsidRPr="00254BC5" w:rsidRDefault="00001235" w:rsidP="00001235">
      <w:pPr>
        <w:rPr>
          <w:vanish/>
        </w:rPr>
      </w:pPr>
      <w:bookmarkStart w:id="4" w:name="PE"/>
      <w:r w:rsidRPr="00254BC5">
        <w:rPr>
          <w:vanish/>
        </w:rPr>
        <w:t>PE774.293</w:t>
      </w:r>
      <w:bookmarkEnd w:id="4"/>
    </w:p>
    <w:p w14:paraId="04E74223" w14:textId="7CA50609" w:rsidR="00001235" w:rsidRPr="00254BC5" w:rsidRDefault="00001235" w:rsidP="00001235">
      <w:pPr>
        <w:pStyle w:val="ATHeading3"/>
      </w:pPr>
      <w:bookmarkStart w:id="5" w:name="Sujet"/>
      <w:r w:rsidRPr="00254BC5">
        <w:t xml:space="preserve">Резолюция на Европейския парламент от </w:t>
      </w:r>
      <w:r w:rsidR="00376BAD">
        <w:t>2</w:t>
      </w:r>
      <w:r w:rsidR="004E41C6">
        <w:t>2</w:t>
      </w:r>
      <w:r w:rsidR="00376BAD">
        <w:t xml:space="preserve"> октомври</w:t>
      </w:r>
      <w:r w:rsidRPr="00254BC5">
        <w:t xml:space="preserve"> 2025 г. относно институционалните последици от преговорите за разширяване на ЕС</w:t>
      </w:r>
      <w:bookmarkEnd w:id="5"/>
      <w:r w:rsidRPr="00254BC5">
        <w:t xml:space="preserve"> </w:t>
      </w:r>
      <w:bookmarkStart w:id="6" w:name="References"/>
      <w:r w:rsidRPr="00254BC5">
        <w:t>(2025/2041(INI))</w:t>
      </w:r>
      <w:bookmarkEnd w:id="6"/>
    </w:p>
    <w:p w14:paraId="4D5B7DD0" w14:textId="77777777" w:rsidR="00701D4E" w:rsidRPr="00254BC5" w:rsidRDefault="00701D4E" w:rsidP="00701D4E">
      <w:pPr>
        <w:pStyle w:val="EPComma"/>
      </w:pPr>
      <w:r w:rsidRPr="00254BC5">
        <w:rPr>
          <w:rStyle w:val="Italic"/>
        </w:rPr>
        <w:t>Европейският парламент</w:t>
      </w:r>
      <w:r w:rsidRPr="00254BC5">
        <w:t>,</w:t>
      </w:r>
    </w:p>
    <w:p w14:paraId="49F67658" w14:textId="77777777" w:rsidR="00701D4E" w:rsidRPr="00254BC5" w:rsidRDefault="00701D4E" w:rsidP="00701D4E">
      <w:pPr>
        <w:pStyle w:val="NormalHanging12a"/>
      </w:pPr>
      <w:r w:rsidRPr="00254BC5">
        <w:t>–</w:t>
      </w:r>
      <w:r w:rsidRPr="00254BC5">
        <w:tab/>
        <w:t>като взе предвид Договора за Европейския съюз (ДЕС), и по-специално член 31, параграф 3 и членове 48 и 49 от него,</w:t>
      </w:r>
    </w:p>
    <w:p w14:paraId="0F26E962" w14:textId="77777777" w:rsidR="00701D4E" w:rsidRPr="00254BC5" w:rsidRDefault="00701D4E" w:rsidP="00701D4E">
      <w:pPr>
        <w:pStyle w:val="NormalHanging12a"/>
      </w:pPr>
      <w:r w:rsidRPr="00254BC5">
        <w:t>–</w:t>
      </w:r>
      <w:r w:rsidRPr="00254BC5">
        <w:tab/>
        <w:t>като взе предвид Договора за функционирането на Европейския съюз, и по-специално член 81, параграф 3, член 83, член 136, член 153, параграф 2, член 192, параграф 2, член 312, параграф 2 и член 333 от него,</w:t>
      </w:r>
    </w:p>
    <w:p w14:paraId="62D41F27" w14:textId="77777777" w:rsidR="00701D4E" w:rsidRPr="00254BC5" w:rsidRDefault="00701D4E" w:rsidP="00701D4E">
      <w:pPr>
        <w:pStyle w:val="NormalHanging12a"/>
      </w:pPr>
      <w:r w:rsidRPr="00254BC5">
        <w:t>–</w:t>
      </w:r>
      <w:r w:rsidRPr="00254BC5">
        <w:tab/>
        <w:t>като взе предвид заключенията на Европейския съвет от 23 и 24 юни 2022 г., 29 и 30 юни 2023 г., 26 и 27 октомври 2023 г., 14 и 15 декември 2023 г. и 27 юни 2024 г.,</w:t>
      </w:r>
    </w:p>
    <w:p w14:paraId="7EBC111A" w14:textId="77777777" w:rsidR="00701D4E" w:rsidRPr="00254BC5" w:rsidRDefault="00701D4E" w:rsidP="00701D4E">
      <w:pPr>
        <w:pStyle w:val="NormalHanging12a"/>
        <w:rPr>
          <w:bCs/>
          <w:iCs/>
        </w:rPr>
      </w:pPr>
      <w:r w:rsidRPr="00254BC5">
        <w:t>–</w:t>
      </w:r>
      <w:r w:rsidRPr="00254BC5">
        <w:tab/>
        <w:t>като взе предвид декларацията от Гранада на Европейския съвет от 6 октомври 2023 г.,</w:t>
      </w:r>
    </w:p>
    <w:p w14:paraId="0FE90EE8" w14:textId="77777777" w:rsidR="00701D4E" w:rsidRPr="00254BC5" w:rsidRDefault="00701D4E" w:rsidP="00701D4E">
      <w:pPr>
        <w:pStyle w:val="NormalHanging12a"/>
      </w:pPr>
      <w:r w:rsidRPr="00254BC5">
        <w:t>–</w:t>
      </w:r>
      <w:r w:rsidRPr="00254BC5">
        <w:tab/>
        <w:t>като взе предвид доклада на председателството на Съвета за напредъка относно бъдещето на Европа от 10 юни 2024 г.,</w:t>
      </w:r>
    </w:p>
    <w:p w14:paraId="7AED8284" w14:textId="3D76DF89" w:rsidR="00701D4E" w:rsidRPr="00254BC5" w:rsidRDefault="00701D4E" w:rsidP="00701D4E">
      <w:pPr>
        <w:pStyle w:val="NormalHanging12a"/>
      </w:pPr>
      <w:r w:rsidRPr="00254BC5">
        <w:t>–</w:t>
      </w:r>
      <w:r w:rsidRPr="00254BC5">
        <w:tab/>
        <w:t>като взе предвид съобщението на Комисията от 23 март 2024 г. относно реформите и прегледите на политиките преди разширяването (</w:t>
      </w:r>
      <w:r w:rsidRPr="004E41C6">
        <w:t>COM(2024)0146</w:t>
      </w:r>
      <w:r w:rsidRPr="00254BC5">
        <w:t>),</w:t>
      </w:r>
    </w:p>
    <w:p w14:paraId="04B4F08D" w14:textId="77777777" w:rsidR="00701D4E" w:rsidRPr="00254BC5" w:rsidRDefault="00701D4E" w:rsidP="00701D4E">
      <w:pPr>
        <w:pStyle w:val="NormalHanging12a"/>
      </w:pPr>
      <w:r w:rsidRPr="00254BC5">
        <w:t>–</w:t>
      </w:r>
      <w:r w:rsidRPr="00254BC5">
        <w:tab/>
        <w:t>като взе предвид резолюцията си от 16 февруари 2017 г. относно подобряването на функционирането на Европейския съюз чрез използване на потенциала на Договора от Лисабон</w:t>
      </w:r>
      <w:r w:rsidRPr="00254BC5">
        <w:rPr>
          <w:rStyle w:val="FootnoteReference"/>
        </w:rPr>
        <w:footnoteReference w:id="1"/>
      </w:r>
      <w:r w:rsidRPr="00254BC5">
        <w:t xml:space="preserve"> и резолюцията си от 11 юли 2023 г. относно прилагането на </w:t>
      </w:r>
      <w:r w:rsidRPr="00254BC5">
        <w:rPr>
          <w:rStyle w:val="Italic"/>
        </w:rPr>
        <w:t>клаузите за преход</w:t>
      </w:r>
      <w:r w:rsidRPr="00254BC5">
        <w:t xml:space="preserve"> в Договорите на ЕС</w:t>
      </w:r>
      <w:r w:rsidRPr="00254BC5">
        <w:rPr>
          <w:rStyle w:val="FootnoteReference"/>
        </w:rPr>
        <w:footnoteReference w:id="2"/>
      </w:r>
      <w:r w:rsidRPr="00254BC5">
        <w:t>,</w:t>
      </w:r>
    </w:p>
    <w:p w14:paraId="2C7D0899" w14:textId="77777777" w:rsidR="00701D4E" w:rsidRPr="00254BC5" w:rsidRDefault="00701D4E" w:rsidP="00701D4E">
      <w:pPr>
        <w:pStyle w:val="NormalHanging12a"/>
      </w:pPr>
      <w:r w:rsidRPr="00254BC5">
        <w:lastRenderedPageBreak/>
        <w:t>–</w:t>
      </w:r>
      <w:r w:rsidRPr="00254BC5">
        <w:tab/>
        <w:t>като взе предвид доклада от 9 май 2022 г. относно крайния резултат от Конференцията за бъдещето на Европа, както и своята резолюция от 4 май 2022 г. относно последващи действия във връзка със заключенията на Конференцията за бъдещето на Европа</w:t>
      </w:r>
      <w:r w:rsidRPr="00254BC5">
        <w:rPr>
          <w:rStyle w:val="FootnoteReference"/>
        </w:rPr>
        <w:footnoteReference w:id="3"/>
      </w:r>
      <w:r w:rsidRPr="00254BC5">
        <w:t>,</w:t>
      </w:r>
    </w:p>
    <w:p w14:paraId="53BF91F9" w14:textId="77777777" w:rsidR="00701D4E" w:rsidRPr="00254BC5" w:rsidRDefault="00701D4E" w:rsidP="00701D4E">
      <w:pPr>
        <w:pStyle w:val="NormalHanging12a"/>
      </w:pPr>
      <w:r w:rsidRPr="00254BC5">
        <w:t>–</w:t>
      </w:r>
      <w:r w:rsidRPr="00254BC5">
        <w:tab/>
        <w:t>като взе предвид резолюцията си от 9 юни 2022 г. относно призива за свикване на Конвент за преразглеждане на Договорите</w:t>
      </w:r>
      <w:r w:rsidRPr="00254BC5">
        <w:rPr>
          <w:rStyle w:val="FootnoteReference"/>
        </w:rPr>
        <w:footnoteReference w:id="4"/>
      </w:r>
      <w:r w:rsidRPr="00254BC5">
        <w:t xml:space="preserve"> и резолюцията си от 22 ноември 2023 г. относно предложения на Европейския парламент за преразглеждане на Договорите</w:t>
      </w:r>
      <w:r w:rsidRPr="00254BC5">
        <w:rPr>
          <w:rStyle w:val="FootnoteReference"/>
        </w:rPr>
        <w:footnoteReference w:id="5"/>
      </w:r>
      <w:r w:rsidRPr="00254BC5">
        <w:t>, включително чрез задействане на член 48 от ДЕС, в които се отправя искане към Европейския съвет да даде съгласието си за свиване на Конвент за реформа на Договорите,</w:t>
      </w:r>
    </w:p>
    <w:p w14:paraId="774FE6BA" w14:textId="77777777" w:rsidR="00701D4E" w:rsidRPr="00254BC5" w:rsidRDefault="00701D4E" w:rsidP="00701D4E">
      <w:pPr>
        <w:pStyle w:val="NormalHanging12a"/>
      </w:pPr>
      <w:r w:rsidRPr="00254BC5">
        <w:t>–</w:t>
      </w:r>
      <w:r w:rsidRPr="00254BC5">
        <w:tab/>
        <w:t>като взе предвид своята резолюция от 29 февруари 2024 г. относно задълбочаване на европейската интеграция с оглед на бъдещото разширяване</w:t>
      </w:r>
      <w:r w:rsidRPr="00254BC5">
        <w:rPr>
          <w:rStyle w:val="FootnoteReference"/>
        </w:rPr>
        <w:footnoteReference w:id="6"/>
      </w:r>
      <w:r w:rsidRPr="00254BC5">
        <w:t>,</w:t>
      </w:r>
    </w:p>
    <w:p w14:paraId="4F5375A4" w14:textId="77777777" w:rsidR="00701D4E" w:rsidRPr="00254BC5" w:rsidRDefault="00701D4E" w:rsidP="00701D4E">
      <w:pPr>
        <w:pStyle w:val="NormalHanging12a"/>
      </w:pPr>
      <w:r w:rsidRPr="00254BC5">
        <w:t>–</w:t>
      </w:r>
      <w:r w:rsidRPr="00254BC5">
        <w:tab/>
        <w:t>като взе предвид доклада на Марио Драги от 9 септември 2024 г., озаглавен „</w:t>
      </w:r>
      <w:proofErr w:type="spellStart"/>
      <w:r w:rsidRPr="00254BC5">
        <w:t>The</w:t>
      </w:r>
      <w:proofErr w:type="spellEnd"/>
      <w:r w:rsidRPr="00254BC5">
        <w:t xml:space="preserve"> </w:t>
      </w:r>
      <w:proofErr w:type="spellStart"/>
      <w:r w:rsidRPr="00254BC5">
        <w:t>future</w:t>
      </w:r>
      <w:proofErr w:type="spellEnd"/>
      <w:r w:rsidRPr="00254BC5">
        <w:t xml:space="preserve"> </w:t>
      </w:r>
      <w:proofErr w:type="spellStart"/>
      <w:r w:rsidRPr="00254BC5">
        <w:t>of</w:t>
      </w:r>
      <w:proofErr w:type="spellEnd"/>
      <w:r w:rsidRPr="00254BC5">
        <w:t xml:space="preserve"> </w:t>
      </w:r>
      <w:proofErr w:type="spellStart"/>
      <w:r w:rsidRPr="00254BC5">
        <w:t>European</w:t>
      </w:r>
      <w:proofErr w:type="spellEnd"/>
      <w:r w:rsidRPr="00254BC5">
        <w:t xml:space="preserve"> </w:t>
      </w:r>
      <w:proofErr w:type="spellStart"/>
      <w:r w:rsidRPr="00254BC5">
        <w:t>competitiveness</w:t>
      </w:r>
      <w:proofErr w:type="spellEnd"/>
      <w:r w:rsidRPr="00254BC5">
        <w:t>“ (Бъдещето на европейската конкурентоспособност), доклада от 17 април 2024 г. на Енрико Лета, озаглавен „</w:t>
      </w:r>
      <w:proofErr w:type="spellStart"/>
      <w:r w:rsidRPr="00254BC5">
        <w:t>Much</w:t>
      </w:r>
      <w:proofErr w:type="spellEnd"/>
      <w:r w:rsidRPr="00254BC5">
        <w:t xml:space="preserve"> </w:t>
      </w:r>
      <w:proofErr w:type="spellStart"/>
      <w:r w:rsidRPr="00254BC5">
        <w:t>more</w:t>
      </w:r>
      <w:proofErr w:type="spellEnd"/>
      <w:r w:rsidRPr="00254BC5">
        <w:t xml:space="preserve"> </w:t>
      </w:r>
      <w:proofErr w:type="spellStart"/>
      <w:r w:rsidRPr="00254BC5">
        <w:t>than</w:t>
      </w:r>
      <w:proofErr w:type="spellEnd"/>
      <w:r w:rsidRPr="00254BC5">
        <w:t xml:space="preserve"> a </w:t>
      </w:r>
      <w:proofErr w:type="spellStart"/>
      <w:r w:rsidRPr="00254BC5">
        <w:t>market</w:t>
      </w:r>
      <w:proofErr w:type="spellEnd"/>
      <w:r w:rsidRPr="00254BC5">
        <w:t xml:space="preserve">“ (Много повече от пазар), и доклада от 30 октомври 2024 г. на </w:t>
      </w:r>
      <w:proofErr w:type="spellStart"/>
      <w:r w:rsidRPr="00254BC5">
        <w:t>Саули</w:t>
      </w:r>
      <w:proofErr w:type="spellEnd"/>
      <w:r w:rsidRPr="00254BC5">
        <w:t xml:space="preserve"> </w:t>
      </w:r>
      <w:proofErr w:type="spellStart"/>
      <w:r w:rsidRPr="00254BC5">
        <w:t>Ниeнистьо</w:t>
      </w:r>
      <w:proofErr w:type="spellEnd"/>
      <w:r w:rsidRPr="00254BC5">
        <w:t>, озаглавен „</w:t>
      </w:r>
      <w:proofErr w:type="spellStart"/>
      <w:r w:rsidRPr="00254BC5">
        <w:t>Safer</w:t>
      </w:r>
      <w:proofErr w:type="spellEnd"/>
      <w:r w:rsidRPr="00254BC5">
        <w:t xml:space="preserve"> </w:t>
      </w:r>
      <w:proofErr w:type="spellStart"/>
      <w:r w:rsidRPr="00254BC5">
        <w:t>Together</w:t>
      </w:r>
      <w:proofErr w:type="spellEnd"/>
      <w:r w:rsidRPr="00254BC5">
        <w:t xml:space="preserve"> – </w:t>
      </w:r>
      <w:proofErr w:type="spellStart"/>
      <w:r w:rsidRPr="00254BC5">
        <w:t>Strengthening</w:t>
      </w:r>
      <w:proofErr w:type="spellEnd"/>
      <w:r w:rsidRPr="00254BC5">
        <w:t xml:space="preserve"> </w:t>
      </w:r>
      <w:proofErr w:type="spellStart"/>
      <w:r w:rsidRPr="00254BC5">
        <w:t>Europe’s</w:t>
      </w:r>
      <w:proofErr w:type="spellEnd"/>
      <w:r w:rsidRPr="00254BC5">
        <w:t xml:space="preserve"> </w:t>
      </w:r>
      <w:proofErr w:type="spellStart"/>
      <w:r w:rsidRPr="00254BC5">
        <w:t>Civilian</w:t>
      </w:r>
      <w:proofErr w:type="spellEnd"/>
      <w:r w:rsidRPr="00254BC5">
        <w:t xml:space="preserve"> </w:t>
      </w:r>
      <w:proofErr w:type="spellStart"/>
      <w:r w:rsidRPr="00254BC5">
        <w:t>and</w:t>
      </w:r>
      <w:proofErr w:type="spellEnd"/>
      <w:r w:rsidRPr="00254BC5">
        <w:t xml:space="preserve"> </w:t>
      </w:r>
      <w:proofErr w:type="spellStart"/>
      <w:r w:rsidRPr="00254BC5">
        <w:t>Military</w:t>
      </w:r>
      <w:proofErr w:type="spellEnd"/>
      <w:r w:rsidRPr="00254BC5">
        <w:t xml:space="preserve"> </w:t>
      </w:r>
      <w:proofErr w:type="spellStart"/>
      <w:r w:rsidRPr="00254BC5">
        <w:t>Preparedness</w:t>
      </w:r>
      <w:proofErr w:type="spellEnd"/>
      <w:r w:rsidRPr="00254BC5">
        <w:t xml:space="preserve"> </w:t>
      </w:r>
      <w:proofErr w:type="spellStart"/>
      <w:r w:rsidRPr="00254BC5">
        <w:t>and</w:t>
      </w:r>
      <w:proofErr w:type="spellEnd"/>
      <w:r w:rsidRPr="00254BC5">
        <w:t xml:space="preserve"> </w:t>
      </w:r>
      <w:proofErr w:type="spellStart"/>
      <w:r w:rsidRPr="00254BC5">
        <w:t>Readiness</w:t>
      </w:r>
      <w:proofErr w:type="spellEnd"/>
      <w:r w:rsidRPr="00254BC5">
        <w:t>“ (Заедно в по-голяма безопасност – укрепване на гражданската и военната подготвеност и готовност на Европа),</w:t>
      </w:r>
    </w:p>
    <w:p w14:paraId="35FC59DB" w14:textId="77777777" w:rsidR="00701D4E" w:rsidRPr="00254BC5" w:rsidRDefault="00701D4E" w:rsidP="00701D4E">
      <w:pPr>
        <w:pStyle w:val="NormalHanging12a"/>
      </w:pPr>
      <w:r w:rsidRPr="00254BC5">
        <w:t>–</w:t>
      </w:r>
      <w:r w:rsidRPr="00254BC5">
        <w:tab/>
        <w:t>като взе предвид член 55 от своя Правилник за дейността,</w:t>
      </w:r>
    </w:p>
    <w:p w14:paraId="2D0FF5C2" w14:textId="77777777" w:rsidR="00701D4E" w:rsidRPr="00254BC5" w:rsidRDefault="00701D4E" w:rsidP="00701D4E">
      <w:pPr>
        <w:pStyle w:val="NormalHanging12a"/>
      </w:pPr>
      <w:r w:rsidRPr="00254BC5">
        <w:t>–</w:t>
      </w:r>
      <w:r w:rsidRPr="00254BC5">
        <w:tab/>
        <w:t>като взе предвид доклада на комисията по конституционни въпроси (A10-0177/2025),</w:t>
      </w:r>
    </w:p>
    <w:p w14:paraId="5853ED17" w14:textId="77777777" w:rsidR="00701D4E" w:rsidRPr="00254BC5" w:rsidRDefault="00701D4E" w:rsidP="00701D4E">
      <w:pPr>
        <w:pStyle w:val="NormalHanging12a"/>
      </w:pPr>
      <w:r w:rsidRPr="00254BC5">
        <w:t>A.</w:t>
      </w:r>
      <w:r w:rsidRPr="00254BC5">
        <w:tab/>
        <w:t>като има предвид, че 9 от 10-те държави, които понастоящем се стремят да се присъединят към ЕС, имат статут на кандидатки и че някои от тях имат такъв статут от много години насам; като има предвид, че страните кандидатки се намират на различни етапи от процеса на присъединяване и преговорите; като има предвид, че на 28 ноември 2024 г. Грузия едностранно преустанови преговорите за присъединяване към ЕС;</w:t>
      </w:r>
    </w:p>
    <w:p w14:paraId="26BB6E7D" w14:textId="77777777" w:rsidR="00701D4E" w:rsidRPr="00254BC5" w:rsidRDefault="00701D4E" w:rsidP="00701D4E">
      <w:pPr>
        <w:pStyle w:val="NormalHanging12a"/>
      </w:pPr>
      <w:r w:rsidRPr="00254BC5">
        <w:t>Б.</w:t>
      </w:r>
      <w:r w:rsidRPr="00254BC5">
        <w:tab/>
        <w:t>като има предвид, че агресивната война на Русия срещу Украйна и други текущи геополитически предизвикателства, включително тревожната промяна в трансатлантическите отношения, придадоха ново геостратегическо значение и нов тласък на процеса на присъединяване към ЕС и обединението на Европа;</w:t>
      </w:r>
    </w:p>
    <w:p w14:paraId="7F8A70CC" w14:textId="77777777" w:rsidR="00701D4E" w:rsidRPr="00254BC5" w:rsidRDefault="00701D4E" w:rsidP="00701D4E">
      <w:pPr>
        <w:pStyle w:val="NormalHanging12a"/>
        <w:rPr>
          <w:bCs/>
          <w:iCs/>
        </w:rPr>
      </w:pPr>
      <w:r w:rsidRPr="00254BC5">
        <w:t>В.</w:t>
      </w:r>
      <w:r w:rsidRPr="00254BC5">
        <w:tab/>
        <w:t xml:space="preserve">като има предвид, че присъединяването към Европейския съюз трябва да остане процес, основан на заслуги, на оценката на изпълнението от всеки отделен кандидат на критериите от Копенхаген и осъществяването на необходимите реформи, по-специално в областта на „основните принципи“, спазването на принципите на демокрацията и правовата държава, правата на човека и доброто управление, както и привеждането в съответствие с общата външна политика и </w:t>
      </w:r>
      <w:r w:rsidRPr="00254BC5">
        <w:lastRenderedPageBreak/>
        <w:t>политика на сигурност на ЕС, за да се гарантира, че разширяването укрепва, а не подкопава ЕС и неговия единен пазар;</w:t>
      </w:r>
    </w:p>
    <w:p w14:paraId="7D163592" w14:textId="77777777" w:rsidR="00701D4E" w:rsidRPr="00254BC5" w:rsidRDefault="00701D4E" w:rsidP="00701D4E">
      <w:pPr>
        <w:pStyle w:val="NormalHanging12a"/>
      </w:pPr>
      <w:r w:rsidRPr="00254BC5">
        <w:t>Г.</w:t>
      </w:r>
      <w:r w:rsidRPr="00254BC5">
        <w:tab/>
        <w:t>като има предвид, че разширяването е исторически ангажимент, ключов външнополитически инструмент на ЕС, стратегически геополитически приоритет и една от най-успешните политики на ЕС и представлява инвестиция в бъдещето на европейския континент;</w:t>
      </w:r>
    </w:p>
    <w:p w14:paraId="58121ECB" w14:textId="77777777" w:rsidR="00701D4E" w:rsidRPr="00254BC5" w:rsidRDefault="00701D4E" w:rsidP="00701D4E">
      <w:pPr>
        <w:pStyle w:val="NormalHanging12a"/>
        <w:rPr>
          <w:bCs/>
          <w:iCs/>
        </w:rPr>
      </w:pPr>
      <w:r w:rsidRPr="00254BC5">
        <w:t>Д.</w:t>
      </w:r>
      <w:r w:rsidRPr="00254BC5">
        <w:tab/>
        <w:t>като има предвид, че присъединяващите се страни следва да осъществяват решително необходимите реформи и да постигат конкретен и необратим напредък по основните елементи на процеса на разширяване; като има предвид, че ЕС и държавите членки следва да подкрепят страните кандидатки с финансова и техническа помощ за постигане на тези критерии; като има предвид, че не може да се правят компромиси с ценностите и основните принципи на ЕС;</w:t>
      </w:r>
    </w:p>
    <w:p w14:paraId="4A343C38" w14:textId="77777777" w:rsidR="00701D4E" w:rsidRPr="00254BC5" w:rsidRDefault="00701D4E" w:rsidP="00701D4E">
      <w:pPr>
        <w:pStyle w:val="NormalHanging12a"/>
      </w:pPr>
      <w:r w:rsidRPr="00254BC5">
        <w:t>Е.</w:t>
      </w:r>
      <w:r w:rsidRPr="00254BC5">
        <w:tab/>
        <w:t>като има предвид, че разширеният ЕС би имал по-голяма политическа, икономическа и военна мощ и влияние на световната сцена, като същевременно ще укрепи споделените демократични ценности в целия регион, обхванат от процеса на разширяване на ЕС; като има предвид, че разширеният единен пазар е важен както за ЕС, така и за присъединяващите се държави, като превръща ЕС в още по-конкурентоспособен икономически участник и привлекателен търговски партньор; като има предвид, че всеки неуспех в постигането на напредък по отношение на разширяването на ЕС ще подкопае икономическите интереси и интересите в областта на сигурността на ЕС и в крайна сметка би могъл да подтикне европейски държави извън ЕС да се присъединят в икономическо и политическо отношение към други блокове (напр. Русия и Китай), което евентуално би създало конкурентни икономически области и би намалило глобалното икономическо влияние на ЕС, като същевременно би предоставило възможност за извършване на опити за дестабилизация от страна на непосредствените съседи на ЕС;</w:t>
      </w:r>
    </w:p>
    <w:p w14:paraId="50F70E74" w14:textId="77777777" w:rsidR="00701D4E" w:rsidRPr="00254BC5" w:rsidRDefault="00701D4E" w:rsidP="00701D4E">
      <w:pPr>
        <w:pStyle w:val="NormalHanging12a"/>
      </w:pPr>
      <w:r w:rsidRPr="00254BC5">
        <w:t>Ж.</w:t>
      </w:r>
      <w:r w:rsidRPr="00254BC5">
        <w:tab/>
        <w:t>като има предвид, че държавите, които се присъединиха към ЕС през 2004 г., както и ЕС като цяло, отбелязаха значителен икономически растеж и достигнаха по-високи стандарти в редица области, включително увеличение на БВП на глава от населението от средно 30%; като има предвид, че всички нови държави членки са отбелязали допълнителен растеж от средно 12% от БВП в сравнение с прогнозирания им растеж, в случай че не бяха се присъединили към ЕС, и че този растеж стана видим в рамките на пет години след присъединяването им; като има предвид, че през последните 20 години икономиката на ЕС е отбелязала растеж от 27%; като има предвид, че държавите, които вече бяха част от ЕС по време на разширяването от 2004 г., също отбелязаха растеж и просперитет, с ясна причинно-следствена връзка с разширените пазари, свързаността и инвестициите в резултат на разширяването; като има предвид, че всеки регион отбелязва икономически растеж след разширяването, но най-бедните региони отбелязват най-висок относителен икономически растеж;</w:t>
      </w:r>
    </w:p>
    <w:p w14:paraId="30F25760" w14:textId="77777777" w:rsidR="00701D4E" w:rsidRPr="00254BC5" w:rsidRDefault="00701D4E" w:rsidP="00701D4E">
      <w:pPr>
        <w:pStyle w:val="NormalHanging12a"/>
      </w:pPr>
      <w:r w:rsidRPr="00254BC5">
        <w:t>З.</w:t>
      </w:r>
      <w:r w:rsidRPr="00254BC5">
        <w:tab/>
        <w:t xml:space="preserve">като има предвид, че БВП на глава от населението на Западните Балкани, Украйна, Молдова и Грузия продължава да бъде около или под 50% от БВП на ЕС, въпреки че през последните години някои държави кандидатки показаха стабилен икономически растеж, който дава възможност за основан на заслуги и ориентиран към бъдещето подход; като има предвид, че опитът от всички </w:t>
      </w:r>
      <w:r w:rsidRPr="00254BC5">
        <w:lastRenderedPageBreak/>
        <w:t xml:space="preserve">разширявания на ЕС свидетелства за положителното въздействие, което членството в ЕС и в единния пазар на ЕС и достъпът до структурните фондове оказват върху икономическото и социалното сближаване; като има предвид, че проучванията показват, че добавянето на 10 нови държави членки би намалило разликата в БВП на глава от населението между ЕС и САЩ с 10%; като има предвид, че разширеният достъп до, наред с другото, пазарите на труда, промишления капацитет, цифровите технологии, по-специално ИИ, и </w:t>
      </w:r>
      <w:proofErr w:type="spellStart"/>
      <w:r w:rsidRPr="00254BC5">
        <w:t>редкоземни</w:t>
      </w:r>
      <w:proofErr w:type="spellEnd"/>
      <w:r w:rsidRPr="00254BC5">
        <w:t xml:space="preserve"> минерали от критично значение ще даде възможност на ЕС да ускори екологичния, цифровия и справедливия преход, като същевременно намали разходите си и стане стратегически по-автономен от Русия, Китай и други системни конкуренти; като има предвид, че сценариите, съчетаващи значително разширяване със силна конвергенция, биха могли да увеличат БВП на ЕС с около 10 трилиона щатски долара до 2035 г.;</w:t>
      </w:r>
    </w:p>
    <w:p w14:paraId="5C0ED28B" w14:textId="77777777" w:rsidR="00701D4E" w:rsidRPr="00254BC5" w:rsidRDefault="00701D4E" w:rsidP="00701D4E">
      <w:pPr>
        <w:pStyle w:val="NormalHanging12a"/>
        <w:rPr>
          <w:bCs/>
          <w:iCs/>
        </w:rPr>
      </w:pPr>
      <w:r w:rsidRPr="00254BC5">
        <w:t>И.</w:t>
      </w:r>
      <w:r w:rsidRPr="00254BC5">
        <w:tab/>
        <w:t xml:space="preserve">като има предвид, че предприсъединителните инструменти играят важна роля, тъй като предоставят ценен опит в разработването на модернизирани инструменти за подкрепа, съобразени със специфичните нужди на страните, какъвто беше случаят с ФАР (програма на Общността за подкрепа на страните от Централна и Източна Европа), САПАРД (предприсъединителна програма за развитие на земеделието и селските райони) и ИСПА (инструмент за структурни политики за </w:t>
      </w:r>
      <w:proofErr w:type="spellStart"/>
      <w:r w:rsidRPr="00254BC5">
        <w:t>предприсъединяване</w:t>
      </w:r>
      <w:proofErr w:type="spellEnd"/>
      <w:r w:rsidRPr="00254BC5">
        <w:t>);</w:t>
      </w:r>
    </w:p>
    <w:p w14:paraId="3FB00213" w14:textId="77777777" w:rsidR="00701D4E" w:rsidRPr="00254BC5" w:rsidRDefault="00701D4E" w:rsidP="00701D4E">
      <w:pPr>
        <w:pStyle w:val="NormalHanging12a"/>
      </w:pPr>
      <w:bookmarkStart w:id="7" w:name="_Hlk208838474"/>
      <w:r w:rsidRPr="00254BC5">
        <w:t>Й.</w:t>
      </w:r>
      <w:r w:rsidRPr="00254BC5">
        <w:tab/>
        <w:t>като има предвид, че някои държави извън ЕС са изправени пред различни равнища на политическа нестабилност и като има предвид, че прилагането на свързаните с членството в ЕС реформи в тези държави, както се случи при предишните разширявания, следва да допринесе за стабилността и върховенството на закона в региона; като има предвид, че ЕС разполага с широк набор от инструменти за налагане на спазването на основните ценности в държавите членки и за гарантиране на политическата стабилност на европейския проект като цяло; като има предвид, че този набор от инструменти все още трябва да бъде реформиран и укрепен, по-специално чрез последователно прилагане на механизма за върховенството на закона и ефективна защита на основните ценности на ЕС, залегнали в член 2 от ДЕС, включително чрез определяне на условия в настоящата и следващата многогодишна финансова рамка (МФР);</w:t>
      </w:r>
      <w:bookmarkEnd w:id="7"/>
    </w:p>
    <w:p w14:paraId="5E4C7C1A" w14:textId="77777777" w:rsidR="00701D4E" w:rsidRPr="00254BC5" w:rsidRDefault="00701D4E" w:rsidP="00701D4E">
      <w:pPr>
        <w:pStyle w:val="NormalHanging12a"/>
      </w:pPr>
      <w:r w:rsidRPr="00254BC5">
        <w:t>К.</w:t>
      </w:r>
      <w:r w:rsidRPr="00254BC5">
        <w:tab/>
        <w:t xml:space="preserve">като има предвид, че Комисията и Парламентът следва да разработят кампании за повишаване на осведомеността в държавите членки и държавите кандидатки, за да могат гражданите да бъдат надлежно информирани относно възможностите, които предоставя разширяването, като същевременно се противодейства на чуждестранното манипулиране на информация и вмешателство от страна на Русия и други държави, имащо за цел да подкопае обществената подкрепа за разширяването; </w:t>
      </w:r>
    </w:p>
    <w:p w14:paraId="3741CC2F" w14:textId="77777777" w:rsidR="00701D4E" w:rsidRPr="00254BC5" w:rsidRDefault="00701D4E" w:rsidP="00701D4E">
      <w:pPr>
        <w:pStyle w:val="NormalHanging12a"/>
      </w:pPr>
      <w:r w:rsidRPr="00254BC5">
        <w:t>Л.</w:t>
      </w:r>
      <w:r w:rsidRPr="00254BC5">
        <w:tab/>
        <w:t xml:space="preserve">като има предвид, че институционалната рамка на ЕС, и по-специално неговите процеси на вземане на решения, трябва да се укрепят и подобрят за настоящия Европейски съюз от 27 държави членки; като има предвид, че подготовката за разширяване изисква вътрешни реформи в рамките на ЕС, и като има предвид, че процесът на разширяване следва да се провежда успоредно с институционалните реформи и реформите в областта на вземането на решения, необходими за гарантиране на интеграционния капацитет на ЕС; като има предвид, че с оглед на перспективата за бъдещи разширявания реформата на институциите, политиките </w:t>
      </w:r>
      <w:r w:rsidRPr="00254BC5">
        <w:lastRenderedPageBreak/>
        <w:t>и процедурите за вземане на решения на ЕС е по-необходима и неотложна от всякога;</w:t>
      </w:r>
    </w:p>
    <w:p w14:paraId="7242FFA3" w14:textId="77777777" w:rsidR="00701D4E" w:rsidRPr="00254BC5" w:rsidRDefault="00701D4E" w:rsidP="00701D4E">
      <w:pPr>
        <w:pStyle w:val="NormalHanging12a"/>
      </w:pPr>
      <w:r w:rsidRPr="00254BC5">
        <w:t>М.</w:t>
      </w:r>
      <w:r w:rsidRPr="00254BC5">
        <w:tab/>
        <w:t>като има предвид, че предишните разширявания често бяха предшествани или придружени от вътрешни институционални реформи по отношение на управлението на ЕС, и като има предвид, че процесите на разширяване обикновено дават силен тласък на развитието и икономическия и демократичния напредък на страните кандидатки;</w:t>
      </w:r>
    </w:p>
    <w:p w14:paraId="0F5604E2" w14:textId="77777777" w:rsidR="00701D4E" w:rsidRPr="00254BC5" w:rsidRDefault="00701D4E" w:rsidP="00701D4E">
      <w:pPr>
        <w:pStyle w:val="NormalHanging12a"/>
        <w:rPr>
          <w:bCs/>
          <w:iCs/>
        </w:rPr>
      </w:pPr>
      <w:r w:rsidRPr="00254BC5">
        <w:t>Н.</w:t>
      </w:r>
      <w:r w:rsidRPr="00254BC5">
        <w:tab/>
        <w:t>като има предвид, че в своята декларация от Гранада от 6 октомври 2023 г. Европейският съвет признава, че необходимото ускоряване на усилията за реформи в страните кандидатки следва да бъде съпътствано от паралелен процес на полагане на основи и провеждане на реформи в рамките на ЕС;</w:t>
      </w:r>
    </w:p>
    <w:p w14:paraId="7205FE88" w14:textId="77777777" w:rsidR="00701D4E" w:rsidRPr="00254BC5" w:rsidRDefault="00701D4E" w:rsidP="00701D4E">
      <w:pPr>
        <w:pStyle w:val="NormalHanging12a"/>
        <w:rPr>
          <w:bCs/>
          <w:iCs/>
        </w:rPr>
      </w:pPr>
      <w:r w:rsidRPr="00254BC5">
        <w:t>О.</w:t>
      </w:r>
      <w:r w:rsidRPr="00254BC5">
        <w:tab/>
        <w:t>като има предвид, че в заключенията си от 27 юни 2024 г. Европейският съвет определи пътна карта за бъдещата работа по вътрешните реформи; като има предвид, че Европейският съвет признава, че укрепването на ЕС и европейския суверенитет изисква реформи, които да позволят на ЕС да изпълни дългосрочните си амбиции, да постигне своите политики и приоритети, както и да отговори на новите геополитически реалности и предизвикателства;</w:t>
      </w:r>
    </w:p>
    <w:p w14:paraId="6B029C97" w14:textId="77777777" w:rsidR="00701D4E" w:rsidRPr="00254BC5" w:rsidRDefault="00701D4E" w:rsidP="00701D4E">
      <w:pPr>
        <w:pStyle w:val="NormalHanging12a"/>
        <w:rPr>
          <w:bCs/>
          <w:iCs/>
        </w:rPr>
      </w:pPr>
      <w:r w:rsidRPr="00254BC5">
        <w:t>П.</w:t>
      </w:r>
      <w:r w:rsidRPr="00254BC5">
        <w:tab/>
        <w:t>като има предвид, че според тези заключения вътрешните реформи следва да напредват успоредно с процеса на разширяване, така че политиките да отговарят на бъдещите условия и да бъдат финансирани по подходящ начин, и така че институциите на ЕС да продължават да функционират и да действат ефективно; като има предвид, че Европейският съвет прикани Комисията да представи през 2025 г. задълбочен преглед на политиката, съсредоточен върху четири направления, а именно ценностите и принципите на правовата държава, политиките, бюджета и управлението;</w:t>
      </w:r>
    </w:p>
    <w:p w14:paraId="5E3E505A" w14:textId="77777777" w:rsidR="00701D4E" w:rsidRPr="00254BC5" w:rsidRDefault="00701D4E" w:rsidP="00701D4E">
      <w:pPr>
        <w:pStyle w:val="NormalHanging12a"/>
      </w:pPr>
      <w:r w:rsidRPr="00254BC5">
        <w:t>Р.</w:t>
      </w:r>
      <w:r w:rsidRPr="00254BC5">
        <w:tab/>
        <w:t>като има предвид, че перспективата за предстоящо разширяване излага ЕС на тройно предизвикателство: да осигури ефективни процедури за вземане на решения (предизвикателство, свързано с ефективността), да събере достатъчно ресурси за постигане на стратегическите си цели (предизвикателство, свързано с правомощията и ресурсите) и да съхрани демократичната легитимност и отчетността на своите действия (предизвикателството, свързано с демокрацията);</w:t>
      </w:r>
    </w:p>
    <w:p w14:paraId="179D8482" w14:textId="77777777" w:rsidR="00701D4E" w:rsidRPr="00254BC5" w:rsidRDefault="00701D4E" w:rsidP="00701D4E">
      <w:pPr>
        <w:pStyle w:val="NormalHanging12a"/>
      </w:pPr>
      <w:r w:rsidRPr="00254BC5">
        <w:t>С.</w:t>
      </w:r>
      <w:r w:rsidRPr="00254BC5">
        <w:tab/>
        <w:t>като има предвид, че реформите на институционалната рамка на ЕС преди разширяването предполагат евентуално поощряване на диференцирани решения за интеграция, когато Договорите позволяват това; като има предвид, че процедурите съгласно членове 20, 42 и 46 от ДЕС относно засиленото сътрудничество и постоянното структурирано сътрудничество позволяват на държавите членки, които желаят това, да задълбочат своята интеграция и да засилят сътрудничеството си в рамките на неизключителната компетентност на ЕС;</w:t>
      </w:r>
    </w:p>
    <w:p w14:paraId="10F133B7" w14:textId="77777777" w:rsidR="00701D4E" w:rsidRPr="00254BC5" w:rsidRDefault="00701D4E" w:rsidP="00701D4E">
      <w:pPr>
        <w:pStyle w:val="NormalHanging12a"/>
      </w:pPr>
      <w:r w:rsidRPr="00254BC5">
        <w:t>Т.</w:t>
      </w:r>
      <w:r w:rsidRPr="00254BC5">
        <w:tab/>
        <w:t xml:space="preserve">като има предвид, че клаузите за </w:t>
      </w:r>
      <w:r w:rsidRPr="00254BC5">
        <w:rPr>
          <w:rStyle w:val="Italic"/>
        </w:rPr>
        <w:t>преход</w:t>
      </w:r>
      <w:r w:rsidRPr="00254BC5">
        <w:t xml:space="preserve"> биха могли да се използват незабавно, така че в конкретни области на политиката изискването за гласуване с единодушие да се замени с гласуване с квалифицирано мнозинство; като има предвид, че ДЕС постановява, че крайната цел на постепенното определяне на </w:t>
      </w:r>
      <w:r w:rsidRPr="00254BC5">
        <w:lastRenderedPageBreak/>
        <w:t>обща политика на отбрана на ЕС е чрез единодушно решение на Европейския съвет да се установи обща отбрана, която трябва да бъде съвместима с НАТО;</w:t>
      </w:r>
    </w:p>
    <w:p w14:paraId="1059A7B5" w14:textId="77777777" w:rsidR="00701D4E" w:rsidRPr="00254BC5" w:rsidRDefault="00701D4E" w:rsidP="00701D4E">
      <w:pPr>
        <w:pStyle w:val="NormalHanging12a"/>
      </w:pPr>
      <w:r w:rsidRPr="00254BC5">
        <w:t>У.</w:t>
      </w:r>
      <w:r w:rsidRPr="00254BC5">
        <w:tab/>
        <w:t>като има предвид, че поради ограничената гъвкавост на Договорите следва да се предвиди по-задълбочена реформа чрез целенасочени промени в Договорите; като има предвид, че Парламентът задейства процедурата за преразглеждане на Договорите и представи на Съвета предложения за изменение на Договорите в съответствие с член 48, параграф 2 от ДЕС;</w:t>
      </w:r>
    </w:p>
    <w:p w14:paraId="5A839562" w14:textId="77777777" w:rsidR="00701D4E" w:rsidRPr="00254BC5" w:rsidRDefault="00701D4E" w:rsidP="00701D4E">
      <w:pPr>
        <w:pStyle w:val="Normal12a24b"/>
      </w:pPr>
      <w:r w:rsidRPr="00254BC5">
        <w:rPr>
          <w:rStyle w:val="BoldItalic"/>
        </w:rPr>
        <w:t xml:space="preserve">Цената на </w:t>
      </w:r>
      <w:proofErr w:type="spellStart"/>
      <w:r w:rsidRPr="00254BC5">
        <w:rPr>
          <w:rStyle w:val="BoldItalic"/>
        </w:rPr>
        <w:t>нереформирането</w:t>
      </w:r>
      <w:proofErr w:type="spellEnd"/>
      <w:r w:rsidRPr="00254BC5">
        <w:rPr>
          <w:rStyle w:val="BoldItalic"/>
        </w:rPr>
        <w:t xml:space="preserve"> на разширения ЕС</w:t>
      </w:r>
    </w:p>
    <w:p w14:paraId="0506A726" w14:textId="77777777" w:rsidR="00701D4E" w:rsidRPr="00254BC5" w:rsidRDefault="00701D4E" w:rsidP="00701D4E">
      <w:pPr>
        <w:pStyle w:val="NormalHanging12a"/>
      </w:pPr>
      <w:r w:rsidRPr="00254BC5">
        <w:t>1.</w:t>
      </w:r>
      <w:r w:rsidRPr="00254BC5">
        <w:tab/>
        <w:t>изразява аргумента, че ЕС и държавите кандидатки винаги са използвали разширяването като политически и геополитически инструмент за насърчаване на демокрацията, стабилността, сигурността и просперитета на целия континент; счита, че разширяването на ЕС представлява дългосрочна геостратегическа инвестиция;</w:t>
      </w:r>
    </w:p>
    <w:p w14:paraId="6B470869" w14:textId="77777777" w:rsidR="00701D4E" w:rsidRPr="00254BC5" w:rsidRDefault="00701D4E" w:rsidP="00701D4E">
      <w:pPr>
        <w:pStyle w:val="NormalHanging12a"/>
      </w:pPr>
      <w:r w:rsidRPr="00254BC5">
        <w:t>2.</w:t>
      </w:r>
      <w:r w:rsidRPr="00254BC5">
        <w:tab/>
        <w:t>подчертава, че агресивната война на Русия срещу Украйна и други геополитически предизвикателства подчертават, че постигането на напредък в процеса на разширяване не търпи отлагане; поддържа становището, че за успешното и устойчиво разширяване са необходими дългосрочна политическа визия и смели решения, насочени към насърчаването на ефективна, силна и демократична Европа;</w:t>
      </w:r>
    </w:p>
    <w:p w14:paraId="1F1A9969" w14:textId="77777777" w:rsidR="00701D4E" w:rsidRPr="00254BC5" w:rsidRDefault="00701D4E" w:rsidP="00701D4E">
      <w:pPr>
        <w:pStyle w:val="NormalHanging12a"/>
      </w:pPr>
      <w:r w:rsidRPr="00254BC5">
        <w:t>3.</w:t>
      </w:r>
      <w:r w:rsidRPr="00254BC5">
        <w:tab/>
        <w:t xml:space="preserve">отбелязва, че опитът показва, че всяка нова вълна на разширяване поражда нови институционални и политически предизвикателства и възможности, по които следва да се действа своевременно, за предпочитане преди страните кандидатки да станат държави членки, така че да се гарантира ефективното функциониране на ЕС и да се предотврати институционален застой; изтъква, че всяко разширяване в контекста на развитието на европейския проект е предшествано или придружено от необходимите вътрешни институционални реформи; </w:t>
      </w:r>
    </w:p>
    <w:p w14:paraId="5A7C0EF6" w14:textId="77777777" w:rsidR="00701D4E" w:rsidRPr="00254BC5" w:rsidRDefault="00701D4E" w:rsidP="00701D4E">
      <w:pPr>
        <w:pStyle w:val="NormalHanging12a"/>
      </w:pPr>
      <w:r w:rsidRPr="00254BC5">
        <w:t>4.</w:t>
      </w:r>
      <w:r w:rsidRPr="00254BC5">
        <w:tab/>
        <w:t>признава, че целта на единодушието е да се гарантира, че се обръща внимание на основателните опасения на всички държави членки; счита обаче, че разширеният ЕС ще изисква по-сложна координация при търсенето на решения за предизвикателствата на настоящия процес на разширяване; подчертава, че е важно да се търсят решения във връзка с трудностите, причинени от изискването за единодушие в Съвета, включително използването на единодушие за междинни стъпки в процеса на разширяване, което би могло да забави присъединяването на нови членове към ЕС поради двустранни въпроси; припомня, че член 49 от ДЕС дава възможност за преминаване към гласуване с квалифицирано мнозинство, без да се изискват промени в Договора; отбелязва тромавата и остаряла структура и управление на бюджета на ЕС, както и възможното преразпределяне на средства от селскостопанските и кохезионните фондове на ЕС; припомня, че разширяването на ЕС е възможност за прекалибриране на ключови политики на ЕС в това отношение; подкрепя инициативи, насочени към повишаване на ефективността на процеса на вземане на решения, който е от ключово значение за повишаване на конкурентоспособността на ЕС;</w:t>
      </w:r>
    </w:p>
    <w:p w14:paraId="6456C796" w14:textId="77777777" w:rsidR="00701D4E" w:rsidRPr="00254BC5" w:rsidRDefault="00701D4E" w:rsidP="00701D4E">
      <w:pPr>
        <w:pStyle w:val="NormalHanging12a"/>
      </w:pPr>
      <w:r w:rsidRPr="00254BC5">
        <w:t>5.</w:t>
      </w:r>
      <w:r w:rsidRPr="00254BC5">
        <w:tab/>
        <w:t xml:space="preserve">отново заявява своята позиция, че задълбочаването на Съюза, процесите на неговото разширяване и европейското обединение следва да вървят ръка за ръка; </w:t>
      </w:r>
      <w:r w:rsidRPr="00254BC5">
        <w:lastRenderedPageBreak/>
        <w:t xml:space="preserve">подчертава, че са необходими институционални и финансови реформи на ЕС, за да се преодолеят предизвикателствата на настоящия процес на разширяване и да се гарантира способността на ЕС да приема нови членове и да насърчава успешната им интеграция, без да се дестабилизират икономиките на останалите държави членки или да се изостря социалното напрежение; </w:t>
      </w:r>
    </w:p>
    <w:p w14:paraId="7033A59F" w14:textId="77777777" w:rsidR="00701D4E" w:rsidRPr="00254BC5" w:rsidRDefault="00701D4E" w:rsidP="00701D4E">
      <w:pPr>
        <w:pStyle w:val="NormalHanging12a"/>
      </w:pPr>
      <w:r w:rsidRPr="00254BC5">
        <w:t>6.</w:t>
      </w:r>
      <w:r w:rsidRPr="00254BC5">
        <w:tab/>
        <w:t xml:space="preserve">отчита, че </w:t>
      </w:r>
      <w:proofErr w:type="spellStart"/>
      <w:r w:rsidRPr="00254BC5">
        <w:t>ad</w:t>
      </w:r>
      <w:proofErr w:type="spellEnd"/>
      <w:r w:rsidRPr="00254BC5">
        <w:t xml:space="preserve"> </w:t>
      </w:r>
      <w:proofErr w:type="spellStart"/>
      <w:r w:rsidRPr="00254BC5">
        <w:t>hoc</w:t>
      </w:r>
      <w:proofErr w:type="spellEnd"/>
      <w:r w:rsidRPr="00254BC5">
        <w:t xml:space="preserve"> решенията биха могли да послужат като временни решения, но че те са лишени от предвидимост, демократична прозрачност и отчетност, както и дългосрочна устойчивост, които само структурните реформи могат да осигурят;</w:t>
      </w:r>
    </w:p>
    <w:p w14:paraId="0865C6B1" w14:textId="77777777" w:rsidR="00701D4E" w:rsidRPr="00254BC5" w:rsidRDefault="00701D4E" w:rsidP="00701D4E">
      <w:pPr>
        <w:pStyle w:val="Normal12a24b"/>
      </w:pPr>
      <w:r w:rsidRPr="00254BC5">
        <w:rPr>
          <w:rStyle w:val="BoldItalic"/>
        </w:rPr>
        <w:t>Цели на институционалните реформи преди разширяването: ефективност, правомощия и демокрация</w:t>
      </w:r>
    </w:p>
    <w:p w14:paraId="43842694" w14:textId="77777777" w:rsidR="00701D4E" w:rsidRPr="00254BC5" w:rsidRDefault="00701D4E" w:rsidP="00701D4E">
      <w:pPr>
        <w:pStyle w:val="NormalHanging12a"/>
      </w:pPr>
      <w:r w:rsidRPr="00254BC5">
        <w:t>7.</w:t>
      </w:r>
      <w:r w:rsidRPr="00254BC5">
        <w:tab/>
        <w:t>изразява твърдото си убеждение, че институционалните реформи на ЕС, независимо от процедурата за вземане на решения за тяхното приемане, следва да увеличат способността на ЕС да действа ефективно и своевременно; изтъква, че реформите на институционалната рамка на ЕС преди разширяването следва да са съобразени с целите да се повиши ефективността на ЕС, да се увеличи влиянието на ЕС на световната сцена и да се повишат демократичността, легитимността и отчетността на ЕС;</w:t>
      </w:r>
    </w:p>
    <w:p w14:paraId="3FC8D109" w14:textId="77777777" w:rsidR="00701D4E" w:rsidRPr="00254BC5" w:rsidRDefault="00701D4E" w:rsidP="00701D4E">
      <w:pPr>
        <w:pStyle w:val="Normal12a24b"/>
      </w:pPr>
      <w:r w:rsidRPr="00254BC5">
        <w:rPr>
          <w:rStyle w:val="Italic"/>
        </w:rPr>
        <w:t>Предизвикателството, свързано с ефективността</w:t>
      </w:r>
    </w:p>
    <w:p w14:paraId="160814DF" w14:textId="77777777" w:rsidR="00701D4E" w:rsidRPr="00254BC5" w:rsidRDefault="00701D4E" w:rsidP="00701D4E">
      <w:pPr>
        <w:pStyle w:val="NormalHanging12a"/>
      </w:pPr>
      <w:r w:rsidRPr="00254BC5">
        <w:t>8.</w:t>
      </w:r>
      <w:r w:rsidRPr="00254BC5">
        <w:tab/>
        <w:t>подчертава, че за да се повиши ефективността на разширения ЕС, съставът на институциите на ЕС следва да бъде адаптиран и да стане по-ефективен, а тяхното функциониране да се подобри; предлага процесът на разширяване да бъде подкрепен от ранното и тясно участие на страните кандидатки във функционирането на институциите на ЕС, например чрез статута на наблюдатели; отбелязва, че това би могло да бъде успешно постигнато по начин, подобен на този по време на разширяването от 2004 г.; отбелязва, като положителен пример за такава постепенна интеграция, усилията на Комисията да включи страните кандидатки в областта на сигурността и отбраната, по-специално чрез посочването им в Бялата книга за бъдещето на отбраната на ЕС и в стратегията за вътрешна сигурност;</w:t>
      </w:r>
    </w:p>
    <w:p w14:paraId="4F15773E" w14:textId="77777777" w:rsidR="00701D4E" w:rsidRPr="00254BC5" w:rsidRDefault="00701D4E" w:rsidP="00701D4E">
      <w:pPr>
        <w:pStyle w:val="NormalHanging12a"/>
      </w:pPr>
      <w:r w:rsidRPr="00254BC5">
        <w:t>9.</w:t>
      </w:r>
      <w:r w:rsidRPr="00254BC5">
        <w:tab/>
        <w:t>отбелязва, че институционалните реформи преди разширяването трябва също така да обхванат последиците от разширяването за състава на Парламента; подчертава, че успоредно с осигуряването на подходяща демократична представителност следва да се гарантира, че размерът на Парламента ще продължи да позволява функционирането на институцията; подчертава, че е необходимо да се даде приоритет на вътрешната и междуинституционалната работа по разработването на постоянен механизъм за разпределение на местата, който да е в състояние да осигури справедливо, прозрачно и трайно демографско и географско представителство, като се спазва принципът на регресивна пропорционалност; припомня своята позиция, че съставът на Парламента следва да се разглежда заедно със системата за гласуване в Съвета;</w:t>
      </w:r>
    </w:p>
    <w:p w14:paraId="058C6343" w14:textId="340A2929" w:rsidR="00701D4E" w:rsidRPr="00254BC5" w:rsidRDefault="00701D4E" w:rsidP="00701D4E">
      <w:pPr>
        <w:pStyle w:val="NormalHanging12a"/>
      </w:pPr>
      <w:r w:rsidRPr="00254BC5">
        <w:t>10.</w:t>
      </w:r>
      <w:r w:rsidRPr="00254BC5">
        <w:tab/>
        <w:t xml:space="preserve">отбелязва, че настоящият състав на Комисията трябва да отразява разширяването; във връзка с това припомня гъвкавостта, предвидена в Договора от Лисабон; подчертава, че всяко намаляване на числеността на колегиума на членовете на </w:t>
      </w:r>
      <w:r w:rsidRPr="00254BC5">
        <w:lastRenderedPageBreak/>
        <w:t>Комисията, както е предвидено в член 17, параграф 5 от ДЕС, трябва да продължи да гарантира балансиран в географско, демографско и полово отношение състав на Комисията;</w:t>
      </w:r>
    </w:p>
    <w:p w14:paraId="75C8BDBB" w14:textId="60E7B4A6" w:rsidR="00701D4E" w:rsidRPr="00254BC5" w:rsidRDefault="00701D4E" w:rsidP="00701D4E">
      <w:pPr>
        <w:pStyle w:val="NormalHanging12a"/>
        <w:rPr>
          <w:bCs/>
          <w:iCs/>
        </w:rPr>
      </w:pPr>
      <w:r w:rsidRPr="00254BC5">
        <w:t>11.</w:t>
      </w:r>
      <w:r w:rsidRPr="00254BC5">
        <w:tab/>
        <w:t>признава необходимостта от обмисляне на преразглеждането на процеса на функциониране и вземане на решения на Съвета с оглед на разширяването; отбелязва, че квалифицираното мнозинство трябва да бъде определено наново, за да се подобри балансът между по-големите и по-малките държави и да се запазят по-високите прагове за най-важните и политически деликатни решения; във връзка с това припомня своята резолюция от 22 ноември 2023 г. относно предложения на Европейския парламент за преразглеждане на Договорите, по-специално относно мнозинствата при гласуванията в Съвета; в контекста на разширяването призовава за максимална прозрачност и почтеност на процеса на вземане на решения на Съвета;</w:t>
      </w:r>
    </w:p>
    <w:p w14:paraId="31239836" w14:textId="77777777" w:rsidR="00701D4E" w:rsidRPr="00254BC5" w:rsidRDefault="00701D4E" w:rsidP="00701D4E">
      <w:pPr>
        <w:pStyle w:val="NormalHanging12a"/>
      </w:pPr>
      <w:bookmarkStart w:id="8" w:name="_Hlk208310878"/>
      <w:r w:rsidRPr="00254BC5">
        <w:t>12.</w:t>
      </w:r>
      <w:r w:rsidRPr="00254BC5">
        <w:tab/>
        <w:t>предлага укрепване и реформиране на процедурата по член 7 от ДЕС, като се сложи край на единодушието при вземането на решения от Европейския съвет, като се въведе ясен график и се определи, че Съдът на Европейския съюз изпълнява ролята на арбитър за нарушенията;</w:t>
      </w:r>
      <w:bookmarkEnd w:id="8"/>
    </w:p>
    <w:p w14:paraId="3D930B09" w14:textId="77777777" w:rsidR="00701D4E" w:rsidRPr="00254BC5" w:rsidRDefault="00701D4E" w:rsidP="00701D4E">
      <w:pPr>
        <w:pStyle w:val="Normal12a24b"/>
      </w:pPr>
      <w:r w:rsidRPr="00254BC5">
        <w:rPr>
          <w:rStyle w:val="Italic"/>
        </w:rPr>
        <w:t>Предизвикателството, свързано с правомощията и ресурсите</w:t>
      </w:r>
    </w:p>
    <w:p w14:paraId="4D1B33AE" w14:textId="77777777" w:rsidR="00701D4E" w:rsidRPr="00254BC5" w:rsidRDefault="00701D4E" w:rsidP="00701D4E">
      <w:pPr>
        <w:pStyle w:val="NormalHanging12a"/>
      </w:pPr>
      <w:r w:rsidRPr="00254BC5">
        <w:t>13.</w:t>
      </w:r>
      <w:r w:rsidRPr="00254BC5">
        <w:tab/>
        <w:t xml:space="preserve">отново призовава за преразглеждане на управлението на МФР, а именно чрез предоставяне на пълни </w:t>
      </w:r>
      <w:proofErr w:type="spellStart"/>
      <w:r w:rsidRPr="00254BC5">
        <w:t>съзаконодателни</w:t>
      </w:r>
      <w:proofErr w:type="spellEnd"/>
      <w:r w:rsidRPr="00254BC5">
        <w:t xml:space="preserve"> правомощия по отношение на разходната част на бюджета на ЕС, включително по отношение на приемането на МФР;</w:t>
      </w:r>
    </w:p>
    <w:p w14:paraId="279A8B21" w14:textId="77777777" w:rsidR="00701D4E" w:rsidRPr="00254BC5" w:rsidRDefault="00701D4E" w:rsidP="00701D4E">
      <w:pPr>
        <w:pStyle w:val="NormalHanging12a"/>
        <w:rPr>
          <w:bCs/>
          <w:iCs/>
        </w:rPr>
      </w:pPr>
      <w:r w:rsidRPr="00254BC5">
        <w:t>14.</w:t>
      </w:r>
      <w:r w:rsidRPr="00254BC5">
        <w:tab/>
        <w:t>изразява убеждението си, че настоящата клауза за задължително преразглеждане при евентуално разширяване на Съюза следва да се запази в следващата МФР и че националните пакети не следва да бъдат засегнати от това; подчертава, че следващата МФР ще трябва също така да въведе подходящи преходни и поетапни мерки за ключовите разходни области, като например сближаването и селското стопанство, въз основа на внимателна оценка на последиците за различните сектори;</w:t>
      </w:r>
    </w:p>
    <w:p w14:paraId="6ED8408F" w14:textId="77777777" w:rsidR="00701D4E" w:rsidRPr="00254BC5" w:rsidRDefault="00701D4E" w:rsidP="00701D4E">
      <w:pPr>
        <w:pStyle w:val="NormalHanging12a"/>
        <w:rPr>
          <w:bCs/>
          <w:iCs/>
        </w:rPr>
      </w:pPr>
      <w:r w:rsidRPr="00254BC5">
        <w:t>15.</w:t>
      </w:r>
      <w:r w:rsidRPr="00254BC5">
        <w:tab/>
        <w:t>счита, че следващата МФР ще бъде от решаващо значение за подготовката на ЕС за разширяването, а за страните кандидатки – за присъединяването;</w:t>
      </w:r>
    </w:p>
    <w:p w14:paraId="7931AA67" w14:textId="77777777" w:rsidR="00701D4E" w:rsidRPr="00254BC5" w:rsidRDefault="00701D4E" w:rsidP="00701D4E">
      <w:pPr>
        <w:pStyle w:val="NormalHanging12a"/>
      </w:pPr>
      <w:r w:rsidRPr="00254BC5">
        <w:t>16.</w:t>
      </w:r>
      <w:r w:rsidRPr="00254BC5">
        <w:tab/>
        <w:t>припомня позицията на Парламента, изразена в неговата резолюция от 7 май 2025 г. относно обновен дългосрочен бюджет на Съюза в един променящ се свят</w:t>
      </w:r>
      <w:r w:rsidRPr="00254BC5">
        <w:rPr>
          <w:rStyle w:val="FootnoteReference"/>
        </w:rPr>
        <w:footnoteReference w:id="7"/>
      </w:r>
      <w:r w:rsidRPr="00254BC5">
        <w:t>, че дългосрочният бюджет на ЕС трябва да изостави традиционното досега рестриктивно, самоналожено равнище от 1% от общия брутен национален доход; подчертава, че докладите на Драги и Лета показаха, че са необходими значителни допълнителни собствени ресурси, за да може ЕС да стане по-конкурентоспособен, да завърши справедливия и екологичен преход и да бъде в състояние да се защитава самостоятелно от руската агресия до 2030 г.;</w:t>
      </w:r>
    </w:p>
    <w:p w14:paraId="01632663" w14:textId="77777777" w:rsidR="00701D4E" w:rsidRPr="00254BC5" w:rsidRDefault="00701D4E" w:rsidP="00701D4E">
      <w:pPr>
        <w:pStyle w:val="NormalHanging12a"/>
      </w:pPr>
      <w:r w:rsidRPr="00254BC5">
        <w:t>17.</w:t>
      </w:r>
      <w:r w:rsidRPr="00254BC5">
        <w:tab/>
        <w:t xml:space="preserve">подчертава, че МФР за периода след 2027 г. и един по-ефективен бюджет, включително новият пакет за собствените ресурси, следва да дадат възможност на </w:t>
      </w:r>
      <w:r w:rsidRPr="00254BC5">
        <w:lastRenderedPageBreak/>
        <w:t xml:space="preserve">ЕС да премине решително към разширяване, като същевременно се запазят настоящите политики, програми и приоритети; </w:t>
      </w:r>
    </w:p>
    <w:p w14:paraId="53C445E8" w14:textId="77777777" w:rsidR="00701D4E" w:rsidRPr="00254BC5" w:rsidRDefault="00701D4E" w:rsidP="00701D4E">
      <w:pPr>
        <w:pStyle w:val="Normal12a24b"/>
      </w:pPr>
      <w:r w:rsidRPr="00254BC5">
        <w:rPr>
          <w:rStyle w:val="Italic"/>
        </w:rPr>
        <w:t>Предизвикателството, свързано с демокрацията</w:t>
      </w:r>
    </w:p>
    <w:p w14:paraId="2BBAB9FD" w14:textId="77777777" w:rsidR="00701D4E" w:rsidRPr="00254BC5" w:rsidRDefault="00701D4E" w:rsidP="00701D4E">
      <w:pPr>
        <w:pStyle w:val="NormalHanging12a"/>
      </w:pPr>
      <w:r w:rsidRPr="00254BC5">
        <w:t>18.</w:t>
      </w:r>
      <w:r w:rsidRPr="00254BC5">
        <w:tab/>
        <w:t>подчертава значението на стимулирането на демократичната легитимност на политиките на ЕС чрез укрепване на правата на вземане на решения и контрол, включително силно право на разследване, на Европейския парламент, който е единствената пряко избрана институция, представляваща гражданите на ЕС;</w:t>
      </w:r>
    </w:p>
    <w:p w14:paraId="357DE2A5" w14:textId="77777777" w:rsidR="00701D4E" w:rsidRPr="00254BC5" w:rsidRDefault="00701D4E" w:rsidP="00701D4E">
      <w:pPr>
        <w:pStyle w:val="NormalHanging12a"/>
        <w:rPr>
          <w:bCs/>
          <w:iCs/>
        </w:rPr>
      </w:pPr>
      <w:r w:rsidRPr="00254BC5">
        <w:t>19.</w:t>
      </w:r>
      <w:r w:rsidRPr="00254BC5">
        <w:tab/>
        <w:t>подчертава ключовата роля, която парламентите на присъединяващите се към ЕС държави играят в процеса на присъединяване, по-специално при приемането на законодателство, свързано с присъединяването, и подчертава значението на парламентарното сътрудничество и изграждането на консенсус по въпросите на присъединяването към ЕС в това отношение; отново заявява готовността на Европейския парламент да използва своите политически и технически ресурси, за да се помогне на парламентите в присъединяващите се държави да постигнат напредък по отношение на реформите, свързани с ЕС, включително чрез дейности в подкрепа на демокрацията; приветства напредъка, постигнат в редица страни кандидатки, включително чрез дейности по посредничество и процеса на диалог „Жан Моне“;</w:t>
      </w:r>
    </w:p>
    <w:p w14:paraId="396CB593" w14:textId="77777777" w:rsidR="00701D4E" w:rsidRPr="00254BC5" w:rsidRDefault="00701D4E" w:rsidP="00701D4E">
      <w:pPr>
        <w:pStyle w:val="NormalHanging12a"/>
      </w:pPr>
      <w:r w:rsidRPr="00254BC5">
        <w:t>20.</w:t>
      </w:r>
      <w:r w:rsidRPr="00254BC5">
        <w:tab/>
        <w:t>подчертава, че реформирането на процесите на вземане на решения в ЕС изисква Парламентът да бъде допълнително оправомощен, като бъде поставен на равни начала със Съвета; отново призовава на Парламента да се предостави пълното право на законодателна инициатива, а именно правото да предлага, изменя или отменя законодателни актове на Съюза; изразява убеждението си, че едно общо и пряко право на инициатива би укрепило допълнително демократичната легитимност на ЕС и би дало повече права на гражданите на ЕС;</w:t>
      </w:r>
    </w:p>
    <w:p w14:paraId="1A7E95E1" w14:textId="77777777" w:rsidR="00701D4E" w:rsidRPr="00254BC5" w:rsidRDefault="00701D4E" w:rsidP="00701D4E">
      <w:pPr>
        <w:pStyle w:val="NormalHanging12a"/>
        <w:rPr>
          <w:bCs/>
          <w:iCs/>
        </w:rPr>
      </w:pPr>
      <w:r w:rsidRPr="00254BC5">
        <w:t>21.</w:t>
      </w:r>
      <w:r w:rsidRPr="00254BC5">
        <w:tab/>
        <w:t>признава, че преките права на инициатива на Парламента далеч не са достатъчни, за да позволят на Парламента да представлява гражданите на ЕС, гражданското общество и социалните партньори в рамките на европейските институции, като на практика оставят на Комисията монопол върху законодателната инициатива;</w:t>
      </w:r>
    </w:p>
    <w:p w14:paraId="0548AB8A" w14:textId="77777777" w:rsidR="00701D4E" w:rsidRPr="00254BC5" w:rsidRDefault="00701D4E" w:rsidP="00701D4E">
      <w:pPr>
        <w:pStyle w:val="NormalHanging12a"/>
        <w:rPr>
          <w:bCs/>
          <w:iCs/>
        </w:rPr>
      </w:pPr>
      <w:r w:rsidRPr="00254BC5">
        <w:t>22.</w:t>
      </w:r>
      <w:r w:rsidRPr="00254BC5">
        <w:tab/>
        <w:t>подчертава, че с Договора от Лисабон на Парламента вече са предоставени преки права на инициатива, като се признават компетентността му да се самоорганизира, контролната му функция и неговата демократична легитимност като единствената пряко избрана институция на ЕС;</w:t>
      </w:r>
    </w:p>
    <w:p w14:paraId="4FE97598" w14:textId="7B1B4521" w:rsidR="00701D4E" w:rsidRPr="00254BC5" w:rsidRDefault="00701D4E" w:rsidP="00701D4E">
      <w:pPr>
        <w:pStyle w:val="NormalHanging12a"/>
      </w:pPr>
      <w:r w:rsidRPr="00254BC5">
        <w:t>23.</w:t>
      </w:r>
      <w:r w:rsidRPr="00254BC5">
        <w:tab/>
        <w:t>счита, че е от съществено значение да се подобри прозрачността и демократичната отчетност на Парламента чрез укрепване на европейското измерение на изборите и чрез определяне на единни избирателни правила за целия ЕС; призовава оставащата държава членка да ратифицира Решение 2018/994 на Съвета</w:t>
      </w:r>
      <w:r w:rsidRPr="00254BC5">
        <w:rPr>
          <w:rStyle w:val="FootnoteReference"/>
        </w:rPr>
        <w:footnoteReference w:id="8"/>
      </w:r>
      <w:r w:rsidRPr="00254BC5">
        <w:t xml:space="preserve">; призовава Съвета да работи по предложенията, съдържащи </w:t>
      </w:r>
      <w:r w:rsidRPr="00254BC5">
        <w:lastRenderedPageBreak/>
        <w:t>се в позицията на Парламента от 3 май 2022 г.</w:t>
      </w:r>
      <w:r w:rsidRPr="00254BC5">
        <w:rPr>
          <w:vertAlign w:val="superscript"/>
        </w:rPr>
        <w:footnoteReference w:id="9"/>
      </w:r>
      <w:r w:rsidRPr="00254BC5">
        <w:t xml:space="preserve">; отново призовава Парламента и Съвета да постигнат напредък в дискусиите относно въвеждането на постоянен механизъм за разпределяне на местата в Европейския парламент; </w:t>
      </w:r>
    </w:p>
    <w:p w14:paraId="4A51255B" w14:textId="77777777" w:rsidR="00701D4E" w:rsidRPr="00254BC5" w:rsidRDefault="00701D4E" w:rsidP="00701D4E">
      <w:pPr>
        <w:pStyle w:val="Normal12a24b"/>
      </w:pPr>
      <w:r w:rsidRPr="00254BC5">
        <w:rPr>
          <w:rStyle w:val="BoldItalic"/>
        </w:rPr>
        <w:t>Средства за прилагане на институционалните реформи преди разширяването</w:t>
      </w:r>
    </w:p>
    <w:p w14:paraId="2612E56F" w14:textId="77777777" w:rsidR="00701D4E" w:rsidRPr="00254BC5" w:rsidRDefault="00701D4E" w:rsidP="00701D4E">
      <w:pPr>
        <w:pStyle w:val="NormalHanging12a"/>
      </w:pPr>
      <w:r w:rsidRPr="00254BC5">
        <w:t>24.</w:t>
      </w:r>
      <w:r w:rsidRPr="00254BC5">
        <w:tab/>
        <w:t>счита, че горепосочените цели на институционалните реформи преди разширяването могат да бъдат изпълнени с различни средства, включително чрез задействане на възможностите за гъвкавост, предлагани от настоящите Договори, чрез едно или повече целенасочени изменения на Договорите;</w:t>
      </w:r>
    </w:p>
    <w:p w14:paraId="3DF890D7" w14:textId="77777777" w:rsidR="00701D4E" w:rsidRPr="00254BC5" w:rsidRDefault="00701D4E" w:rsidP="00701D4E">
      <w:pPr>
        <w:pStyle w:val="NormalHanging12a"/>
      </w:pPr>
      <w:r w:rsidRPr="00254BC5">
        <w:t>25.</w:t>
      </w:r>
      <w:r w:rsidRPr="00254BC5">
        <w:tab/>
        <w:t xml:space="preserve">припомня, че редица инструменти за гъвкавост, като клаузите за </w:t>
      </w:r>
      <w:r w:rsidRPr="00254BC5">
        <w:rPr>
          <w:rStyle w:val="Italic"/>
        </w:rPr>
        <w:t>преход</w:t>
      </w:r>
      <w:r w:rsidRPr="00254BC5">
        <w:t>, засиленото сътрудничество, конструктивното въздържане, постоянното структурирано сътрудничество и механизмите за неучастие, вече са възможни съгласно настоящата правна рамка на ЕС, за което свидетелства опитът с Шенгенското пространство – едно от най-големите постижения на ЕС – и с единната валута; припомня, че в контекста на процедурите по присъединяване може да се договарят решения за поетапно въвеждане, временни дерогации и преходни периоди;</w:t>
      </w:r>
    </w:p>
    <w:p w14:paraId="03D966D2" w14:textId="77777777" w:rsidR="00701D4E" w:rsidRPr="00254BC5" w:rsidRDefault="00701D4E" w:rsidP="00701D4E">
      <w:pPr>
        <w:pStyle w:val="NormalHanging12a"/>
        <w:rPr>
          <w:bCs/>
          <w:iCs/>
        </w:rPr>
      </w:pPr>
      <w:r w:rsidRPr="00254BC5">
        <w:t>26.</w:t>
      </w:r>
      <w:r w:rsidRPr="00254BC5">
        <w:tab/>
        <w:t>отново заявява своята позиция, че диференцираната интеграция следва винаги да се осъществява в рамките на Договорите, следва да поддържа единството на институциите на ЕС и следва да не води до</w:t>
      </w:r>
      <w:r w:rsidRPr="00254BC5">
        <w:rPr>
          <w:b/>
          <w:i/>
        </w:rPr>
        <w:t xml:space="preserve"> </w:t>
      </w:r>
      <w:r w:rsidRPr="00254BC5">
        <w:t>създаването на паралелни институционални договорености или договорености, които непряко нарушават духа и основните принципи на правото на ЕС, а вместо това следва да дава възможност за създаване на конкретни органи, когато това е целесъобразно, без да се засягат правомощията и ролята на институциите на ЕС;</w:t>
      </w:r>
    </w:p>
    <w:p w14:paraId="464A2A2E" w14:textId="77777777" w:rsidR="00701D4E" w:rsidRPr="00254BC5" w:rsidRDefault="00701D4E" w:rsidP="00701D4E">
      <w:pPr>
        <w:pStyle w:val="NormalHanging12a"/>
        <w:tabs>
          <w:tab w:val="left" w:pos="709"/>
        </w:tabs>
      </w:pPr>
      <w:r w:rsidRPr="00254BC5">
        <w:t>27.</w:t>
      </w:r>
      <w:r w:rsidRPr="00254BC5">
        <w:tab/>
        <w:t>подчертава, че възможностите за гъвкавост, предвидени в настоящите Договори, позволяват да се направи повече, за да се постигне напредък за Европейски съюз за отбрана, без да се изисква всеобхватен процес на реформа на Договора; подчертава, че създаването на постоянен Европейски съюз за отбрана в крайна сметка ще изисква единодушно решение в съответствие с член 42, параграф 2;</w:t>
      </w:r>
    </w:p>
    <w:p w14:paraId="264100C7" w14:textId="77777777" w:rsidR="00701D4E" w:rsidRPr="00254BC5" w:rsidRDefault="00701D4E" w:rsidP="00701D4E">
      <w:pPr>
        <w:pStyle w:val="NormalHanging12a"/>
      </w:pPr>
      <w:r w:rsidRPr="00254BC5">
        <w:t>28.</w:t>
      </w:r>
      <w:r w:rsidRPr="00254BC5">
        <w:tab/>
        <w:t>подчертава, че в областта на отбраната постоянното структурирано сътрудничество (предишен член 46 от ДЕС) дава възможност на група държави членки да осъществят напредък с оглед на създаването на европейска отбранителна система; отбелязва, че въпреки факта, че постоянното структурирано сътрудничество се използва главно за промишлени проекти в областта на отбраната, то потенциално предлага по-широки възможности на държавите членки, които желаят това, своевременно да придадат институционален характер на общата отбрана дори при липса на единодушие в рамките на Европейския съвет;</w:t>
      </w:r>
    </w:p>
    <w:p w14:paraId="26C79282" w14:textId="77777777" w:rsidR="00701D4E" w:rsidRPr="00254BC5" w:rsidRDefault="00701D4E" w:rsidP="00701D4E">
      <w:pPr>
        <w:pStyle w:val="NormalHanging12a"/>
      </w:pPr>
      <w:r w:rsidRPr="00254BC5">
        <w:lastRenderedPageBreak/>
        <w:t>29.</w:t>
      </w:r>
      <w:r w:rsidRPr="00254BC5">
        <w:tab/>
        <w:t>подчертава, че съгласно съществуващите разпоредби на Договорите е възможно да се вземе решение с квалифицирано мнозинство, което би позволило да се създаде европейска отбранителна система съгласно член 42, параграф 6 от ДЕС и член 1, буква б) от Протокол № 10 и същевременно би оставило отворена вратата за присъединяването на други държави членки на по-късен етап, какъвто беше случаят с Икономическия и паричен съюз; във връзка с това призовава Комисията и желаещите държави членки незабавно да задействат разпоредбите за постоянно структурирано сътрудничество за тази цел;</w:t>
      </w:r>
    </w:p>
    <w:p w14:paraId="09F9CC6A" w14:textId="7D58EB48" w:rsidR="00701D4E" w:rsidRDefault="00701D4E" w:rsidP="00376BAD">
      <w:pPr>
        <w:pStyle w:val="NormalHanging12a"/>
      </w:pPr>
      <w:r w:rsidRPr="00254BC5">
        <w:t>3</w:t>
      </w:r>
      <w:r w:rsidR="00C7089D">
        <w:t>0</w:t>
      </w:r>
      <w:r w:rsidRPr="00254BC5">
        <w:t>.</w:t>
      </w:r>
      <w:r w:rsidRPr="00254BC5">
        <w:tab/>
        <w:t>призовава Комисията и Съвета да съобщят ясно констатациите от прегледите на политиките и да разработят, в сътрудничество с Парламента, реалистична, последователна пътна карта за осъществяване на необходимите институционални реформи във връзка с процеса на разширяване;</w:t>
      </w:r>
    </w:p>
    <w:p w14:paraId="5317C900" w14:textId="5286D9BE" w:rsidR="00376BAD" w:rsidRDefault="00376BAD" w:rsidP="00376BAD">
      <w:pPr>
        <w:pStyle w:val="NormalHanging12a"/>
        <w:ind w:left="0" w:firstLine="0"/>
        <w:jc w:val="center"/>
        <w:rPr>
          <w:bCs/>
          <w:iCs/>
        </w:rPr>
      </w:pPr>
      <w:r>
        <w:rPr>
          <w:bCs/>
          <w:iCs/>
        </w:rPr>
        <w:t>°</w:t>
      </w:r>
    </w:p>
    <w:p w14:paraId="5EF31E1E" w14:textId="2FD74003" w:rsidR="00376BAD" w:rsidRDefault="00376BAD" w:rsidP="00376BAD">
      <w:pPr>
        <w:pStyle w:val="NormalHanging12a"/>
        <w:ind w:left="0" w:firstLine="0"/>
        <w:jc w:val="center"/>
        <w:rPr>
          <w:bCs/>
          <w:iCs/>
        </w:rPr>
      </w:pPr>
      <w:r>
        <w:rPr>
          <w:bCs/>
          <w:iCs/>
        </w:rPr>
        <w:t>°     °</w:t>
      </w:r>
    </w:p>
    <w:p w14:paraId="4F23A638" w14:textId="574711C1" w:rsidR="00254BC5" w:rsidRPr="00254BC5" w:rsidRDefault="00701D4E" w:rsidP="00254BC5">
      <w:pPr>
        <w:pStyle w:val="NormalHanging12a"/>
      </w:pPr>
      <w:r w:rsidRPr="00254BC5">
        <w:t>3</w:t>
      </w:r>
      <w:r w:rsidR="00C7089D">
        <w:t>1</w:t>
      </w:r>
      <w:r w:rsidRPr="00254BC5">
        <w:t>.</w:t>
      </w:r>
      <w:r w:rsidRPr="00254BC5">
        <w:tab/>
        <w:t>възлага на своя председател да предаде настоящата резолюция съответно на Съвета и на Комисията.</w:t>
      </w:r>
    </w:p>
    <w:p w14:paraId="2A441069" w14:textId="6A7A3D33" w:rsidR="00E365E1" w:rsidRPr="00254BC5" w:rsidRDefault="00E365E1" w:rsidP="00001235"/>
    <w:sectPr w:rsidR="00E365E1" w:rsidRPr="00254BC5" w:rsidSect="00254B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0290C" w14:textId="77777777" w:rsidR="00001235" w:rsidRPr="00254BC5" w:rsidRDefault="00001235">
      <w:r w:rsidRPr="00254BC5">
        <w:separator/>
      </w:r>
    </w:p>
  </w:endnote>
  <w:endnote w:type="continuationSeparator" w:id="0">
    <w:p w14:paraId="7632C043" w14:textId="77777777" w:rsidR="00001235" w:rsidRPr="00254BC5" w:rsidRDefault="00001235">
      <w:r w:rsidRPr="00254B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E4612" w14:textId="77777777" w:rsidR="00064002" w:rsidRPr="00254BC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3EA79" w14:textId="77777777" w:rsidR="00064002" w:rsidRPr="00254BC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F35BE" w14:textId="77777777" w:rsidR="00064002" w:rsidRPr="00254BC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AFE90" w14:textId="77777777" w:rsidR="00001235" w:rsidRPr="00254BC5" w:rsidRDefault="00001235">
      <w:r w:rsidRPr="00254BC5">
        <w:separator/>
      </w:r>
    </w:p>
  </w:footnote>
  <w:footnote w:type="continuationSeparator" w:id="0">
    <w:p w14:paraId="7E550495" w14:textId="77777777" w:rsidR="00001235" w:rsidRPr="00254BC5" w:rsidRDefault="00001235">
      <w:r w:rsidRPr="00254BC5">
        <w:continuationSeparator/>
      </w:r>
    </w:p>
  </w:footnote>
  <w:footnote w:id="1">
    <w:p w14:paraId="41D365B0" w14:textId="656DB002" w:rsidR="00701D4E" w:rsidRPr="00254BC5" w:rsidRDefault="00701D4E" w:rsidP="00254BC5">
      <w:pPr>
        <w:pStyle w:val="FootnoteText"/>
        <w:ind w:left="567" w:hanging="567"/>
        <w:rPr>
          <w:sz w:val="24"/>
          <w:lang w:val="bg-BG"/>
        </w:rPr>
      </w:pPr>
      <w:r w:rsidRPr="00254BC5">
        <w:rPr>
          <w:rStyle w:val="FootnoteReference"/>
          <w:sz w:val="24"/>
          <w:lang w:val="bg-BG"/>
        </w:rPr>
        <w:footnoteRef/>
      </w:r>
      <w:r w:rsidR="00254BC5" w:rsidRPr="00254BC5">
        <w:rPr>
          <w:sz w:val="24"/>
          <w:lang w:val="bg-BG"/>
        </w:rPr>
        <w:t xml:space="preserve"> </w:t>
      </w:r>
      <w:r w:rsidR="00254BC5" w:rsidRPr="00254BC5">
        <w:rPr>
          <w:sz w:val="24"/>
          <w:lang w:val="bg-BG"/>
        </w:rPr>
        <w:tab/>
      </w:r>
      <w:r w:rsidRPr="00254BC5">
        <w:rPr>
          <w:sz w:val="24"/>
          <w:lang w:val="bg-BG"/>
        </w:rPr>
        <w:t>OВ C 252, 18.7.2018 г., стр. 215.</w:t>
      </w:r>
    </w:p>
  </w:footnote>
  <w:footnote w:id="2">
    <w:p w14:paraId="65F0EC7F" w14:textId="0558BBE2" w:rsidR="00701D4E" w:rsidRPr="00254BC5" w:rsidRDefault="00701D4E" w:rsidP="00254BC5">
      <w:pPr>
        <w:pStyle w:val="FootnoteText"/>
        <w:ind w:left="567" w:hanging="567"/>
        <w:rPr>
          <w:sz w:val="24"/>
          <w:lang w:val="bg-BG"/>
        </w:rPr>
      </w:pPr>
      <w:r w:rsidRPr="00254BC5">
        <w:rPr>
          <w:rStyle w:val="FootnoteReference"/>
          <w:sz w:val="24"/>
          <w:lang w:val="bg-BG"/>
        </w:rPr>
        <w:footnoteRef/>
      </w:r>
      <w:r w:rsidR="00254BC5" w:rsidRPr="00254BC5">
        <w:rPr>
          <w:sz w:val="24"/>
          <w:lang w:val="bg-BG"/>
        </w:rPr>
        <w:t xml:space="preserve"> </w:t>
      </w:r>
      <w:r w:rsidR="00254BC5" w:rsidRPr="00254BC5">
        <w:rPr>
          <w:sz w:val="24"/>
          <w:lang w:val="bg-BG"/>
        </w:rPr>
        <w:tab/>
      </w:r>
      <w:r w:rsidRPr="00254BC5">
        <w:rPr>
          <w:sz w:val="24"/>
          <w:lang w:val="bg-BG"/>
        </w:rPr>
        <w:t xml:space="preserve">ОВ C, C/2024/3996, 17.7.2024 г., ELI: </w:t>
      </w:r>
      <w:hyperlink r:id="rId1" w:history="1">
        <w:r w:rsidRPr="00376BAD">
          <w:rPr>
            <w:rStyle w:val="Hyperlink"/>
            <w:sz w:val="24"/>
            <w:lang w:val="bg-BG"/>
          </w:rPr>
          <w:t>https://eur-lex.europa.eu/eli/C/2024/3996/oj</w:t>
        </w:r>
      </w:hyperlink>
      <w:r w:rsidRPr="00254BC5">
        <w:rPr>
          <w:sz w:val="24"/>
          <w:lang w:val="bg-BG"/>
        </w:rPr>
        <w:t>.</w:t>
      </w:r>
    </w:p>
  </w:footnote>
  <w:footnote w:id="3">
    <w:p w14:paraId="66ADC2FD" w14:textId="06DDF144" w:rsidR="00701D4E" w:rsidRPr="00254BC5" w:rsidRDefault="00701D4E" w:rsidP="00254BC5">
      <w:pPr>
        <w:pStyle w:val="FootnoteText"/>
        <w:ind w:left="567" w:hanging="567"/>
        <w:rPr>
          <w:sz w:val="24"/>
          <w:lang w:val="bg-BG"/>
        </w:rPr>
      </w:pPr>
      <w:r w:rsidRPr="00254BC5">
        <w:rPr>
          <w:rStyle w:val="FootnoteReference"/>
          <w:sz w:val="24"/>
          <w:lang w:val="bg-BG"/>
        </w:rPr>
        <w:footnoteRef/>
      </w:r>
      <w:r w:rsidR="00254BC5" w:rsidRPr="00254BC5">
        <w:rPr>
          <w:sz w:val="24"/>
          <w:lang w:val="bg-BG"/>
        </w:rPr>
        <w:t xml:space="preserve"> </w:t>
      </w:r>
      <w:r w:rsidR="00254BC5" w:rsidRPr="00254BC5">
        <w:rPr>
          <w:sz w:val="24"/>
          <w:lang w:val="bg-BG"/>
        </w:rPr>
        <w:tab/>
      </w:r>
      <w:r w:rsidRPr="00254BC5">
        <w:rPr>
          <w:sz w:val="24"/>
          <w:lang w:val="bg-BG"/>
        </w:rPr>
        <w:t>ОВ C 465, 6.12.2022 г., стр. 109.</w:t>
      </w:r>
    </w:p>
  </w:footnote>
  <w:footnote w:id="4">
    <w:p w14:paraId="331E519B" w14:textId="66F5BD2C" w:rsidR="00701D4E" w:rsidRPr="00254BC5" w:rsidRDefault="00701D4E" w:rsidP="00254BC5">
      <w:pPr>
        <w:pStyle w:val="FootnoteText"/>
        <w:ind w:left="567" w:hanging="567"/>
        <w:rPr>
          <w:sz w:val="24"/>
          <w:lang w:val="bg-BG"/>
        </w:rPr>
      </w:pPr>
      <w:r w:rsidRPr="00254BC5">
        <w:rPr>
          <w:rStyle w:val="FootnoteReference"/>
          <w:sz w:val="24"/>
          <w:lang w:val="bg-BG"/>
        </w:rPr>
        <w:footnoteRef/>
      </w:r>
      <w:r w:rsidR="00254BC5" w:rsidRPr="00254BC5">
        <w:rPr>
          <w:sz w:val="24"/>
          <w:lang w:val="bg-BG"/>
        </w:rPr>
        <w:t xml:space="preserve"> </w:t>
      </w:r>
      <w:r w:rsidR="00254BC5" w:rsidRPr="00254BC5">
        <w:rPr>
          <w:sz w:val="24"/>
          <w:lang w:val="bg-BG"/>
        </w:rPr>
        <w:tab/>
      </w:r>
      <w:r w:rsidRPr="00254BC5">
        <w:rPr>
          <w:sz w:val="24"/>
          <w:lang w:val="bg-BG"/>
        </w:rPr>
        <w:t>ОВ C 493, 27.12.2022 г., стр. 130.</w:t>
      </w:r>
    </w:p>
  </w:footnote>
  <w:footnote w:id="5">
    <w:p w14:paraId="2D2D7E27" w14:textId="789C1345" w:rsidR="00701D4E" w:rsidRPr="00254BC5" w:rsidRDefault="00701D4E" w:rsidP="00254BC5">
      <w:pPr>
        <w:pStyle w:val="FootnoteText"/>
        <w:ind w:left="567" w:hanging="567"/>
        <w:rPr>
          <w:sz w:val="24"/>
          <w:lang w:val="bg-BG"/>
        </w:rPr>
      </w:pPr>
      <w:r w:rsidRPr="00254BC5">
        <w:rPr>
          <w:rStyle w:val="FootnoteReference"/>
          <w:sz w:val="24"/>
          <w:lang w:val="bg-BG"/>
        </w:rPr>
        <w:footnoteRef/>
      </w:r>
      <w:r w:rsidR="00254BC5" w:rsidRPr="00254BC5">
        <w:rPr>
          <w:sz w:val="24"/>
          <w:lang w:val="bg-BG"/>
        </w:rPr>
        <w:t xml:space="preserve"> </w:t>
      </w:r>
      <w:r w:rsidR="00254BC5" w:rsidRPr="00254BC5">
        <w:rPr>
          <w:sz w:val="24"/>
          <w:lang w:val="bg-BG"/>
        </w:rPr>
        <w:tab/>
      </w:r>
      <w:r w:rsidRPr="00254BC5">
        <w:rPr>
          <w:sz w:val="24"/>
          <w:lang w:val="bg-BG"/>
        </w:rPr>
        <w:t xml:space="preserve">ОВ C, C/2024/4216, 24.7.2024 г., ELI: </w:t>
      </w:r>
      <w:hyperlink r:id="rId2" w:history="1">
        <w:r w:rsidRPr="00376BAD">
          <w:rPr>
            <w:rStyle w:val="Hyperlink"/>
            <w:sz w:val="24"/>
            <w:lang w:val="bg-BG"/>
          </w:rPr>
          <w:t>http://data.europa.eu/eli/C/2024/4216/oj</w:t>
        </w:r>
      </w:hyperlink>
      <w:r w:rsidRPr="00254BC5">
        <w:rPr>
          <w:sz w:val="24"/>
          <w:lang w:val="bg-BG"/>
        </w:rPr>
        <w:t>.</w:t>
      </w:r>
    </w:p>
  </w:footnote>
  <w:footnote w:id="6">
    <w:p w14:paraId="454D65A6" w14:textId="7E61FE0A" w:rsidR="00701D4E" w:rsidRPr="00254BC5" w:rsidRDefault="00701D4E" w:rsidP="00254BC5">
      <w:pPr>
        <w:pStyle w:val="FootnoteText"/>
        <w:ind w:left="567" w:hanging="567"/>
        <w:rPr>
          <w:sz w:val="24"/>
          <w:lang w:val="bg-BG"/>
        </w:rPr>
      </w:pPr>
      <w:r w:rsidRPr="00254BC5">
        <w:rPr>
          <w:rStyle w:val="FootnoteReference"/>
          <w:sz w:val="24"/>
          <w:lang w:val="bg-BG"/>
        </w:rPr>
        <w:footnoteRef/>
      </w:r>
      <w:r w:rsidR="00254BC5" w:rsidRPr="00254BC5">
        <w:rPr>
          <w:sz w:val="24"/>
          <w:lang w:val="bg-BG"/>
        </w:rPr>
        <w:t xml:space="preserve"> </w:t>
      </w:r>
      <w:r w:rsidR="00254BC5" w:rsidRPr="00254BC5">
        <w:rPr>
          <w:sz w:val="24"/>
          <w:lang w:val="bg-BG"/>
        </w:rPr>
        <w:tab/>
      </w:r>
      <w:r w:rsidRPr="00254BC5">
        <w:rPr>
          <w:sz w:val="24"/>
          <w:lang w:val="bg-BG"/>
        </w:rPr>
        <w:t xml:space="preserve">ОВ C, C/2024/6746, 26.11.2024 г., ELI: </w:t>
      </w:r>
      <w:hyperlink r:id="rId3" w:history="1">
        <w:r w:rsidRPr="00376BAD">
          <w:rPr>
            <w:rStyle w:val="Hyperlink"/>
            <w:sz w:val="24"/>
            <w:lang w:val="bg-BG"/>
          </w:rPr>
          <w:t>http://data.europa.eu/eli/C/2024/6746/oj</w:t>
        </w:r>
      </w:hyperlink>
      <w:r w:rsidRPr="00254BC5">
        <w:rPr>
          <w:sz w:val="24"/>
          <w:lang w:val="bg-BG"/>
        </w:rPr>
        <w:t>.</w:t>
      </w:r>
    </w:p>
  </w:footnote>
  <w:footnote w:id="7">
    <w:p w14:paraId="45417615" w14:textId="0918147E" w:rsidR="00701D4E" w:rsidRPr="00254BC5" w:rsidRDefault="00701D4E" w:rsidP="00254BC5">
      <w:pPr>
        <w:pStyle w:val="FootnoteText"/>
        <w:ind w:left="567" w:hanging="567"/>
        <w:rPr>
          <w:sz w:val="24"/>
          <w:lang w:val="bg-BG"/>
        </w:rPr>
      </w:pPr>
      <w:r w:rsidRPr="00254BC5">
        <w:rPr>
          <w:rStyle w:val="FootnoteReference"/>
          <w:sz w:val="24"/>
          <w:lang w:val="bg-BG"/>
        </w:rPr>
        <w:footnoteRef/>
      </w:r>
      <w:r w:rsidR="00254BC5" w:rsidRPr="00254BC5">
        <w:rPr>
          <w:sz w:val="24"/>
          <w:lang w:val="bg-BG"/>
        </w:rPr>
        <w:t xml:space="preserve"> </w:t>
      </w:r>
      <w:r w:rsidR="00254BC5" w:rsidRPr="00254BC5">
        <w:rPr>
          <w:sz w:val="24"/>
          <w:lang w:val="bg-BG"/>
        </w:rPr>
        <w:tab/>
      </w:r>
      <w:r w:rsidRPr="00254BC5">
        <w:rPr>
          <w:sz w:val="24"/>
          <w:lang w:val="bg-BG"/>
        </w:rPr>
        <w:t>Приети текстове, P10_TA(2025)0090.</w:t>
      </w:r>
    </w:p>
  </w:footnote>
  <w:footnote w:id="8">
    <w:p w14:paraId="7B5BE93A" w14:textId="7C423EF4" w:rsidR="00701D4E" w:rsidRPr="00254BC5" w:rsidRDefault="00701D4E" w:rsidP="00254BC5">
      <w:pPr>
        <w:pStyle w:val="FootnoteText"/>
        <w:ind w:left="567" w:hanging="567"/>
        <w:rPr>
          <w:sz w:val="24"/>
          <w:lang w:val="bg-BG"/>
        </w:rPr>
      </w:pPr>
      <w:r w:rsidRPr="00254BC5">
        <w:rPr>
          <w:rStyle w:val="FootnoteReference"/>
          <w:sz w:val="24"/>
          <w:lang w:val="bg-BG"/>
        </w:rPr>
        <w:footnoteRef/>
      </w:r>
      <w:r w:rsidR="00254BC5" w:rsidRPr="00254BC5">
        <w:rPr>
          <w:sz w:val="24"/>
          <w:lang w:val="bg-BG"/>
        </w:rPr>
        <w:t xml:space="preserve"> </w:t>
      </w:r>
      <w:r w:rsidR="00254BC5" w:rsidRPr="00254BC5">
        <w:rPr>
          <w:sz w:val="24"/>
          <w:lang w:val="bg-BG"/>
        </w:rPr>
        <w:tab/>
      </w:r>
      <w:r w:rsidRPr="00254BC5">
        <w:rPr>
          <w:sz w:val="24"/>
          <w:lang w:val="bg-BG"/>
        </w:rPr>
        <w:t>Решение (EС, Евратом) 2018/994 на Съвета от 13 юли 2018 г. за изменение на Акта за избирането на членове на Европейския парламент чрез всеобщи преки избори, приложен към Решение 76/787/ЕОВС, EИО, Eвратом на Съвета от 20 септември 1976 г. (ОВ L 178, 16.7.2018 г., стр. 1, ELI: </w:t>
      </w:r>
      <w:hyperlink r:id="rId4" w:tooltip="Предоставя достъп до този документ чрез неговия ELI URI." w:history="1">
        <w:r w:rsidRPr="00254BC5">
          <w:rPr>
            <w:rStyle w:val="Hyperlink"/>
            <w:sz w:val="24"/>
            <w:lang w:val="bg-BG"/>
          </w:rPr>
          <w:t>http://data.europa.eu/eli/dec/2018/994/oj.</w:t>
        </w:r>
      </w:hyperlink>
    </w:p>
  </w:footnote>
  <w:footnote w:id="9">
    <w:p w14:paraId="100F61F7" w14:textId="107CB80C" w:rsidR="00701D4E" w:rsidRPr="00254BC5" w:rsidRDefault="00701D4E" w:rsidP="00254BC5">
      <w:pPr>
        <w:pStyle w:val="FootnoteText"/>
        <w:ind w:left="567" w:hanging="567"/>
        <w:rPr>
          <w:sz w:val="24"/>
          <w:lang w:val="bg-BG"/>
        </w:rPr>
      </w:pPr>
      <w:r w:rsidRPr="00254BC5">
        <w:rPr>
          <w:rStyle w:val="FootnoteReference"/>
          <w:sz w:val="24"/>
          <w:lang w:val="bg-BG"/>
        </w:rPr>
        <w:footnoteRef/>
      </w:r>
      <w:r w:rsidR="00254BC5" w:rsidRPr="00254BC5">
        <w:rPr>
          <w:sz w:val="24"/>
          <w:lang w:val="bg-BG"/>
        </w:rPr>
        <w:t xml:space="preserve"> </w:t>
      </w:r>
      <w:r w:rsidR="00254BC5" w:rsidRPr="00254BC5">
        <w:rPr>
          <w:sz w:val="24"/>
          <w:lang w:val="bg-BG"/>
        </w:rPr>
        <w:tab/>
      </w:r>
      <w:r w:rsidRPr="00254BC5">
        <w:rPr>
          <w:sz w:val="24"/>
          <w:lang w:val="bg-BG"/>
        </w:rPr>
        <w:t>Законодателна резолюция на Европейския парламент от 3 май 2022 г. относно предложението за регламент на Съвета за избирането на членове на Европейския парламент чрез всеобщи преки избори и за отмяна на Решение на Съвета (76/787/ЕОВС, ЕИО, Евратом) и на Акта за избиране на членове на Европейския парламент чрез всеобщи преки избори, приложен към това решение (OВ C 465, 6.12.2022 г., стр. 171).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37813" w14:textId="77777777" w:rsidR="00064002" w:rsidRPr="00254BC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23F5F" w14:textId="77777777" w:rsidR="00064002" w:rsidRPr="00254BC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B86B9" w14:textId="77777777" w:rsidR="00064002" w:rsidRPr="00254BC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42181155">
    <w:abstractNumId w:val="9"/>
  </w:num>
  <w:num w:numId="2" w16cid:durableId="1090613883">
    <w:abstractNumId w:val="9"/>
  </w:num>
  <w:num w:numId="3" w16cid:durableId="549803861">
    <w:abstractNumId w:val="7"/>
  </w:num>
  <w:num w:numId="4" w16cid:durableId="2094862281">
    <w:abstractNumId w:val="7"/>
  </w:num>
  <w:num w:numId="5" w16cid:durableId="1934707877">
    <w:abstractNumId w:val="6"/>
  </w:num>
  <w:num w:numId="6" w16cid:durableId="1885484248">
    <w:abstractNumId w:val="6"/>
  </w:num>
  <w:num w:numId="7" w16cid:durableId="799300016">
    <w:abstractNumId w:val="5"/>
  </w:num>
  <w:num w:numId="8" w16cid:durableId="908999057">
    <w:abstractNumId w:val="5"/>
  </w:num>
  <w:num w:numId="9" w16cid:durableId="100270520">
    <w:abstractNumId w:val="4"/>
  </w:num>
  <w:num w:numId="10" w16cid:durableId="448009248">
    <w:abstractNumId w:val="4"/>
  </w:num>
  <w:num w:numId="11" w16cid:durableId="107555627">
    <w:abstractNumId w:val="8"/>
  </w:num>
  <w:num w:numId="12" w16cid:durableId="790436420">
    <w:abstractNumId w:val="8"/>
  </w:num>
  <w:num w:numId="13" w16cid:durableId="573970686">
    <w:abstractNumId w:val="3"/>
  </w:num>
  <w:num w:numId="14" w16cid:durableId="627012705">
    <w:abstractNumId w:val="3"/>
  </w:num>
  <w:num w:numId="15" w16cid:durableId="1201356745">
    <w:abstractNumId w:val="2"/>
  </w:num>
  <w:num w:numId="16" w16cid:durableId="441415191">
    <w:abstractNumId w:val="2"/>
  </w:num>
  <w:num w:numId="17" w16cid:durableId="1777600994">
    <w:abstractNumId w:val="1"/>
  </w:num>
  <w:num w:numId="18" w16cid:durableId="1228414478">
    <w:abstractNumId w:val="1"/>
  </w:num>
  <w:num w:numId="19" w16cid:durableId="224073359">
    <w:abstractNumId w:val="0"/>
  </w:num>
  <w:num w:numId="20" w16cid:durableId="1418137354">
    <w:abstractNumId w:val="0"/>
  </w:num>
  <w:num w:numId="21" w16cid:durableId="1862013036">
    <w:abstractNumId w:val="9"/>
  </w:num>
  <w:num w:numId="22" w16cid:durableId="1313289542">
    <w:abstractNumId w:val="7"/>
  </w:num>
  <w:num w:numId="23" w16cid:durableId="129830670">
    <w:abstractNumId w:val="6"/>
  </w:num>
  <w:num w:numId="24" w16cid:durableId="1016615023">
    <w:abstractNumId w:val="5"/>
  </w:num>
  <w:num w:numId="25" w16cid:durableId="1072579203">
    <w:abstractNumId w:val="4"/>
  </w:num>
  <w:num w:numId="26" w16cid:durableId="743256237">
    <w:abstractNumId w:val="8"/>
  </w:num>
  <w:num w:numId="27" w16cid:durableId="806246233">
    <w:abstractNumId w:val="3"/>
  </w:num>
  <w:num w:numId="28" w16cid:durableId="867329360">
    <w:abstractNumId w:val="2"/>
  </w:num>
  <w:num w:numId="29" w16cid:durableId="1363171904">
    <w:abstractNumId w:val="1"/>
  </w:num>
  <w:num w:numId="30" w16cid:durableId="213129576">
    <w:abstractNumId w:val="0"/>
  </w:num>
  <w:num w:numId="31" w16cid:durableId="218056834">
    <w:abstractNumId w:val="9"/>
  </w:num>
  <w:num w:numId="32" w16cid:durableId="1185442138">
    <w:abstractNumId w:val="7"/>
  </w:num>
  <w:num w:numId="33" w16cid:durableId="138109499">
    <w:abstractNumId w:val="6"/>
  </w:num>
  <w:num w:numId="34" w16cid:durableId="1933082178">
    <w:abstractNumId w:val="5"/>
  </w:num>
  <w:num w:numId="35" w16cid:durableId="827673323">
    <w:abstractNumId w:val="4"/>
  </w:num>
  <w:num w:numId="36" w16cid:durableId="184559781">
    <w:abstractNumId w:val="8"/>
  </w:num>
  <w:num w:numId="37" w16cid:durableId="197426422">
    <w:abstractNumId w:val="3"/>
  </w:num>
  <w:num w:numId="38" w16cid:durableId="1684937986">
    <w:abstractNumId w:val="2"/>
  </w:num>
  <w:num w:numId="39" w16cid:durableId="1366830552">
    <w:abstractNumId w:val="1"/>
  </w:num>
  <w:num w:numId="40" w16cid:durableId="1353461422">
    <w:abstractNumId w:val="0"/>
  </w:num>
  <w:num w:numId="41" w16cid:durableId="1954941624">
    <w:abstractNumId w:val="10"/>
  </w:num>
  <w:num w:numId="42" w16cid:durableId="2137064136">
    <w:abstractNumId w:val="10"/>
  </w:num>
  <w:num w:numId="43" w16cid:durableId="1013997635">
    <w:abstractNumId w:val="10"/>
  </w:num>
  <w:num w:numId="44" w16cid:durableId="1724572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7/2025"/>
    <w:docVar w:name="dvlangue" w:val="BG"/>
    <w:docVar w:name="dvnumam" w:val="0"/>
    <w:docVar w:name="dvpe" w:val="774.293"/>
    <w:docVar w:name="dvrapporteur" w:val="Докладчик: "/>
    <w:docVar w:name="dvtitre" w:val="Резолюция на Европейския парламент от ... 2025 г. относно институционалните последици от преговорите за разширяване на ЕС(2025/2041(INI))"/>
  </w:docVars>
  <w:rsids>
    <w:rsidRoot w:val="00001235"/>
    <w:rsid w:val="00001235"/>
    <w:rsid w:val="00002272"/>
    <w:rsid w:val="00064002"/>
    <w:rsid w:val="000677B9"/>
    <w:rsid w:val="000831BA"/>
    <w:rsid w:val="000A42CC"/>
    <w:rsid w:val="000E7DD9"/>
    <w:rsid w:val="0010095E"/>
    <w:rsid w:val="00125B37"/>
    <w:rsid w:val="001668DA"/>
    <w:rsid w:val="00187494"/>
    <w:rsid w:val="001F32AE"/>
    <w:rsid w:val="00254BC5"/>
    <w:rsid w:val="002767FF"/>
    <w:rsid w:val="002B18FE"/>
    <w:rsid w:val="002B5493"/>
    <w:rsid w:val="00343214"/>
    <w:rsid w:val="00361C00"/>
    <w:rsid w:val="00376BAD"/>
    <w:rsid w:val="00395FA1"/>
    <w:rsid w:val="003D28F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41C6"/>
    <w:rsid w:val="004F650A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1D4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1F6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5ED7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5179"/>
    <w:rsid w:val="00BD48FE"/>
    <w:rsid w:val="00BD7BD8"/>
    <w:rsid w:val="00BE6ADC"/>
    <w:rsid w:val="00C05BFE"/>
    <w:rsid w:val="00C23CD4"/>
    <w:rsid w:val="00C61C0C"/>
    <w:rsid w:val="00C7089D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FB3E76"/>
  <w15:chartTrackingRefBased/>
  <w15:docId w15:val="{2C3228C6-02E4-464D-9EAE-3B3BB8DD1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01D4E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701D4E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701D4E"/>
    <w:rPr>
      <w:b/>
      <w:i/>
      <w:u w:val="none"/>
    </w:rPr>
  </w:style>
  <w:style w:type="character" w:customStyle="1" w:styleId="Italic">
    <w:name w:val="Italic"/>
    <w:uiPriority w:val="1"/>
    <w:rsid w:val="00701D4E"/>
    <w:rPr>
      <w:i/>
    </w:rPr>
  </w:style>
  <w:style w:type="paragraph" w:customStyle="1" w:styleId="Normal12a24b">
    <w:name w:val="Normal12a24b"/>
    <w:basedOn w:val="Normal"/>
    <w:rsid w:val="00701D4E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701D4E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701D4E"/>
    <w:rPr>
      <w:snapToGrid w:val="0"/>
      <w:sz w:val="24"/>
      <w:lang w:val="bg-BG" w:eastAsia="en-US"/>
    </w:rPr>
  </w:style>
  <w:style w:type="paragraph" w:styleId="Revision">
    <w:name w:val="Revision"/>
    <w:hidden/>
    <w:uiPriority w:val="99"/>
    <w:semiHidden/>
    <w:rsid w:val="00376BAD"/>
    <w:rPr>
      <w:sz w:val="24"/>
      <w:lang w:val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376B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6746/oj" TargetMode="External"/><Relationship Id="rId2" Type="http://schemas.openxmlformats.org/officeDocument/2006/relationships/hyperlink" Target="http://data.europa.eu/eli/C/2024/4216/oj" TargetMode="External"/><Relationship Id="rId1" Type="http://schemas.openxmlformats.org/officeDocument/2006/relationships/hyperlink" Target="https://eur-lex.europa.eu/eli/C/2024/3996/oj" TargetMode="External"/><Relationship Id="rId4" Type="http://schemas.openxmlformats.org/officeDocument/2006/relationships/hyperlink" Target="http://data.europa.eu/eli/dec/2018/9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4163</Words>
  <Characters>24487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MINKOVA Maria</cp:lastModifiedBy>
  <cp:revision>2</cp:revision>
  <cp:lastPrinted>2004-11-19T15:42:00Z</cp:lastPrinted>
  <dcterms:created xsi:type="dcterms:W3CDTF">2025-10-22T14:23:00Z</dcterms:created>
  <dcterms:modified xsi:type="dcterms:W3CDTF">2025-10-22T14:23:00Z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A10-0177/2025</vt:lpwstr>
  </property>
  <property fmtid="{D5CDD505-2E9C-101B-9397-08002B2CF9AE}" pid="4" name="&lt;Type&gt;">
    <vt:lpwstr>RR</vt:lpwstr>
  </property>
</Properties>
</file>