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701B" w14:paraId="2CA41C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E6190A" w14:textId="77777777" w:rsidR="00751A4A" w:rsidRPr="008D701B" w:rsidRDefault="00A63CAF" w:rsidP="0010095E">
            <w:pPr>
              <w:pStyle w:val="EPName"/>
            </w:pPr>
            <w:r w:rsidRPr="008D701B">
              <w:t>Evropský parlament</w:t>
            </w:r>
          </w:p>
          <w:p w14:paraId="705B5A17" w14:textId="77777777" w:rsidR="00751A4A" w:rsidRPr="008D70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701B">
              <w:t>2024</w:t>
            </w:r>
            <w:r w:rsidR="00817416" w:rsidRPr="008D701B">
              <w:t>-202</w:t>
            </w:r>
            <w:r w:rsidRPr="008D701B">
              <w:t>9</w:t>
            </w:r>
          </w:p>
        </w:tc>
        <w:tc>
          <w:tcPr>
            <w:tcW w:w="2268" w:type="dxa"/>
            <w:shd w:val="clear" w:color="auto" w:fill="auto"/>
          </w:tcPr>
          <w:p w14:paraId="7B9C0CCD" w14:textId="77777777" w:rsidR="00751A4A" w:rsidRPr="008D701B" w:rsidRDefault="00187494" w:rsidP="0010095E">
            <w:pPr>
              <w:pStyle w:val="EPLogo"/>
            </w:pPr>
            <w:r w:rsidRPr="008D701B">
              <w:rPr>
                <w:noProof/>
                <w:lang w:eastAsia="ja-JP"/>
              </w:rPr>
              <w:drawing>
                <wp:inline distT="0" distB="0" distL="0" distR="0" wp14:anchorId="58670458" wp14:editId="031E8A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F074A1" w14:textId="77777777" w:rsidR="00D058B8" w:rsidRPr="008D701B" w:rsidRDefault="00D058B8" w:rsidP="004C5D52">
      <w:pPr>
        <w:pStyle w:val="LineTop"/>
      </w:pPr>
    </w:p>
    <w:p w14:paraId="59B70DC4" w14:textId="77777777" w:rsidR="00680577" w:rsidRPr="008D701B" w:rsidRDefault="00A63CAF" w:rsidP="00680577">
      <w:pPr>
        <w:pStyle w:val="EPBodyTA1"/>
      </w:pPr>
      <w:r w:rsidRPr="008D701B">
        <w:t>PŘIJATÉ TEXTY</w:t>
      </w:r>
    </w:p>
    <w:p w14:paraId="5E980AC4" w14:textId="77777777" w:rsidR="00D058B8" w:rsidRPr="008D701B" w:rsidRDefault="00D058B8" w:rsidP="00D058B8">
      <w:pPr>
        <w:pStyle w:val="LineBottom"/>
      </w:pPr>
    </w:p>
    <w:p w14:paraId="09E1F6FE" w14:textId="107B5EFE" w:rsidR="00A63CAF" w:rsidRPr="008D701B" w:rsidRDefault="00A63CAF" w:rsidP="00A63CAF">
      <w:pPr>
        <w:pStyle w:val="ATHeading1"/>
      </w:pPr>
      <w:bookmarkStart w:id="0" w:name="TANumber"/>
      <w:r w:rsidRPr="008D701B">
        <w:t>P10_</w:t>
      </w:r>
      <w:proofErr w:type="gramStart"/>
      <w:r w:rsidRPr="008D701B">
        <w:t>TA(</w:t>
      </w:r>
      <w:proofErr w:type="gramEnd"/>
      <w:r w:rsidRPr="008D701B">
        <w:t>2025)0</w:t>
      </w:r>
      <w:bookmarkEnd w:id="0"/>
      <w:r w:rsidR="00400246">
        <w:t>247</w:t>
      </w:r>
    </w:p>
    <w:p w14:paraId="3CCD366E" w14:textId="6943B06E" w:rsidR="00A63CAF" w:rsidRPr="008D701B" w:rsidRDefault="00384F95" w:rsidP="00A63CAF">
      <w:pPr>
        <w:pStyle w:val="ATHeading2"/>
      </w:pPr>
      <w:r w:rsidRPr="00384F95">
        <w:t>Institucionální důsledky jednání o rozšíření EU</w:t>
      </w:r>
    </w:p>
    <w:p w14:paraId="27ADF0BB" w14:textId="77777777" w:rsidR="00A63CAF" w:rsidRPr="008D701B" w:rsidRDefault="00A63CAF" w:rsidP="00A63CAF">
      <w:pPr>
        <w:rPr>
          <w:i/>
          <w:vanish/>
        </w:rPr>
      </w:pPr>
      <w:r w:rsidRPr="008D701B">
        <w:rPr>
          <w:i/>
        </w:rPr>
        <w:fldChar w:fldCharType="begin"/>
      </w:r>
      <w:r w:rsidRPr="008D701B">
        <w:rPr>
          <w:i/>
        </w:rPr>
        <w:instrText xml:space="preserve"> TC"(</w:instrText>
      </w:r>
      <w:bookmarkStart w:id="1" w:name="DocNumber"/>
      <w:r w:rsidRPr="008D701B">
        <w:rPr>
          <w:i/>
        </w:rPr>
        <w:instrText>A10-0177/2025</w:instrText>
      </w:r>
      <w:bookmarkEnd w:id="1"/>
      <w:r w:rsidRPr="008D701B">
        <w:rPr>
          <w:i/>
        </w:rPr>
        <w:instrText xml:space="preserve"> - Zpravodaj: Sandro Gozi)"\l3 \n&gt; \* MERGEFORMAT </w:instrText>
      </w:r>
      <w:r w:rsidRPr="008D701B">
        <w:rPr>
          <w:i/>
        </w:rPr>
        <w:fldChar w:fldCharType="end"/>
      </w:r>
    </w:p>
    <w:p w14:paraId="56F8F672" w14:textId="77777777" w:rsidR="00A63CAF" w:rsidRPr="008D701B" w:rsidRDefault="00A63CAF" w:rsidP="00A63CAF">
      <w:pPr>
        <w:rPr>
          <w:vanish/>
        </w:rPr>
      </w:pPr>
      <w:bookmarkStart w:id="2" w:name="Commission"/>
      <w:r w:rsidRPr="008D701B">
        <w:rPr>
          <w:vanish/>
        </w:rPr>
        <w:t>Výbor pro ústavní záležitosti</w:t>
      </w:r>
      <w:bookmarkEnd w:id="2"/>
    </w:p>
    <w:p w14:paraId="28135C51" w14:textId="77777777" w:rsidR="00A63CAF" w:rsidRPr="008D701B" w:rsidRDefault="00A63CAF" w:rsidP="00A63CAF">
      <w:pPr>
        <w:rPr>
          <w:vanish/>
        </w:rPr>
      </w:pPr>
      <w:bookmarkStart w:id="3" w:name="PE"/>
      <w:r w:rsidRPr="008D701B">
        <w:rPr>
          <w:vanish/>
        </w:rPr>
        <w:t>PE774.293</w:t>
      </w:r>
      <w:bookmarkEnd w:id="3"/>
    </w:p>
    <w:p w14:paraId="09C94E4B" w14:textId="31F44FF6" w:rsidR="00A63CAF" w:rsidRPr="008D701B" w:rsidRDefault="00A63CAF" w:rsidP="00A63CAF">
      <w:pPr>
        <w:pStyle w:val="ATHeading3"/>
      </w:pPr>
      <w:bookmarkStart w:id="4" w:name="Sujet"/>
      <w:r w:rsidRPr="008D701B">
        <w:t>Usnesení Evropského parlamentu ze dne</w:t>
      </w:r>
      <w:r w:rsidR="00384F95">
        <w:t xml:space="preserve"> </w:t>
      </w:r>
      <w:r w:rsidR="00CC1C7D">
        <w:t>22</w:t>
      </w:r>
      <w:r w:rsidR="00384F95">
        <w:t>. října</w:t>
      </w:r>
      <w:r w:rsidRPr="008D701B">
        <w:t xml:space="preserve"> 2025 o institucionálních důsledcích jednání o rozšíření EU</w:t>
      </w:r>
      <w:bookmarkEnd w:id="4"/>
      <w:r w:rsidRPr="008D701B">
        <w:t xml:space="preserve"> </w:t>
      </w:r>
      <w:bookmarkStart w:id="5" w:name="References"/>
      <w:r w:rsidRPr="008D701B">
        <w:t>(2025/2041(INI))</w:t>
      </w:r>
      <w:bookmarkEnd w:id="5"/>
    </w:p>
    <w:p w14:paraId="323DADAD" w14:textId="77777777" w:rsidR="00614C80" w:rsidRPr="008D701B" w:rsidRDefault="00614C80" w:rsidP="00614C80">
      <w:pPr>
        <w:pStyle w:val="EPComma"/>
      </w:pPr>
      <w:r w:rsidRPr="008D701B">
        <w:rPr>
          <w:rStyle w:val="Italic"/>
        </w:rPr>
        <w:t>Evropský parlament</w:t>
      </w:r>
      <w:r w:rsidRPr="008D701B">
        <w:t>,</w:t>
      </w:r>
    </w:p>
    <w:p w14:paraId="033C8278" w14:textId="77777777" w:rsidR="00614C80" w:rsidRPr="008D701B" w:rsidRDefault="00614C80" w:rsidP="00614C80">
      <w:pPr>
        <w:pStyle w:val="NormalHanging12a"/>
      </w:pPr>
      <w:r w:rsidRPr="008D701B">
        <w:t>–</w:t>
      </w:r>
      <w:r w:rsidRPr="008D701B">
        <w:tab/>
        <w:t>s ohledem na Smlouvu o Evropské unii, a zejména na čl. 31 odst. 3 a články 48 a 49 této smlouvy,</w:t>
      </w:r>
    </w:p>
    <w:p w14:paraId="4365E70C" w14:textId="77777777" w:rsidR="00614C80" w:rsidRPr="008D701B" w:rsidRDefault="00614C80" w:rsidP="00614C80">
      <w:pPr>
        <w:pStyle w:val="NormalHanging12a"/>
      </w:pPr>
      <w:r w:rsidRPr="008D701B">
        <w:t>–</w:t>
      </w:r>
      <w:r w:rsidRPr="008D701B">
        <w:tab/>
        <w:t>s ohledem na Smlouvu o fungování Evropské unie, a zejména na čl. 81 odst. 3, články 83 a 136, čl. 153 odst. 2, čl. 192 odst. 2, čl. 312 odst. 2 a článek 333 této smlouvy,</w:t>
      </w:r>
    </w:p>
    <w:p w14:paraId="375D8CB5" w14:textId="77777777" w:rsidR="00614C80" w:rsidRPr="008D701B" w:rsidRDefault="00614C80" w:rsidP="00614C80">
      <w:pPr>
        <w:pStyle w:val="NormalHanging12a"/>
      </w:pPr>
      <w:r w:rsidRPr="008D701B">
        <w:t>–</w:t>
      </w:r>
      <w:r w:rsidRPr="008D701B">
        <w:tab/>
        <w:t>s ohledem na závěry ze zasedání Evropské rady uskutečněných ve dnech 23. a 24. června 2022, 29. a 30. června 2023, 26. a 27. října 2023, 14. a 15. prosince 2023 a 27. června 2024,</w:t>
      </w:r>
    </w:p>
    <w:p w14:paraId="1AEBC1F7" w14:textId="77777777" w:rsidR="00614C80" w:rsidRPr="008D701B" w:rsidRDefault="00614C80" w:rsidP="00614C80">
      <w:pPr>
        <w:pStyle w:val="NormalHanging12a"/>
      </w:pPr>
      <w:r w:rsidRPr="008D701B">
        <w:rPr>
          <w:bCs/>
          <w:iCs/>
        </w:rPr>
        <w:t>–</w:t>
      </w:r>
      <w:r w:rsidRPr="008D701B">
        <w:rPr>
          <w:bCs/>
          <w:iCs/>
        </w:rPr>
        <w:tab/>
        <w:t>s ohledem na Granadské prohlášení Evropské rady ze dne 6. října 2023,</w:t>
      </w:r>
    </w:p>
    <w:p w14:paraId="617CDBC6" w14:textId="77777777" w:rsidR="00614C80" w:rsidRPr="008D701B" w:rsidRDefault="00614C80" w:rsidP="00614C80">
      <w:pPr>
        <w:pStyle w:val="NormalHanging12a"/>
      </w:pPr>
      <w:r w:rsidRPr="008D701B">
        <w:t>–</w:t>
      </w:r>
      <w:r w:rsidRPr="008D701B">
        <w:tab/>
        <w:t>s ohledem na zprávu předsednictví Rady o pokroku v otázkách týkajících se budoucnosti Evropy ze dne 10. června 2024,</w:t>
      </w:r>
    </w:p>
    <w:p w14:paraId="0E0819DE" w14:textId="77777777" w:rsidR="00614C80" w:rsidRPr="008D701B" w:rsidRDefault="00614C80" w:rsidP="00614C80">
      <w:pPr>
        <w:pStyle w:val="NormalHanging12a"/>
      </w:pPr>
      <w:r w:rsidRPr="008D701B">
        <w:t>–</w:t>
      </w:r>
      <w:r w:rsidRPr="008D701B">
        <w:tab/>
        <w:t>s ohledem na sdělení Komise ze dne 23. března 2024 o předvstupních reformách a přezkumech předvstupní politiky (</w:t>
      </w:r>
      <w:hyperlink r:id="rId9" w:history="1">
        <w:proofErr w:type="gramStart"/>
        <w:r w:rsidRPr="00384F95">
          <w:t>COM(</w:t>
        </w:r>
        <w:proofErr w:type="gramEnd"/>
        <w:r w:rsidRPr="00384F95">
          <w:t>2024)0146</w:t>
        </w:r>
      </w:hyperlink>
      <w:r w:rsidRPr="008D701B">
        <w:t>),</w:t>
      </w:r>
    </w:p>
    <w:p w14:paraId="67D51271" w14:textId="77777777" w:rsidR="00614C80" w:rsidRPr="008D701B" w:rsidRDefault="00614C80" w:rsidP="00614C80">
      <w:pPr>
        <w:pStyle w:val="NormalHanging12a"/>
      </w:pPr>
      <w:r w:rsidRPr="008D701B">
        <w:t>–</w:t>
      </w:r>
      <w:r w:rsidRPr="008D701B">
        <w:tab/>
        <w:t>s ohledem na svá usnesení ze dne 16. února 2017 o zlepšení fungování Evropské unie využitím potenciálu Lisabonské smlouvy</w:t>
      </w:r>
      <w:r w:rsidRPr="008D701B">
        <w:rPr>
          <w:rStyle w:val="FootnoteReference"/>
        </w:rPr>
        <w:footnoteReference w:id="1"/>
      </w:r>
      <w:r w:rsidRPr="008D701B">
        <w:t xml:space="preserve"> a ze dne 11. července 2023 o provádění překlenovacích ustanovení ve Smlouvách EU</w:t>
      </w:r>
      <w:r w:rsidRPr="008D701B">
        <w:rPr>
          <w:rStyle w:val="FootnoteReference"/>
        </w:rPr>
        <w:footnoteReference w:id="2"/>
      </w:r>
      <w:r w:rsidRPr="008D701B">
        <w:t>,</w:t>
      </w:r>
    </w:p>
    <w:p w14:paraId="74316D1D" w14:textId="77777777" w:rsidR="00614C80" w:rsidRPr="008D701B" w:rsidRDefault="00614C80" w:rsidP="00614C80">
      <w:pPr>
        <w:pStyle w:val="NormalHanging12a"/>
      </w:pPr>
      <w:r w:rsidRPr="008D701B">
        <w:t>–</w:t>
      </w:r>
      <w:r w:rsidRPr="008D701B">
        <w:tab/>
        <w:t>s ohledem na zprávu ze dne 9. května 2022 o </w:t>
      </w:r>
      <w:proofErr w:type="gramStart"/>
      <w:r w:rsidRPr="008D701B">
        <w:t>konečných závěrech</w:t>
      </w:r>
      <w:proofErr w:type="gramEnd"/>
      <w:r w:rsidRPr="008D701B">
        <w:t xml:space="preserve"> Konference o budoucnosti Evropy a na své usnesení ze dne 4. května 2022 o opatřeních v návaznosti na Konferenci o budoucnosti Evropy</w:t>
      </w:r>
      <w:r w:rsidRPr="008D701B">
        <w:rPr>
          <w:rStyle w:val="FootnoteReference"/>
        </w:rPr>
        <w:footnoteReference w:id="3"/>
      </w:r>
      <w:r w:rsidRPr="008D701B">
        <w:t>,</w:t>
      </w:r>
    </w:p>
    <w:p w14:paraId="2733D93D" w14:textId="77777777" w:rsidR="00614C80" w:rsidRPr="008D701B" w:rsidRDefault="00614C80" w:rsidP="00614C80">
      <w:pPr>
        <w:pStyle w:val="NormalHanging12a"/>
      </w:pPr>
      <w:r w:rsidRPr="008D701B">
        <w:t>–</w:t>
      </w:r>
      <w:r w:rsidRPr="008D701B">
        <w:tab/>
        <w:t>s ohledem na svá usnesení ze dne 9. června 2022 o výzvě ke svolání konventu k revizi Smluv</w:t>
      </w:r>
      <w:r w:rsidRPr="008D701B">
        <w:rPr>
          <w:rStyle w:val="FootnoteReference"/>
        </w:rPr>
        <w:footnoteReference w:id="4"/>
      </w:r>
      <w:r w:rsidRPr="008D701B">
        <w:t xml:space="preserve"> a ze dne 22. listopadu 2023 k návrhům Evropského parlamentu na změnu </w:t>
      </w:r>
      <w:r w:rsidRPr="008D701B">
        <w:lastRenderedPageBreak/>
        <w:t>Smluv</w:t>
      </w:r>
      <w:r w:rsidRPr="008D701B">
        <w:rPr>
          <w:rStyle w:val="FootnoteReference"/>
        </w:rPr>
        <w:footnoteReference w:id="5"/>
      </w:r>
      <w:r w:rsidRPr="008D701B">
        <w:t>, mimo jiné cestou aktivace článku 48 SEU, přičemž v těchto usneseních vyzval Evropskou radu, aby souhlasila se svoláním konventu k reformě Smluv,</w:t>
      </w:r>
    </w:p>
    <w:p w14:paraId="0B21BBA0" w14:textId="77777777" w:rsidR="00614C80" w:rsidRPr="008D701B" w:rsidRDefault="00614C80" w:rsidP="00614C80">
      <w:pPr>
        <w:pStyle w:val="NormalHanging12a"/>
      </w:pPr>
      <w:r w:rsidRPr="008D701B">
        <w:t>–</w:t>
      </w:r>
      <w:r w:rsidRPr="008D701B">
        <w:tab/>
        <w:t>s ohledem na své usnesení ze dne 29. února 2024 o prohloubení integrace EU s ohledem na budoucí rozšíření</w:t>
      </w:r>
      <w:r w:rsidRPr="008D701B">
        <w:rPr>
          <w:rStyle w:val="FootnoteReference"/>
        </w:rPr>
        <w:footnoteReference w:id="6"/>
      </w:r>
      <w:r w:rsidRPr="008D701B">
        <w:t>.</w:t>
      </w:r>
    </w:p>
    <w:p w14:paraId="2827A106" w14:textId="77777777" w:rsidR="00614C80" w:rsidRPr="008D701B" w:rsidRDefault="00614C80" w:rsidP="00614C80">
      <w:pPr>
        <w:pStyle w:val="NormalHanging12a"/>
      </w:pPr>
      <w:r w:rsidRPr="008D701B">
        <w:t>–</w:t>
      </w:r>
      <w:r w:rsidRPr="008D701B">
        <w:tab/>
        <w:t xml:space="preserve">s ohledem na zprávu Maria </w:t>
      </w:r>
      <w:proofErr w:type="spellStart"/>
      <w:r w:rsidRPr="008D701B">
        <w:t>Draghiho</w:t>
      </w:r>
      <w:proofErr w:type="spellEnd"/>
      <w:r w:rsidRPr="008D701B">
        <w:t xml:space="preserve"> ze dne 9. září 2024 nazvanou „Budoucnost evropské konkurenceschopnosti“, zprávu Enrica </w:t>
      </w:r>
      <w:proofErr w:type="spellStart"/>
      <w:r w:rsidRPr="008D701B">
        <w:t>Letty</w:t>
      </w:r>
      <w:proofErr w:type="spellEnd"/>
      <w:r w:rsidRPr="008D701B">
        <w:t xml:space="preserve"> ze dne 17. dubna 2024 nazvanou „Mnohem více než jen trh“ a zprávu </w:t>
      </w:r>
      <w:proofErr w:type="spellStart"/>
      <w:r w:rsidRPr="008D701B">
        <w:t>Sauliho</w:t>
      </w:r>
      <w:proofErr w:type="spellEnd"/>
      <w:r w:rsidRPr="008D701B">
        <w:t xml:space="preserve"> </w:t>
      </w:r>
      <w:proofErr w:type="spellStart"/>
      <w:r w:rsidRPr="008D701B">
        <w:t>Niinistöa</w:t>
      </w:r>
      <w:proofErr w:type="spellEnd"/>
      <w:r w:rsidRPr="008D701B">
        <w:t xml:space="preserve"> ze dne 30. října 2024 nazvanou „Společně bezpečnější: posílení evropské civilní a vojenské připravenosti a pohotovosti“,</w:t>
      </w:r>
    </w:p>
    <w:p w14:paraId="5EAC9B56" w14:textId="77777777" w:rsidR="00614C80" w:rsidRPr="008D701B" w:rsidRDefault="00614C80" w:rsidP="00614C80">
      <w:pPr>
        <w:pStyle w:val="NormalHanging12a"/>
      </w:pPr>
      <w:r w:rsidRPr="008D701B">
        <w:t>–</w:t>
      </w:r>
      <w:r w:rsidRPr="008D701B">
        <w:tab/>
        <w:t>s ohledem na článek 55 jednacího řádu,</w:t>
      </w:r>
    </w:p>
    <w:p w14:paraId="1ED01693" w14:textId="77777777" w:rsidR="00614C80" w:rsidRPr="008D701B" w:rsidRDefault="00614C80" w:rsidP="00614C80">
      <w:pPr>
        <w:pStyle w:val="NormalHanging12a"/>
      </w:pPr>
      <w:r w:rsidRPr="008D701B">
        <w:t>–</w:t>
      </w:r>
      <w:r w:rsidRPr="008D701B">
        <w:tab/>
        <w:t>s ohledem na zprávu Výboru pro ústavní záležitosti (A10</w:t>
      </w:r>
      <w:r w:rsidRPr="008D701B">
        <w:noBreakHyphen/>
        <w:t>0177/2025),</w:t>
      </w:r>
    </w:p>
    <w:p w14:paraId="2FFEC132" w14:textId="77777777" w:rsidR="00614C80" w:rsidRPr="008D701B" w:rsidRDefault="00614C80" w:rsidP="00614C80">
      <w:pPr>
        <w:pStyle w:val="NormalHanging12a"/>
      </w:pPr>
      <w:r w:rsidRPr="008D701B">
        <w:t>A.</w:t>
      </w:r>
      <w:r w:rsidRPr="008D701B">
        <w:tab/>
        <w:t>vzhledem k tomu, že 9 z 10 zemí, které v současné době aspirují na vstup do EU, má status kandidátské země, přičemž některé z nich mají tento status již řadu let; vzhledem k tomu, že tyto kandidátské země se nacházejí v různých fázích procesu přistoupení a přístupových jednání; vzhledem k tomu, že Gruzie dne 28. listopadu 2024 jednostranně pozastavila jednání o přistoupení k EU;</w:t>
      </w:r>
    </w:p>
    <w:p w14:paraId="5B46730E" w14:textId="77777777" w:rsidR="00614C80" w:rsidRPr="008D701B" w:rsidRDefault="00614C80" w:rsidP="00614C80">
      <w:pPr>
        <w:pStyle w:val="NormalHanging12a"/>
      </w:pPr>
      <w:r w:rsidRPr="008D701B">
        <w:t>B.</w:t>
      </w:r>
      <w:r w:rsidRPr="008D701B">
        <w:tab/>
        <w:t>vzhledem k tomu, že ruská útočná válka proti Ukrajině a další geopolitické výzvy dnešní doby, včetně znepokojivého posunu v transatlantických vztazích, dávají procesu přistoupení k EU a sjednocení Evropy nový geostrategický význam a impuls;</w:t>
      </w:r>
    </w:p>
    <w:p w14:paraId="38B8BC66" w14:textId="77777777" w:rsidR="00614C80" w:rsidRPr="008D701B" w:rsidRDefault="00614C80" w:rsidP="00614C80">
      <w:pPr>
        <w:pStyle w:val="NormalHanging12a"/>
        <w:rPr>
          <w:bCs/>
          <w:iCs/>
        </w:rPr>
      </w:pPr>
      <w:r w:rsidRPr="008D701B">
        <w:t>C.</w:t>
      </w:r>
      <w:r w:rsidRPr="008D701B">
        <w:tab/>
        <w:t>vzhledem k tomu, že přistoupení k Evropské unii musí zůstat procesem založeným na zásluhách, který bude vycházet z posouzení toho, zda každý žadatel splňuje kodaňská kritéria, a z provádění nezbytných reforem – zejména v oblastech „zásadního významu“, jako je dodržování zásad demokracie, právního státu, lidských práv a řádné správy věcí veřejných, jakož i sladění se společnou zahraniční a bezpečnostní politikou EU –, aby se zajistilo, že rozšíření Evropskou unii a její jednotný trh posílí, a nikoli oslabí;</w:t>
      </w:r>
    </w:p>
    <w:p w14:paraId="22206681" w14:textId="77777777" w:rsidR="00614C80" w:rsidRPr="008D701B" w:rsidRDefault="00614C80" w:rsidP="00614C80">
      <w:pPr>
        <w:pStyle w:val="NormalHanging12a"/>
      </w:pPr>
      <w:r w:rsidRPr="008D701B">
        <w:t>D.</w:t>
      </w:r>
      <w:r w:rsidRPr="008D701B">
        <w:tab/>
        <w:t>vzhledem k tomu, že rozšíření je historickým závazkem, klíčovým nástrojem zahraniční politiky EU, strategickou geopolitickou prioritou a jednou z nejúspěšnějších politik EU a představuje investici do budoucnosti evropského kontinentu;</w:t>
      </w:r>
    </w:p>
    <w:p w14:paraId="50092759" w14:textId="77777777" w:rsidR="00614C80" w:rsidRPr="008D701B" w:rsidRDefault="00614C80" w:rsidP="00614C80">
      <w:pPr>
        <w:pStyle w:val="NormalHanging12a"/>
        <w:rPr>
          <w:bCs/>
          <w:iCs/>
        </w:rPr>
      </w:pPr>
      <w:r w:rsidRPr="008D701B">
        <w:t>E.</w:t>
      </w:r>
      <w:r w:rsidRPr="008D701B">
        <w:tab/>
        <w:t>vzhledem k tomu, že přistupující země by měly odhodlaně provádět požadované reformy a dosáhnout konkrétního a nezvratného pokroku v klíčových prvcích procesu rozšíření; vzhledem k tomu, že EU a členské státy by měly kandidátským zemím poskytnout finanční a technickou pomoc při plnění těchto kritérií; vzhledem k tomu, že v oblasti hodnot EU a základních zásad nelze umožnit rychlejší postup;</w:t>
      </w:r>
    </w:p>
    <w:p w14:paraId="0A375BED" w14:textId="77777777" w:rsidR="00614C80" w:rsidRPr="008D701B" w:rsidRDefault="00614C80" w:rsidP="00614C80">
      <w:pPr>
        <w:pStyle w:val="NormalHanging12a"/>
      </w:pPr>
      <w:r w:rsidRPr="008D701B">
        <w:lastRenderedPageBreak/>
        <w:t>F.</w:t>
      </w:r>
      <w:r w:rsidRPr="008D701B">
        <w:tab/>
        <w:t>vzhledem k tomu, že rozšířená EU by měla větší politickou, hospodářskou a vojenskou sílu a vliv na globální scéně a zároveň by posílila sdílené demokratické hodnoty v celém regionu rozšíření EU; vzhledem k tomu, že rozšířený jednotný trh je důležitý jak pro EU, tak pro přistupující země a že tento trh z EU zároveň učiní hospodářského hráče s ještě větší konkurenceschopností a atraktivního obchodního partnera; vzhledem k tomu, že jestliže se nepodaří dosáhnout pokroku v rozšíření EU, mohlo by to ohrozit hospodářské a bezpečnostní zájmy EU a v konečném důsledku přimět nečlenské země na evropském kontinentu k hospodářskému a politickému sbližování s jinými bloky (např. s Ruskem a Čínou), takže by mohly vzniknout vzájemně si konkurující hospodářské oblasti, snížil by se globální ekonomický vliv EU a vytvořily se příležitosti k destabilizační činnosti prováděné z bezprostředního sousedství EU;</w:t>
      </w:r>
    </w:p>
    <w:p w14:paraId="08CE375E" w14:textId="77777777" w:rsidR="00614C80" w:rsidRPr="008D701B" w:rsidRDefault="00614C80" w:rsidP="00614C80">
      <w:pPr>
        <w:pStyle w:val="NormalHanging12a"/>
      </w:pPr>
      <w:r w:rsidRPr="008D701B">
        <w:t>G.</w:t>
      </w:r>
      <w:r w:rsidRPr="008D701B">
        <w:tab/>
        <w:t>vzhledem k tomu, že země, které vstoupily do EU v roce 2004 – a EU jako celek –, zaznamenaly v několika oblastech značný hospodářský růst a vyšší standardy, včetně zvýšení HDP na obyvatele v průměru o 30 %; vzhledem k tomu, že všechny nové členské státy zaznamenaly v průměru růst HDP o dalších 12 % ve srovnání se svým předpokládaným růstem, pokud by k EU nepřistoupily, a že tento růst byl znatelný do pěti let od jejich přistoupení; vzhledem k tomu, že za posledních 20 let vzrostla ekonomika EU o 27 %; vzhledem k tomu, že růst a prosperitu zaznamenaly i země, které byly v době rozšíření v roce 2004 již součástí EU, což má jasnou příčinnou souvislost s rozšířením trhů, propojením a investicemi plynoucími z rozšíření; vzhledem k tomu, že každý region zažívá díky rozšíření hospodářský růst, ale že nejchudší regiony zažívají nejvyšší relativní hospodářský růst;</w:t>
      </w:r>
    </w:p>
    <w:p w14:paraId="6A2EC153" w14:textId="77777777" w:rsidR="00614C80" w:rsidRPr="008D701B" w:rsidRDefault="00614C80" w:rsidP="00614C80">
      <w:pPr>
        <w:pStyle w:val="NormalHanging12a"/>
      </w:pPr>
      <w:r w:rsidRPr="008D701B">
        <w:t>H.</w:t>
      </w:r>
      <w:r w:rsidRPr="008D701B">
        <w:tab/>
        <w:t>vzhledem k tomu, že HDP na obyvatele zemí západního Balkánu, Ukrajiny, Moldavska a Gruzie je jen poloviční oproti EU nebo i nižší, ačkoli některé kandidátské země vykazují v posledních letech stabilní hospodářský růst, což umožňuje na zásluhách založený a do budoucna orientovaný přístup; vzhledem k tomu, že zkušenosti ze všech rozšíření EU ukazují, že členství v EU, účast na jednotném trhu EU a přístup ke strukturálním fondům mají pozitivní vliv na hospodářskou a sociální konvergenci; vzhledem k tomu, že studie ukazují, že přistoupení 10 nových členských států by zmenšilo rozdíl v HDP na obyvatele mezi EU a Spojenými státy o 10 %; vzhledem k tomu, že rozšířený přístup mj. na trhy práce, k průmyslovým kapacitám, digitálním technologiím, zejména umělé inteligenci, a kritickým nerostným surovinám vzácných zemin by EU umožnil urychlit ekologickou, digitální a spravedlivou transformaci a zároveň snížit náklady na ni a současně získat větší strategickou nezávislost na Rusku, Číně a dalších systémových konkurentech; vzhledem k tomu, že scénáře kombinující výrazné rozšíření a silnou konvergenci by mohly do roku 2035 zvýšit HDP EU odhadem až o 10 bilionů USD;</w:t>
      </w:r>
    </w:p>
    <w:p w14:paraId="1EBB857D" w14:textId="77777777" w:rsidR="00614C80" w:rsidRPr="008D701B" w:rsidRDefault="00614C80" w:rsidP="00614C80">
      <w:pPr>
        <w:pStyle w:val="NormalHanging12a"/>
        <w:rPr>
          <w:bCs/>
          <w:iCs/>
        </w:rPr>
      </w:pPr>
      <w:r w:rsidRPr="008D701B">
        <w:t>I.</w:t>
      </w:r>
      <w:r w:rsidRPr="008D701B">
        <w:tab/>
        <w:t xml:space="preserve">vzhledem k tomu, že předvstupní nástroje hrají důležitou úlohu, neboť poskytují cenné zkušenosti při navrhování modernizovaných podpůrných nástrojů, které jsou přizpůsobeny konkrétním potřebám jednotlivých zemí, jako tomu bylo v případě nástrojů </w:t>
      </w:r>
      <w:proofErr w:type="spellStart"/>
      <w:r w:rsidRPr="008D701B">
        <w:t>Phare</w:t>
      </w:r>
      <w:proofErr w:type="spellEnd"/>
      <w:r w:rsidRPr="008D701B">
        <w:t xml:space="preserve"> (program pomoci Společenství zemím střední a východní Evropy), SAPARD (předvstupní zemědělský nástroj) a ISPA (nástroj předvstupních strukturálních politik);</w:t>
      </w:r>
    </w:p>
    <w:p w14:paraId="1AFCDB50" w14:textId="77777777" w:rsidR="00614C80" w:rsidRPr="008D701B" w:rsidRDefault="00614C80" w:rsidP="00614C80">
      <w:pPr>
        <w:pStyle w:val="NormalHanging12a"/>
      </w:pPr>
      <w:bookmarkStart w:id="6" w:name="_Hlk208838474"/>
      <w:r w:rsidRPr="008D701B">
        <w:t>J.</w:t>
      </w:r>
      <w:r w:rsidRPr="008D701B">
        <w:tab/>
        <w:t xml:space="preserve">vzhledem k tomu, že některé země mimo EU se potýkají s různou mírou politické nestability, a vzhledem k tomu, že provádění reforem souvisejících s členstvím v EU v těchto zemích, jak ukázala předchozí rozšíření, by mělo přispět ke stabilitě a právnímu státu v regionu; vzhledem k tomu, že EU má k dispozici rozsáhlý soubor nástrojů </w:t>
      </w:r>
      <w:r w:rsidRPr="008D701B">
        <w:lastRenderedPageBreak/>
        <w:t>k tomu, aby prosazovala dodržování základních hodnot v členských státech a zajišťovala politickou stabilitu evropského projektu jako celku; vzhledem k tomu, že tento soubor nástrojů musí být ještě reformován a posílen, zejména důsledným prováděním mechanismu právního státu a účinné ochrany základních hodnot EU zakotvených v článku 2 Smlouvy o EU, mimo jiné stanovením podmínek ve stávajícím a příštím víceletém finančním rámci (VFR);</w:t>
      </w:r>
      <w:bookmarkEnd w:id="6"/>
    </w:p>
    <w:p w14:paraId="717649CD" w14:textId="77777777" w:rsidR="00614C80" w:rsidRPr="008D701B" w:rsidRDefault="00614C80" w:rsidP="00614C80">
      <w:pPr>
        <w:pStyle w:val="NormalHanging12a"/>
      </w:pPr>
      <w:r w:rsidRPr="008D701B">
        <w:t>K.</w:t>
      </w:r>
      <w:r w:rsidRPr="008D701B">
        <w:tab/>
        <w:t xml:space="preserve">vzhledem k tomu, že Komise a Parlament by měly v členských státech a kandidátských zemích vypracovat osvětové kampaně, aby byli občané řádně informováni o příležitostech, které rozšíření nabízí, a zároveň by měly bojovat proti zahraniční manipulaci s informacemi a vměšování ze strany Ruska a dalších zemí, jejichž cílem je podkopat veřejnou podporu rozšíření; </w:t>
      </w:r>
    </w:p>
    <w:p w14:paraId="61FA3116" w14:textId="77777777" w:rsidR="00614C80" w:rsidRPr="008D701B" w:rsidRDefault="00614C80" w:rsidP="00614C80">
      <w:pPr>
        <w:pStyle w:val="NormalHanging12a"/>
      </w:pPr>
      <w:r w:rsidRPr="008D701B">
        <w:t>L.</w:t>
      </w:r>
      <w:r w:rsidRPr="008D701B">
        <w:tab/>
        <w:t>vzhledem k tomu, že institucionální rámec EU a zejména její rozhodovací procesy musí být pro stávající Evropskou unii 27 členských států posíleny a zdokonaleny; vzhledem k tomu, že příprava na rozšíření vyžaduje vnitřní reformy v rámci EU, a vzhledem k tomu, že proces rozšíření by měl probíhat souběžně s institucionálními reformami a reformami rozhodování, které jsou nezbytné k zajištění integrační kapacity EU; vzhledem k tomu, že perspektiva budoucích rozšíření činí reformu orgánů, institucí, politik a rozhodovacích procesů EU nezbytnější a naléhavější než kdykoli předtím;</w:t>
      </w:r>
    </w:p>
    <w:p w14:paraId="5639FD52" w14:textId="77777777" w:rsidR="00614C80" w:rsidRPr="008D701B" w:rsidRDefault="00614C80" w:rsidP="00614C80">
      <w:pPr>
        <w:pStyle w:val="NormalHanging12a"/>
      </w:pPr>
      <w:r w:rsidRPr="008D701B">
        <w:t>M.</w:t>
      </w:r>
      <w:r w:rsidRPr="008D701B">
        <w:tab/>
        <w:t>vzhledem k tomu, že dosud tomu bylo často tak, že před rozšířením nebo současně s ním proběhly interní institucionální reformy týkající se správy EU, a vzhledem k tomu, že tyto procesy rozšíření obvykle poskytly silný podnět k rozvoji a hospodářskému a demokratickému pokroku v kandidátských zemích;</w:t>
      </w:r>
    </w:p>
    <w:p w14:paraId="09B814F3" w14:textId="77777777" w:rsidR="00614C80" w:rsidRPr="008D701B" w:rsidRDefault="00614C80" w:rsidP="00614C80">
      <w:pPr>
        <w:pStyle w:val="NormalHanging12a"/>
        <w:rPr>
          <w:bCs/>
          <w:iCs/>
        </w:rPr>
      </w:pPr>
      <w:r w:rsidRPr="008D701B">
        <w:t>N.</w:t>
      </w:r>
      <w:r w:rsidRPr="008D701B">
        <w:tab/>
        <w:t>vzhledem k tomu, že Evropská rada ve svém Granadském prohlášení ze dne 6. října 2023 uznala, že nezbytné urychlení reformního úsilí v kandidátských zemích by mělo být doprovázeno souběžným procesem příprav a reforem v rámci EU;</w:t>
      </w:r>
    </w:p>
    <w:p w14:paraId="76085FCD" w14:textId="77777777" w:rsidR="00614C80" w:rsidRPr="008D701B" w:rsidRDefault="00614C80" w:rsidP="00614C80">
      <w:pPr>
        <w:pStyle w:val="NormalHanging12a"/>
        <w:rPr>
          <w:bCs/>
          <w:iCs/>
        </w:rPr>
      </w:pPr>
      <w:r w:rsidRPr="008D701B">
        <w:t>O.</w:t>
      </w:r>
      <w:r w:rsidRPr="008D701B">
        <w:tab/>
        <w:t>vzhledem k tomu, že Evropská rada ve svých závěrech ze dne 27. června 2024 stanovila plán budoucí práce na vnitřních reformách; vzhledem k tomu, že Evropská rada uznává, že posílení EU a evropské suverenity vyžaduje reformy, které EU umožní naplnit její dlouhodobé ambice, dosáhnout jejích politik a priorit a reagovat na nové geopolitické skutečnosti a výzvy;</w:t>
      </w:r>
    </w:p>
    <w:p w14:paraId="3A503E26" w14:textId="77777777" w:rsidR="00614C80" w:rsidRPr="008D701B" w:rsidRDefault="00614C80" w:rsidP="00614C80">
      <w:pPr>
        <w:pStyle w:val="NormalHanging12a"/>
        <w:rPr>
          <w:bCs/>
          <w:iCs/>
        </w:rPr>
      </w:pPr>
      <w:r w:rsidRPr="008D701B">
        <w:t>P.</w:t>
      </w:r>
      <w:r w:rsidRPr="008D701B">
        <w:tab/>
        <w:t>vzhledem k tomu, že podle těchto závěrů by vnitřní reformy měly probíhat souběžně s procesem rozšíření, aby politiky byly připravené na budoucnost a byly financovány vhodným způsobem a aby instituce EU nadále fungovaly a jednaly efektivně; vzhledem k tomu, že Evropská rada vyzvala Komisi, aby v roce 2025 předložila hloubkový přezkum politiky se zaměřením na čtyři oblasti, konkrétně hodnoty a právní stát, politiky, rozpočet a správu věcí veřejných;</w:t>
      </w:r>
    </w:p>
    <w:p w14:paraId="336D0941" w14:textId="77777777" w:rsidR="00614C80" w:rsidRPr="008D701B" w:rsidRDefault="00614C80" w:rsidP="00614C80">
      <w:pPr>
        <w:pStyle w:val="NormalHanging12a"/>
      </w:pPr>
      <w:r w:rsidRPr="008D701B">
        <w:t>Q.</w:t>
      </w:r>
      <w:r w:rsidRPr="008D701B">
        <w:tab/>
        <w:t>vzhledem k tomu, že perspektiva nadcházejícího rozšíření staví EU před trojí výzvu: musí zajistit efektivitu svých rozhodovacích postupů („výzva v oblasti efektivity“), shromáždit dostatečné zdroje k tomu, aby dokázala plnit své strategické cíle („výzva v oblasti síly a zdrojů“), a zajistit demokratickou legitimitu a odpovědnost své činnosti („výzva v oblasti demokracie“);</w:t>
      </w:r>
    </w:p>
    <w:p w14:paraId="7908C718" w14:textId="77777777" w:rsidR="00614C80" w:rsidRPr="008D701B" w:rsidRDefault="00614C80" w:rsidP="00614C80">
      <w:pPr>
        <w:pStyle w:val="NormalHanging12a"/>
      </w:pPr>
      <w:r w:rsidRPr="008D701B">
        <w:t>R.</w:t>
      </w:r>
      <w:r w:rsidRPr="008D701B">
        <w:tab/>
        <w:t xml:space="preserve">vzhledem k tomu, že reformy institucionálního rámce EU, které by proběhly před rozšířením, implikují další rozvoj řešení spočívajících v diferencované integraci, pokud </w:t>
      </w:r>
      <w:r w:rsidRPr="008D701B">
        <w:lastRenderedPageBreak/>
        <w:t>to Smlouvy umožňují; vzhledem k tomu, že postupy podle článků 20, 42 a 46 Smlouvy o EU o posílené spolupráci a stálé strukturované spolupráci (PESCO) umožňují členským státům, které jsou ochotny tak učinit, aby prohloubily svou integraci a rozšířily vzájemnou spolupráci v rámci nevýlučných pravomocí EU;</w:t>
      </w:r>
    </w:p>
    <w:p w14:paraId="60CAE4AB" w14:textId="77777777" w:rsidR="00614C80" w:rsidRPr="008D701B" w:rsidRDefault="00614C80" w:rsidP="00614C80">
      <w:pPr>
        <w:pStyle w:val="NormalHanging12a"/>
      </w:pPr>
      <w:r w:rsidRPr="008D701B">
        <w:t>S.</w:t>
      </w:r>
      <w:r w:rsidRPr="008D701B">
        <w:tab/>
        <w:t>vzhledem k tomu, že v některých oblastech by mohla být okamžitě použita překlenovací ustanovení pro přechod od jednomyslnosti k hlasování kvalifikovanou většinou; vzhledem k tomu, že Smlouva o EU stanovuje, že cílem postupného vymezení společné obranné politiky EU je vytvoření společné obrany jednomyslným rozhodnutím Evropské rady, přičemž tato společná obrana musí být slučitelná s NATO;</w:t>
      </w:r>
    </w:p>
    <w:p w14:paraId="62B36530" w14:textId="77777777" w:rsidR="00614C80" w:rsidRPr="008D701B" w:rsidRDefault="00614C80" w:rsidP="00614C80">
      <w:pPr>
        <w:pStyle w:val="NormalHanging12a"/>
      </w:pPr>
      <w:r w:rsidRPr="008D701B">
        <w:t>T.</w:t>
      </w:r>
      <w:r w:rsidRPr="008D701B">
        <w:tab/>
        <w:t>vzhledem k tomu, že z důvodu omezené flexibility Smluv je třeba uvažovat o hlubší reformě cestou cílených změn Smlouvy; vzhledem k tomu, že Parlament zahájil postup revize Smluv a předložil Radě návrhy na změnu Smluv v souladu s čl. 48 odst. 2 Smlouvy o EU;</w:t>
      </w:r>
    </w:p>
    <w:p w14:paraId="173DBFF3" w14:textId="77777777" w:rsidR="00614C80" w:rsidRPr="008D701B" w:rsidRDefault="00614C80" w:rsidP="00614C80">
      <w:pPr>
        <w:pStyle w:val="Normal12a24b"/>
      </w:pPr>
      <w:r w:rsidRPr="008D701B">
        <w:rPr>
          <w:rStyle w:val="BoldItalic"/>
        </w:rPr>
        <w:t>Náklady rozšířené, ale nereformované EU</w:t>
      </w:r>
    </w:p>
    <w:p w14:paraId="36F99B21" w14:textId="77777777" w:rsidR="00614C80" w:rsidRPr="008D701B" w:rsidRDefault="00614C80" w:rsidP="00614C80">
      <w:pPr>
        <w:pStyle w:val="NormalHanging12a"/>
      </w:pPr>
      <w:r w:rsidRPr="008D701B">
        <w:t>1.</w:t>
      </w:r>
      <w:r w:rsidRPr="008D701B">
        <w:tab/>
        <w:t>tvrdí, že EU i kandidátské země vždy využívaly rozšíření jako politický a geopolitický nástroj k prosazování demokracie, stability, bezpečnosti a prosperity na celém kontinentu; zastává názor, že rozšíření EU představuje dlouhodobou geostrategickou investici;</w:t>
      </w:r>
    </w:p>
    <w:p w14:paraId="20C11044" w14:textId="77777777" w:rsidR="00614C80" w:rsidRPr="008D701B" w:rsidRDefault="00614C80" w:rsidP="00614C80">
      <w:pPr>
        <w:pStyle w:val="NormalHanging12a"/>
      </w:pPr>
      <w:r w:rsidRPr="008D701B">
        <w:t>2.</w:t>
      </w:r>
      <w:r w:rsidRPr="008D701B">
        <w:tab/>
        <w:t>zdůrazňuje, že ruská útočná válka proti Ukrajině a další geopolitické výzvy vyzdvihují naléhavost pokroku v procesu rozšíření; trvá na tom, že úspěšné a udržitelné rozšíření vyžaduje dlouhodobou politickou vizi a smělá rozhodnutí směřující k rozvoji efektivní, mocné a demokratické Evropy;</w:t>
      </w:r>
    </w:p>
    <w:p w14:paraId="2999BAED" w14:textId="77777777" w:rsidR="00614C80" w:rsidRPr="008D701B" w:rsidRDefault="00614C80" w:rsidP="00614C80">
      <w:pPr>
        <w:pStyle w:val="NormalHanging12a"/>
      </w:pPr>
      <w:r w:rsidRPr="008D701B">
        <w:t>3.</w:t>
      </w:r>
      <w:r w:rsidRPr="008D701B">
        <w:tab/>
        <w:t xml:space="preserve">konstatuje, že zkušenosti ukazují, že každá nová vlna rozšíření přináší nové institucionální a politické výzvy a příležitosti, které by se měly řešit včas, nejlépe ještě dříve, než se kandidátské země stanou členskými státy, aby bylo zajištěno účinné fungování EU a nedošlo k tomu, že její instituce nebudou schopny jednat; poukazuje na to, že v historii evropského projektu to bylo vždy tak, že před každým rozšířením nebo současně s ním proběhly nezbytné interní institucionální reformy; </w:t>
      </w:r>
    </w:p>
    <w:p w14:paraId="09A4CEBF" w14:textId="77777777" w:rsidR="00614C80" w:rsidRPr="008D701B" w:rsidRDefault="00614C80" w:rsidP="00614C80">
      <w:pPr>
        <w:pStyle w:val="NormalHanging12a"/>
      </w:pPr>
      <w:r w:rsidRPr="008D701B">
        <w:t>4.</w:t>
      </w:r>
      <w:r w:rsidRPr="008D701B">
        <w:tab/>
        <w:t>uznává, že cílem jednomyslnosti je zajistit, aby byly rozptýleny oprávněné obavy všech členských států; uznává nicméně, že rozšířená EU bude vyžadovat sofistikovanější koordinaci při řešení obtíží, s nimiž se potýkáme v současném procesu rozšíření: zdůrazňuje, že je důležité řešit obtíže způsobené jednomyslností v Radě, včetně využívání jednomyslnosti u dílčích kroků procesu rozšíření, které by mohlo zpomalit vstup nových členů do EU kvůli dvoustranným sporům; připomíná, že článek 49 Smlouvy o EU umožňuje přechod k hlasování kvalifikovanou většinou, aniž by bylo nutné měnit Smlouvu; upozorňuje na těžkopádnou a zastaralou strukturu a řízení unijního rozpočtu a možnou redistribuci při přidělování zemědělských a kohezních fondů; připomíná, že rozšíření EU je v tomto ohledu příležitostí k přehodnocení klíčových politik EU; podporuje iniciativy zaměřené na zefektivnění rozhodovacího procesu, které je klíčem k větší konkurenceschopnosti EU;</w:t>
      </w:r>
    </w:p>
    <w:p w14:paraId="129C3527" w14:textId="77777777" w:rsidR="00614C80" w:rsidRPr="008D701B" w:rsidRDefault="00614C80" w:rsidP="00614C80">
      <w:pPr>
        <w:pStyle w:val="NormalHanging12a"/>
      </w:pPr>
      <w:r w:rsidRPr="008D701B">
        <w:t>5.</w:t>
      </w:r>
      <w:r w:rsidRPr="008D701B">
        <w:tab/>
        <w:t xml:space="preserve">opakuje svůj postoj, že prohlubování Unie, její rozšiřování a sjednocování Evropy jsou procesy, které by měly probíhat souběžně; zdůrazňuje, že EU musí provést institucionální a finanční reformy, aby dokázala čelit výzvám stávajícího procesu </w:t>
      </w:r>
      <w:r w:rsidRPr="008D701B">
        <w:lastRenderedPageBreak/>
        <w:t xml:space="preserve">rozšíření a měla dostatečnou kapacitu k přijetí nových členů a jejich úspěšné integraci, aniž by tím došlo k destabilizaci ekonomik ostatních členských států či zvýšení sociálního napětí; </w:t>
      </w:r>
    </w:p>
    <w:p w14:paraId="0DAFE2C0" w14:textId="77777777" w:rsidR="00614C80" w:rsidRPr="008D701B" w:rsidRDefault="00614C80" w:rsidP="00614C80">
      <w:pPr>
        <w:pStyle w:val="NormalHanging12a"/>
      </w:pPr>
      <w:r w:rsidRPr="008D701B">
        <w:t>6.</w:t>
      </w:r>
      <w:r w:rsidRPr="008D701B">
        <w:tab/>
        <w:t>uznává, že řešení přijímaná případ od případu sice mohou dočasně fungovat, ale chybí jim předvídatelnost, demokratická transparentnost, demokratická odpovědnost a dlouhodobá udržitelnost, jakou mohou přinést pouze strukturální reformy;</w:t>
      </w:r>
    </w:p>
    <w:p w14:paraId="2F9AA177" w14:textId="77777777" w:rsidR="00614C80" w:rsidRPr="008D701B" w:rsidRDefault="00614C80" w:rsidP="00614C80">
      <w:pPr>
        <w:pStyle w:val="Normal12a24b"/>
      </w:pPr>
      <w:r w:rsidRPr="008D701B">
        <w:rPr>
          <w:rStyle w:val="BoldItalic"/>
        </w:rPr>
        <w:t>Cíle institucionálních reforem před rozšířením: efektivita, síla a demokracie</w:t>
      </w:r>
    </w:p>
    <w:p w14:paraId="5A31112B" w14:textId="77777777" w:rsidR="00614C80" w:rsidRPr="008D701B" w:rsidRDefault="00614C80" w:rsidP="00614C80">
      <w:pPr>
        <w:pStyle w:val="NormalHanging12a"/>
      </w:pPr>
      <w:r w:rsidRPr="008D701B">
        <w:t>7.</w:t>
      </w:r>
      <w:r w:rsidRPr="008D701B">
        <w:tab/>
        <w:t>je pevně přesvědčen, že institucionální reformy EU, ať už budou přijaty jakýmkoli postupem, by měly zvýšit schopnost EU jednat efektivně a včas; poukazuje na to, že reformy institucionálního rámce EU, které proběhnou před rozšířením, by měly zlepšit efektivitu EU, zvýšit její vliv na globální scéně a dosáhnout toho, že bude demokratičtější a bude mít vyšší legitimitu a demokratickou odpovědnost;</w:t>
      </w:r>
    </w:p>
    <w:p w14:paraId="276C8EA4" w14:textId="77777777" w:rsidR="00614C80" w:rsidRPr="008D701B" w:rsidRDefault="00614C80" w:rsidP="00614C80">
      <w:pPr>
        <w:pStyle w:val="Normal12a24b"/>
      </w:pPr>
      <w:r w:rsidRPr="008D701B">
        <w:rPr>
          <w:rStyle w:val="Italic"/>
        </w:rPr>
        <w:t>Výzva v oblasti efektivity</w:t>
      </w:r>
    </w:p>
    <w:p w14:paraId="0AA8F243" w14:textId="77777777" w:rsidR="00614C80" w:rsidRPr="008D701B" w:rsidRDefault="00614C80" w:rsidP="00614C80">
      <w:pPr>
        <w:pStyle w:val="NormalHanging12a"/>
      </w:pPr>
      <w:r w:rsidRPr="008D701B">
        <w:t>8.</w:t>
      </w:r>
      <w:r w:rsidRPr="008D701B">
        <w:tab/>
        <w:t>zdůrazňuje, že pokud se má zlepšit efektivita rozšířené EU, je třeba přizpůsobit složení unijních institucí, zvýšit jejich efektivitu a zlepšit jejich fungování; navrhuje, aby byl proces rozšíření EU podpořen tím, že se kandidátské země budou již v rané fázi úzce zapojovat do fungování orgánů a institucí EU, např. jako pozorovatelé; konstatuje, že toho lze úspěšně dosáhnout podobným způsobem jako při rozšíření v roce 2004; jako pozitivní příklad takové postupné integrace bere na vědomí úsilí Komise o zapojování kandidátských zemí do oblastí bezpečnosti a obrany, zejména prostřednictvím jejich uvedení v bílé knize o budoucnosti obrany EU a ve strategii vnitřní bezpečnosti;</w:t>
      </w:r>
    </w:p>
    <w:p w14:paraId="0E62AF29" w14:textId="77777777" w:rsidR="00614C80" w:rsidRPr="008D701B" w:rsidRDefault="00614C80" w:rsidP="00614C80">
      <w:pPr>
        <w:pStyle w:val="NormalHanging12a"/>
      </w:pPr>
      <w:r w:rsidRPr="008D701B">
        <w:t>9.</w:t>
      </w:r>
      <w:r w:rsidRPr="008D701B">
        <w:tab/>
        <w:t>konstatuje, že institucionální reformy uskutečněné před rozšířením se musí zabývat také důsledky rozšíření pro složení Parlamentu; zdůrazňuje, že Parlament musí mít přiměřenou demokratickou reprezentativnost, ale současně si zachovat velikost, která mu umožní fungovat; poukazuje na to, že prioritou by mělo být interní a interinstitucionální úsilí o stanovení stálého mechanismu přidělování křesel, který by zajistil spravedlivé, transparentní a dlouhodobě adekvátní demografické a geografické zastoupení při respektování zásady degresivní proporcionality; připomíná svůj postoj, že složení Parlamentu by mělo být posuzováno společně se systémem hlasování v Radě;</w:t>
      </w:r>
    </w:p>
    <w:p w14:paraId="7AE681EC" w14:textId="77777777" w:rsidR="00614C80" w:rsidRPr="008D701B" w:rsidRDefault="00614C80" w:rsidP="00614C80">
      <w:pPr>
        <w:pStyle w:val="NormalHanging12a"/>
      </w:pPr>
      <w:r w:rsidRPr="008D701B">
        <w:t xml:space="preserve">10. </w:t>
      </w:r>
      <w:r w:rsidRPr="008D701B">
        <w:tab/>
        <w:t>konstatuje, že také stávající složení Komise musí zohledňovat budoucí rozšíření; připomíná, že Lisabonská smlouva poskytuje v této souvislosti určitou flexibilitu; zdůrazňuje, že případné snížení počtu členů sboru komisařů, jak je stanoveno v čl. 17 odst. 5 Smlouvy o EU, musí i nadále zajišťovat zeměpisně, demograficky a genderově vyvážené složení Komise;</w:t>
      </w:r>
    </w:p>
    <w:p w14:paraId="78132641" w14:textId="77777777" w:rsidR="00614C80" w:rsidRPr="008D701B" w:rsidRDefault="00614C80" w:rsidP="00614C80">
      <w:pPr>
        <w:pStyle w:val="NormalHanging12a"/>
        <w:rPr>
          <w:bCs/>
          <w:iCs/>
        </w:rPr>
      </w:pPr>
      <w:r w:rsidRPr="008D701B">
        <w:t xml:space="preserve">11. </w:t>
      </w:r>
      <w:r w:rsidRPr="008D701B">
        <w:tab/>
        <w:t>uznává, že je třeba zvážit revizi fungování Rady a jejího rozhodovacího procesu s ohledem na rozšíření; podotýká, že je třeba nově definovat systém kvalifikované většiny, aby se zlepšila rovnováha mezi většími a menšími zeměmi a aby byly zachovány vyšší limity pro nejdůležitější a politicky nejcitlivější rozhodnutí; v této souvislosti připomíná své usnesení ze dne 22. listopadu 2023 týkající se návrhů Evropského parlamentu na změnu Smluv, zejména pokud jde o hlasovací většiny v Radě; požaduje co nejvyšší transparentnost a integritu rozhodovacího procesu Rady v kontextu rozšíření;</w:t>
      </w:r>
    </w:p>
    <w:p w14:paraId="11AF7EA2" w14:textId="77777777" w:rsidR="00614C80" w:rsidRPr="008D701B" w:rsidRDefault="00614C80" w:rsidP="00614C80">
      <w:pPr>
        <w:pStyle w:val="NormalHanging12a"/>
      </w:pPr>
      <w:bookmarkStart w:id="7" w:name="_Hlk208310878"/>
      <w:r w:rsidRPr="008D701B">
        <w:lastRenderedPageBreak/>
        <w:t>12.</w:t>
      </w:r>
      <w:r w:rsidRPr="008D701B">
        <w:tab/>
        <w:t>navrhuje posílit a reformovat postup podle článku 7 Smlouvy o EU v tom smyslu, že při přijímání rozhodnutí Evropské rady již nebude vyžadována jednomyslnost, budou stanoveny jasné lhůty a v případech porušení bude rozhodovat Soudní dvůr;</w:t>
      </w:r>
      <w:bookmarkEnd w:id="7"/>
    </w:p>
    <w:p w14:paraId="1499B970" w14:textId="77777777" w:rsidR="00614C80" w:rsidRPr="008D701B" w:rsidRDefault="00614C80" w:rsidP="00614C80">
      <w:pPr>
        <w:pStyle w:val="Normal12a24b"/>
      </w:pPr>
      <w:r w:rsidRPr="008D701B">
        <w:rPr>
          <w:rStyle w:val="Italic"/>
        </w:rPr>
        <w:t>Výzva v oblasti síly a zdrojů</w:t>
      </w:r>
    </w:p>
    <w:p w14:paraId="686BB415" w14:textId="77777777" w:rsidR="00614C80" w:rsidRPr="008D701B" w:rsidRDefault="00614C80" w:rsidP="00614C80">
      <w:pPr>
        <w:pStyle w:val="NormalHanging12a"/>
      </w:pPr>
      <w:r w:rsidRPr="008D701B">
        <w:t>13.</w:t>
      </w:r>
      <w:r w:rsidRPr="008D701B">
        <w:tab/>
        <w:t>opakuje svou výzvu k revizi systému řízení VFR, kdy je zejména třeba zavést plný postup spolurozhodování o výdajové stránce rozpočtu EU, včetně přijímání VFR;</w:t>
      </w:r>
    </w:p>
    <w:p w14:paraId="06E884E4" w14:textId="77777777" w:rsidR="00614C80" w:rsidRPr="008D701B" w:rsidRDefault="00614C80" w:rsidP="00614C80">
      <w:pPr>
        <w:pStyle w:val="NormalHanging12a"/>
        <w:rPr>
          <w:bCs/>
          <w:iCs/>
        </w:rPr>
      </w:pPr>
      <w:r w:rsidRPr="008D701B">
        <w:t>14.</w:t>
      </w:r>
      <w:r w:rsidRPr="008D701B">
        <w:tab/>
        <w:t>je přesvědčen, že stávající povinná doložka o přezkumu by v případě rozšíření měla zůstat v příštím VFR zachována a že vnitrostátní příděly by neměly být dotčeny; zdůrazňuje, že příští VFR bude rovněž muset na základě pečlivého posouzení dopadů na nejrůznější odvětví zavést vhodná přechodná a zaváděcí opatření v klíčových výdajových oblastech, například soudržnosti a zemědělství;</w:t>
      </w:r>
    </w:p>
    <w:p w14:paraId="213ECA97" w14:textId="77777777" w:rsidR="00614C80" w:rsidRPr="008D701B" w:rsidRDefault="00614C80" w:rsidP="00614C80">
      <w:pPr>
        <w:pStyle w:val="NormalHanging12a"/>
        <w:rPr>
          <w:bCs/>
          <w:iCs/>
        </w:rPr>
      </w:pPr>
      <w:r w:rsidRPr="008D701B">
        <w:t>15.</w:t>
      </w:r>
      <w:r w:rsidRPr="008D701B">
        <w:tab/>
        <w:t>domnívá se, že příští VFR bude mít zásadní význam pro přípravu EU na rozšíření a kandidátských zemí na přistoupení;</w:t>
      </w:r>
    </w:p>
    <w:p w14:paraId="00EEB955" w14:textId="77777777" w:rsidR="00614C80" w:rsidRPr="008D701B" w:rsidRDefault="00614C80" w:rsidP="00614C80">
      <w:pPr>
        <w:pStyle w:val="NormalHanging12a"/>
      </w:pPr>
      <w:r w:rsidRPr="008D701B">
        <w:t>16.</w:t>
      </w:r>
      <w:r w:rsidRPr="008D701B">
        <w:tab/>
        <w:t>připomíná postoj Parlamentu vyjádřený v usnesení ze dne 7. května 2025 o přepracovaném dlouhodobém rozpočtu Unie v měnícím se světě</w:t>
      </w:r>
      <w:r w:rsidRPr="008D701B">
        <w:rPr>
          <w:rStyle w:val="FootnoteReference"/>
        </w:rPr>
        <w:footnoteReference w:id="7"/>
      </w:r>
      <w:r w:rsidRPr="008D701B">
        <w:t xml:space="preserve">, že dlouhodobý rozpočet EU musí upustit od dřívější omezující výše 1 % souhrnného hrubého národního důchodu, který si EU sama stanovila; zdůrazňuje, že </w:t>
      </w:r>
      <w:proofErr w:type="spellStart"/>
      <w:r w:rsidRPr="008D701B">
        <w:t>Draghiho</w:t>
      </w:r>
      <w:proofErr w:type="spellEnd"/>
      <w:r w:rsidRPr="008D701B">
        <w:t xml:space="preserve"> a </w:t>
      </w:r>
      <w:proofErr w:type="spellStart"/>
      <w:r w:rsidRPr="008D701B">
        <w:t>Lettova</w:t>
      </w:r>
      <w:proofErr w:type="spellEnd"/>
      <w:r w:rsidRPr="008D701B">
        <w:t xml:space="preserve"> zpráva ukázaly, že EU potřebuje značné dodatečné vlastní zdroje, aby se stala konkurenceschopnější, dokončila spravedlivou a ekologickou transformaci a byla schopna se do roku 2030 samostatně bránit ruské agresi;</w:t>
      </w:r>
    </w:p>
    <w:p w14:paraId="6148A760" w14:textId="77777777" w:rsidR="00614C80" w:rsidRPr="008D701B" w:rsidRDefault="00614C80" w:rsidP="00614C80">
      <w:pPr>
        <w:pStyle w:val="NormalHanging12a"/>
      </w:pPr>
      <w:r w:rsidRPr="008D701B">
        <w:t>17.</w:t>
      </w:r>
      <w:r w:rsidRPr="008D701B">
        <w:tab/>
        <w:t xml:space="preserve">zdůrazňuje, že VFR po roce 2027 a účinnější rozpočet, včetně balíčku nových vlastních zdrojů, by měly EU umožnit rozhodný krok směrem k rozšíření a zároveň zachovat stávající politiky, programy a priority; </w:t>
      </w:r>
    </w:p>
    <w:p w14:paraId="3B4A023E" w14:textId="77777777" w:rsidR="00614C80" w:rsidRPr="008D701B" w:rsidRDefault="00614C80" w:rsidP="00614C80">
      <w:pPr>
        <w:pStyle w:val="Normal12a24b"/>
      </w:pPr>
      <w:r w:rsidRPr="008D701B">
        <w:rPr>
          <w:rStyle w:val="Italic"/>
        </w:rPr>
        <w:t>Výzva v oblasti demokracie</w:t>
      </w:r>
    </w:p>
    <w:p w14:paraId="2144C6D6" w14:textId="77777777" w:rsidR="00614C80" w:rsidRPr="008D701B" w:rsidRDefault="00614C80" w:rsidP="00614C80">
      <w:pPr>
        <w:pStyle w:val="NormalHanging12a"/>
      </w:pPr>
      <w:r w:rsidRPr="008D701B">
        <w:t>18.</w:t>
      </w:r>
      <w:r w:rsidRPr="008D701B">
        <w:tab/>
        <w:t>zdůrazňuje, že je třeba zvýšit demokratickou legitimitu politik EU rozšířením rozhodovacích a kontrolních pravomocí – včetně silného práva na vyšetřování – Evropského parlamentu, který je jediným přímo voleným orgánem zastupujícím občany EU;</w:t>
      </w:r>
    </w:p>
    <w:p w14:paraId="668CD010" w14:textId="77777777" w:rsidR="00614C80" w:rsidRPr="008D701B" w:rsidRDefault="00614C80" w:rsidP="00614C80">
      <w:pPr>
        <w:pStyle w:val="NormalHanging12a"/>
        <w:rPr>
          <w:bCs/>
          <w:iCs/>
        </w:rPr>
      </w:pPr>
      <w:r w:rsidRPr="008D701B">
        <w:t>19.</w:t>
      </w:r>
      <w:r w:rsidRPr="008D701B">
        <w:tab/>
        <w:t xml:space="preserve">zdůrazňuje klíčovou roli, kterou v procesu rozšiřování EU hrají parlamenty přistupujících zemí, zejména při přijímání právních předpisů souvisejících s přistoupením, a význam parlamentní spolupráce a budování konsensu v otázkách týkajících se přistoupení k EU; opakuje, že Evropský parlament je připraven využívat své politické a technické zdroje na pomoc parlamentům v přistupujících zemích při pokroku v reformní agendě související s EU, a to i prostřednictvím činností na podporu demokracie; vítá pokrok, jehož bylo dosaženo v řadě kandidátských zemí, mimo jiné prostřednictvím zprostředkovatelské činnosti a procesu dialogu Jeana </w:t>
      </w:r>
      <w:proofErr w:type="spellStart"/>
      <w:r w:rsidRPr="008D701B">
        <w:t>Monneta</w:t>
      </w:r>
      <w:proofErr w:type="spellEnd"/>
      <w:r w:rsidRPr="008D701B">
        <w:t>;</w:t>
      </w:r>
    </w:p>
    <w:p w14:paraId="4316EB3A" w14:textId="77777777" w:rsidR="00614C80" w:rsidRPr="008D701B" w:rsidRDefault="00614C80" w:rsidP="00614C80">
      <w:pPr>
        <w:pStyle w:val="NormalHanging12a"/>
      </w:pPr>
      <w:r w:rsidRPr="008D701B">
        <w:t>20.</w:t>
      </w:r>
      <w:r w:rsidRPr="008D701B">
        <w:tab/>
        <w:t xml:space="preserve">zdůrazňuje, že reforma rozhodovacího procesu v EU vyžaduje posílení postavení Parlamentu, které by mělo být rovnocenné s postavením Rady; opakuje svou výzvu, aby Parlament získal plné právo legislativního podnětu, tedy právo předkládat návrhy na </w:t>
      </w:r>
      <w:r w:rsidRPr="008D701B">
        <w:lastRenderedPageBreak/>
        <w:t>přijetí, změnu nebo zrušení právních předpisů Unie; je přesvědčen, že obecné a přímé právo podnětu by dále upevnilo demokratickou legitimitu EU a posílilo postavení občanů EU;</w:t>
      </w:r>
    </w:p>
    <w:p w14:paraId="614ADBBF" w14:textId="77777777" w:rsidR="00614C80" w:rsidRPr="008D701B" w:rsidRDefault="00614C80" w:rsidP="00614C80">
      <w:pPr>
        <w:pStyle w:val="NormalHanging12a"/>
        <w:rPr>
          <w:bCs/>
          <w:iCs/>
        </w:rPr>
      </w:pPr>
      <w:r w:rsidRPr="008D701B">
        <w:t>21.</w:t>
      </w:r>
      <w:r w:rsidRPr="008D701B">
        <w:tab/>
        <w:t>uznává, že přímá práva podnětu Parlamentu zdaleka nepostačují k tomu, aby mohl reprezentovat občany, občanskou společnost a sociální partnery EU v rámci evropských orgánů, což Komisi de facto ponechává monopol na podávání legislativních návrhů;</w:t>
      </w:r>
    </w:p>
    <w:p w14:paraId="0FDD19C3" w14:textId="77777777" w:rsidR="00614C80" w:rsidRPr="008D701B" w:rsidRDefault="00614C80" w:rsidP="00614C80">
      <w:pPr>
        <w:pStyle w:val="NormalHanging12a"/>
        <w:rPr>
          <w:bCs/>
          <w:iCs/>
        </w:rPr>
      </w:pPr>
      <w:r w:rsidRPr="008D701B">
        <w:t>22.</w:t>
      </w:r>
      <w:r w:rsidRPr="008D701B">
        <w:tab/>
        <w:t>zdůrazňuje, že již Lisabonská smlouva Parlamentu uděluje přímá práva podnětu, a uznává tak jeho schopnost samouspořádání, jeho kontrolní funkci a jeho demokratickou legitimitu jako jediného přímo voleného orgánu EU;</w:t>
      </w:r>
    </w:p>
    <w:p w14:paraId="30320C7B" w14:textId="77777777" w:rsidR="00614C80" w:rsidRPr="008D701B" w:rsidRDefault="00614C80" w:rsidP="00614C80">
      <w:pPr>
        <w:pStyle w:val="NormalHanging12a"/>
      </w:pPr>
      <w:r w:rsidRPr="008D701B">
        <w:t xml:space="preserve">23. </w:t>
      </w:r>
      <w:r w:rsidRPr="008D701B">
        <w:tab/>
        <w:t>považuje za nezbytné, aby se zlepšila transparentnost a demokratická odpovědnost Parlamentu, a to cestou posílení evropského rozměru voleb a stanovením jednotných volebních pravidel v celé EU; vyzývá zbývající členské státy, aby ratifikovaly rozhodnutí Rady 2018/994</w:t>
      </w:r>
      <w:r w:rsidRPr="008D701B">
        <w:rPr>
          <w:rStyle w:val="FootnoteReference"/>
        </w:rPr>
        <w:footnoteReference w:id="8"/>
      </w:r>
      <w:r w:rsidRPr="008D701B">
        <w:t>; vyzývá Radu, aby pracovala na návrzích, které Parlament formuloval ve svém postoji ze dne 3. května 2022</w:t>
      </w:r>
      <w:r w:rsidRPr="008D701B">
        <w:rPr>
          <w:vertAlign w:val="superscript"/>
        </w:rPr>
        <w:footnoteReference w:id="9"/>
      </w:r>
      <w:r w:rsidRPr="008D701B">
        <w:t xml:space="preserve">; opakuje svou výzvu k tomu, aby Parlament a Rada pokročily v diskusích o zavedení stálého mechanismu rozdělování křesel v Evropském parlamentu; </w:t>
      </w:r>
    </w:p>
    <w:p w14:paraId="0B159ED5" w14:textId="77777777" w:rsidR="00614C80" w:rsidRPr="008D701B" w:rsidRDefault="00614C80" w:rsidP="00614C80">
      <w:pPr>
        <w:pStyle w:val="Normal12a24b"/>
      </w:pPr>
      <w:r w:rsidRPr="008D701B">
        <w:rPr>
          <w:rStyle w:val="BoldItalic"/>
        </w:rPr>
        <w:t>Nástroje pro provádění institucionálních reforem před rozšířením</w:t>
      </w:r>
    </w:p>
    <w:p w14:paraId="577B042E" w14:textId="77777777" w:rsidR="00614C80" w:rsidRPr="008D701B" w:rsidRDefault="00614C80" w:rsidP="00614C80">
      <w:pPr>
        <w:pStyle w:val="NormalHanging12a"/>
      </w:pPr>
      <w:r w:rsidRPr="008D701B">
        <w:t>24.</w:t>
      </w:r>
      <w:r w:rsidRPr="008D701B">
        <w:tab/>
        <w:t>domnívá se, že výše uvedených cílů institucionálních reforem před rozšířením lze dosahovat různými prostředky, mimo jiné aktivací nástrojů flexibility, které nabízejí stávající Smlouvy, prostřednictvím jedné nebo více cílených změn Smluv;</w:t>
      </w:r>
    </w:p>
    <w:p w14:paraId="255C3865" w14:textId="77777777" w:rsidR="00614C80" w:rsidRPr="008D701B" w:rsidRDefault="00614C80" w:rsidP="00614C80">
      <w:pPr>
        <w:pStyle w:val="NormalHanging12a"/>
      </w:pPr>
      <w:r w:rsidRPr="008D701B">
        <w:t>25.</w:t>
      </w:r>
      <w:r w:rsidRPr="008D701B">
        <w:tab/>
        <w:t>připomíná, že mnoho nástrojů flexibility, např. překlenovací ustanovení, posílená spolupráce, konstruktivní zdržení se hlasování, stálá strukturovaná spolupráce a mechanismy neúčasti, je k dispozici již v současném právním rámci EU, jak dokazují zkušenosti z vytváření schengenského prostoru, který je jedním z největších úspěchů EU, a jednotné měny; připomíná, že v kontextu procesu přistoupení lze v určitých oblastech vyjednat, aby některá pravidla byla zaváděna postupně a aby byly uplatňovány dočasné výjimky a přechodná období;</w:t>
      </w:r>
    </w:p>
    <w:p w14:paraId="5DEC52CE" w14:textId="77777777" w:rsidR="00614C80" w:rsidRPr="008D701B" w:rsidRDefault="00614C80" w:rsidP="00614C80">
      <w:pPr>
        <w:pStyle w:val="NormalHanging12a"/>
        <w:rPr>
          <w:bCs/>
          <w:iCs/>
        </w:rPr>
      </w:pPr>
      <w:r w:rsidRPr="008D701B">
        <w:t>26.</w:t>
      </w:r>
      <w:r w:rsidRPr="008D701B">
        <w:tab/>
        <w:t>znovu opakuje svůj postoj, že diferencovaná integrace by měla vždy probíhat v rámci Smluv a zachovávat jednotnost orgánů EU a neměla by vést k tvorbě paralelních institucionálních uspořádání nebo uspořádání, která nepřímo porušují ducha a základní zásady práva EU, avšak namísto toho by měla umožňovat případné zřizování zvláštních orgánů, aniž by byly dotčeny pravomoci a úloha orgánů EU;</w:t>
      </w:r>
    </w:p>
    <w:p w14:paraId="4E319A0D" w14:textId="77777777" w:rsidR="00614C80" w:rsidRPr="008D701B" w:rsidRDefault="00614C80" w:rsidP="00614C80">
      <w:pPr>
        <w:pStyle w:val="NormalHanging12a"/>
        <w:tabs>
          <w:tab w:val="left" w:pos="709"/>
        </w:tabs>
      </w:pPr>
      <w:r w:rsidRPr="008D701B">
        <w:lastRenderedPageBreak/>
        <w:t>27.</w:t>
      </w:r>
      <w:r w:rsidRPr="008D701B">
        <w:tab/>
        <w:t>poukazuje na to, že nástroje flexibility, které poskytují současné Smlouvy, umožňují učinit více pro pokrok směrem k evropské obranné unii, aniž by bylo nutné provést komplexní reformu Smlouvy; zdůrazňuje, že zřízení stálé evropské obranné unie bude nakonec vyžadovat jednomyslné rozhodnutí v souladu s čl. 42 odst. 2;</w:t>
      </w:r>
    </w:p>
    <w:p w14:paraId="5FEFD02B" w14:textId="77777777" w:rsidR="00614C80" w:rsidRPr="008D701B" w:rsidRDefault="00614C80" w:rsidP="00614C80">
      <w:pPr>
        <w:pStyle w:val="NormalHanging12a"/>
      </w:pPr>
      <w:r w:rsidRPr="008D701B">
        <w:t>28.</w:t>
      </w:r>
      <w:r w:rsidRPr="008D701B">
        <w:tab/>
        <w:t>zdůrazňuje, že v oblasti obrany je možné zřídit stálou strukturovanou spolupráci (podle článku 46 Smlouvy o EU), která skupině členských států umožní pokročit vpřed při vytváření systému evropské obrany; konstatuje, že ačkoli stálá strukturovaná spolupráce byla dosud využívána převážně pro projekty v oblasti obranného průmyslu, má širší potenciál k tomu, aby členským státům, které jsou ochotny tak učinit, umožnila rychle institucionalizovat společnou obranu, a to i pokud se nepodaří dosáhnout jednomyslnosti v Evropské radě;</w:t>
      </w:r>
    </w:p>
    <w:p w14:paraId="0E11ED99" w14:textId="77777777" w:rsidR="00614C80" w:rsidRPr="008D701B" w:rsidRDefault="00614C80" w:rsidP="00614C80">
      <w:pPr>
        <w:pStyle w:val="NormalHanging12a"/>
      </w:pPr>
      <w:r w:rsidRPr="008D701B">
        <w:t>29.</w:t>
      </w:r>
      <w:r w:rsidRPr="008D701B">
        <w:tab/>
        <w:t>zdůrazňuje, že podle stávajících ustanovení Smlouvy by rozhodnutí přijaté kvalifikovanou většinou umožnilo vytvořit systém evropské obrany podle čl. 42 odst. 6 Smlouvy o EU a čl. 1 písm. b) protokolu č. 10, a přitom by ponechalo prostor pro pozdější přistoupení dalších členských států, jako tomu bylo v případě hospodářské a měnové unie; v této souvislosti vybízí Komisi a ty členské státy, které jsou ochotny tak učinit, aby za tímto účelem co nejdříve aktivovaly ustanovení o stálé strukturované spolupráci;</w:t>
      </w:r>
    </w:p>
    <w:p w14:paraId="5A7A1410" w14:textId="03246921" w:rsidR="00614C80" w:rsidRPr="008D701B" w:rsidRDefault="00400246" w:rsidP="00614C80">
      <w:pPr>
        <w:pStyle w:val="NormalHanging12a"/>
        <w:rPr>
          <w:bCs/>
          <w:iCs/>
        </w:rPr>
      </w:pPr>
      <w:r w:rsidRPr="008D701B">
        <w:t>3</w:t>
      </w:r>
      <w:r>
        <w:t>0</w:t>
      </w:r>
      <w:r w:rsidR="00614C80" w:rsidRPr="008D701B">
        <w:t>.</w:t>
      </w:r>
      <w:r w:rsidR="00614C80" w:rsidRPr="008D701B">
        <w:tab/>
        <w:t>vyzývá Komisi a Radu, aby jasně sdělily závěry přezkumů politik a aby ve spolupráci s Parlamentem vypracovaly realistický a posloupný plán provádění nezbytných institucionálních reforem spolu s procesem rozšíření;</w:t>
      </w:r>
    </w:p>
    <w:p w14:paraId="186085FA" w14:textId="77777777" w:rsidR="00614C80" w:rsidRPr="008D701B" w:rsidRDefault="00614C80" w:rsidP="00614C80">
      <w:pPr>
        <w:pStyle w:val="NormalHanging12a"/>
        <w:jc w:val="center"/>
        <w:rPr>
          <w:bCs/>
          <w:iCs/>
        </w:rPr>
      </w:pPr>
      <w:r w:rsidRPr="008D701B">
        <w:t>°</w:t>
      </w:r>
    </w:p>
    <w:p w14:paraId="4A008B55" w14:textId="77777777" w:rsidR="00614C80" w:rsidRPr="008D701B" w:rsidRDefault="00614C80" w:rsidP="00614C80">
      <w:pPr>
        <w:pStyle w:val="NormalHanging12a"/>
        <w:jc w:val="center"/>
        <w:rPr>
          <w:bCs/>
          <w:iCs/>
        </w:rPr>
      </w:pPr>
      <w:r w:rsidRPr="008D701B">
        <w:t>°</w:t>
      </w:r>
      <w:r w:rsidRPr="008D701B">
        <w:tab/>
        <w:t>°</w:t>
      </w:r>
    </w:p>
    <w:p w14:paraId="11EE089C" w14:textId="26E1CC90" w:rsidR="008D701B" w:rsidRPr="008D701B" w:rsidRDefault="00400246" w:rsidP="008D701B">
      <w:pPr>
        <w:pStyle w:val="NormalHanging12a"/>
      </w:pPr>
      <w:r w:rsidRPr="008D701B">
        <w:t>3</w:t>
      </w:r>
      <w:r>
        <w:t>1</w:t>
      </w:r>
      <w:r w:rsidR="00614C80" w:rsidRPr="008D701B">
        <w:t>.</w:t>
      </w:r>
      <w:r w:rsidR="00614C80" w:rsidRPr="008D701B">
        <w:tab/>
        <w:t>pověřuje svou předsedkyni, aby předala toto usnesení Radě a Komisi.</w:t>
      </w:r>
    </w:p>
    <w:p w14:paraId="3114A0EF" w14:textId="3D531685" w:rsidR="00E365E1" w:rsidRPr="008D701B" w:rsidRDefault="00E365E1" w:rsidP="00A63CAF"/>
    <w:sectPr w:rsidR="00E365E1" w:rsidRPr="008D701B" w:rsidSect="008D70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40ABE" w14:textId="77777777" w:rsidR="00A63CAF" w:rsidRPr="008D701B" w:rsidRDefault="00A63CAF">
      <w:r w:rsidRPr="008D701B">
        <w:separator/>
      </w:r>
    </w:p>
  </w:endnote>
  <w:endnote w:type="continuationSeparator" w:id="0">
    <w:p w14:paraId="667BBE60" w14:textId="77777777" w:rsidR="00A63CAF" w:rsidRPr="008D701B" w:rsidRDefault="00A63CAF">
      <w:r w:rsidRPr="008D70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0A793" w14:textId="77777777" w:rsidR="00064002" w:rsidRPr="008D70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52AF2" w14:textId="77777777" w:rsidR="00064002" w:rsidRPr="008D70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86CF9" w14:textId="77777777" w:rsidR="00064002" w:rsidRPr="008D70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A8A46" w14:textId="77777777" w:rsidR="00A63CAF" w:rsidRPr="008D701B" w:rsidRDefault="00A63CAF">
      <w:r w:rsidRPr="008D701B">
        <w:separator/>
      </w:r>
    </w:p>
  </w:footnote>
  <w:footnote w:type="continuationSeparator" w:id="0">
    <w:p w14:paraId="059CFF92" w14:textId="77777777" w:rsidR="00A63CAF" w:rsidRPr="008D701B" w:rsidRDefault="00A63CAF">
      <w:r w:rsidRPr="008D701B">
        <w:continuationSeparator/>
      </w:r>
    </w:p>
  </w:footnote>
  <w:footnote w:id="1">
    <w:p w14:paraId="19F20F7B" w14:textId="660D683B" w:rsidR="00614C80" w:rsidRPr="008D701B" w:rsidRDefault="00614C80" w:rsidP="008D701B">
      <w:pPr>
        <w:pStyle w:val="FootnoteText"/>
        <w:ind w:left="567" w:hanging="567"/>
        <w:rPr>
          <w:sz w:val="24"/>
          <w:lang w:val="cs-CZ"/>
        </w:rPr>
      </w:pPr>
      <w:r w:rsidRPr="008D701B">
        <w:rPr>
          <w:rStyle w:val="FootnoteReference"/>
          <w:sz w:val="24"/>
          <w:lang w:val="cs-CZ"/>
        </w:rPr>
        <w:footnoteRef/>
      </w:r>
      <w:r w:rsidR="008D701B" w:rsidRPr="008D701B">
        <w:rPr>
          <w:sz w:val="24"/>
          <w:lang w:val="cs-CZ"/>
        </w:rPr>
        <w:t xml:space="preserve"> </w:t>
      </w:r>
      <w:r w:rsidR="008D701B" w:rsidRPr="008D701B">
        <w:rPr>
          <w:sz w:val="24"/>
          <w:lang w:val="cs-CZ"/>
        </w:rPr>
        <w:tab/>
      </w:r>
      <w:proofErr w:type="spellStart"/>
      <w:r w:rsidRPr="008D701B">
        <w:rPr>
          <w:sz w:val="24"/>
          <w:lang w:val="cs-CZ"/>
        </w:rPr>
        <w:t>Úř</w:t>
      </w:r>
      <w:proofErr w:type="spellEnd"/>
      <w:r w:rsidRPr="008D701B">
        <w:rPr>
          <w:sz w:val="24"/>
          <w:lang w:val="cs-CZ"/>
        </w:rPr>
        <w:t xml:space="preserve">. </w:t>
      </w:r>
      <w:proofErr w:type="spellStart"/>
      <w:r w:rsidRPr="008D701B">
        <w:rPr>
          <w:sz w:val="24"/>
          <w:lang w:val="cs-CZ"/>
        </w:rPr>
        <w:t>věst</w:t>
      </w:r>
      <w:proofErr w:type="spellEnd"/>
      <w:r w:rsidRPr="008D701B">
        <w:rPr>
          <w:sz w:val="24"/>
          <w:lang w:val="cs-CZ"/>
        </w:rPr>
        <w:t>. C 252, 18.7.2018, s. 215.</w:t>
      </w:r>
    </w:p>
  </w:footnote>
  <w:footnote w:id="2">
    <w:p w14:paraId="764894DB" w14:textId="54F6C921" w:rsidR="00614C80" w:rsidRPr="008D701B" w:rsidRDefault="00614C80" w:rsidP="008D701B">
      <w:pPr>
        <w:pStyle w:val="FootnoteText"/>
        <w:ind w:left="567" w:hanging="567"/>
        <w:rPr>
          <w:sz w:val="24"/>
          <w:lang w:val="cs-CZ"/>
        </w:rPr>
      </w:pPr>
      <w:r w:rsidRPr="008D701B">
        <w:rPr>
          <w:rStyle w:val="FootnoteReference"/>
          <w:sz w:val="24"/>
          <w:lang w:val="cs-CZ"/>
        </w:rPr>
        <w:footnoteRef/>
      </w:r>
      <w:r w:rsidR="008D701B" w:rsidRPr="008D701B">
        <w:rPr>
          <w:sz w:val="24"/>
          <w:lang w:val="cs-CZ"/>
        </w:rPr>
        <w:t xml:space="preserve"> </w:t>
      </w:r>
      <w:r w:rsidR="008D701B" w:rsidRPr="008D701B">
        <w:rPr>
          <w:sz w:val="24"/>
          <w:lang w:val="cs-CZ"/>
        </w:rPr>
        <w:tab/>
      </w:r>
      <w:proofErr w:type="spellStart"/>
      <w:r w:rsidRPr="008D701B">
        <w:rPr>
          <w:sz w:val="24"/>
          <w:lang w:val="cs-CZ"/>
        </w:rPr>
        <w:t>Úř</w:t>
      </w:r>
      <w:proofErr w:type="spellEnd"/>
      <w:r w:rsidRPr="008D701B">
        <w:rPr>
          <w:sz w:val="24"/>
          <w:lang w:val="cs-CZ"/>
        </w:rPr>
        <w:t xml:space="preserve">. </w:t>
      </w:r>
      <w:proofErr w:type="spellStart"/>
      <w:r w:rsidRPr="008D701B">
        <w:rPr>
          <w:sz w:val="24"/>
          <w:lang w:val="cs-CZ"/>
        </w:rPr>
        <w:t>věst</w:t>
      </w:r>
      <w:proofErr w:type="spellEnd"/>
      <w:r w:rsidRPr="008D701B">
        <w:rPr>
          <w:sz w:val="24"/>
          <w:lang w:val="cs-CZ"/>
        </w:rPr>
        <w:t xml:space="preserve">. C, C/2024/3996, 17.7.2024, ELI: </w:t>
      </w:r>
      <w:hyperlink r:id="rId1" w:history="1">
        <w:r w:rsidRPr="00384F95">
          <w:rPr>
            <w:rStyle w:val="Hyperlink"/>
            <w:sz w:val="24"/>
            <w:lang w:val="cs-CZ"/>
          </w:rPr>
          <w:t>http://data.europa.eu/eli/C/2024/3996/oj</w:t>
        </w:r>
      </w:hyperlink>
      <w:r w:rsidRPr="008D701B">
        <w:rPr>
          <w:sz w:val="24"/>
          <w:lang w:val="cs-CZ"/>
        </w:rPr>
        <w:t>.</w:t>
      </w:r>
    </w:p>
  </w:footnote>
  <w:footnote w:id="3">
    <w:p w14:paraId="59839815" w14:textId="0211BBE1" w:rsidR="00614C80" w:rsidRPr="008D701B" w:rsidRDefault="00614C80" w:rsidP="008D701B">
      <w:pPr>
        <w:pStyle w:val="FootnoteText"/>
        <w:ind w:left="567" w:hanging="567"/>
        <w:rPr>
          <w:sz w:val="24"/>
          <w:lang w:val="cs-CZ"/>
        </w:rPr>
      </w:pPr>
      <w:r w:rsidRPr="008D701B">
        <w:rPr>
          <w:rStyle w:val="FootnoteReference"/>
          <w:sz w:val="24"/>
          <w:lang w:val="cs-CZ"/>
        </w:rPr>
        <w:footnoteRef/>
      </w:r>
      <w:r w:rsidR="008D701B" w:rsidRPr="008D701B">
        <w:rPr>
          <w:sz w:val="24"/>
          <w:lang w:val="cs-CZ"/>
        </w:rPr>
        <w:t xml:space="preserve"> </w:t>
      </w:r>
      <w:r w:rsidR="008D701B" w:rsidRPr="008D701B">
        <w:rPr>
          <w:sz w:val="24"/>
          <w:lang w:val="cs-CZ"/>
        </w:rPr>
        <w:tab/>
      </w:r>
      <w:proofErr w:type="spellStart"/>
      <w:r w:rsidRPr="008D701B">
        <w:rPr>
          <w:sz w:val="24"/>
          <w:lang w:val="cs-CZ"/>
        </w:rPr>
        <w:t>Úř</w:t>
      </w:r>
      <w:proofErr w:type="spellEnd"/>
      <w:r w:rsidRPr="008D701B">
        <w:rPr>
          <w:sz w:val="24"/>
          <w:lang w:val="cs-CZ"/>
        </w:rPr>
        <w:t xml:space="preserve">. </w:t>
      </w:r>
      <w:proofErr w:type="spellStart"/>
      <w:r w:rsidRPr="008D701B">
        <w:rPr>
          <w:sz w:val="24"/>
          <w:lang w:val="cs-CZ"/>
        </w:rPr>
        <w:t>věst</w:t>
      </w:r>
      <w:proofErr w:type="spellEnd"/>
      <w:r w:rsidRPr="008D701B">
        <w:rPr>
          <w:sz w:val="24"/>
          <w:lang w:val="cs-CZ"/>
        </w:rPr>
        <w:t>. C 465, 6.12.2022, s. 109.</w:t>
      </w:r>
    </w:p>
  </w:footnote>
  <w:footnote w:id="4">
    <w:p w14:paraId="286E47A7" w14:textId="1BAEF792" w:rsidR="00614C80" w:rsidRPr="008D701B" w:rsidRDefault="00614C80" w:rsidP="008D701B">
      <w:pPr>
        <w:pStyle w:val="FootnoteText"/>
        <w:ind w:left="567" w:hanging="567"/>
        <w:rPr>
          <w:sz w:val="24"/>
          <w:lang w:val="cs-CZ"/>
        </w:rPr>
      </w:pPr>
      <w:r w:rsidRPr="008D701B">
        <w:rPr>
          <w:rStyle w:val="FootnoteReference"/>
          <w:sz w:val="24"/>
          <w:lang w:val="cs-CZ"/>
        </w:rPr>
        <w:footnoteRef/>
      </w:r>
      <w:r w:rsidR="008D701B" w:rsidRPr="008D701B">
        <w:rPr>
          <w:sz w:val="24"/>
          <w:lang w:val="cs-CZ"/>
        </w:rPr>
        <w:t xml:space="preserve"> </w:t>
      </w:r>
      <w:r w:rsidR="008D701B" w:rsidRPr="008D701B">
        <w:rPr>
          <w:sz w:val="24"/>
          <w:lang w:val="cs-CZ"/>
        </w:rPr>
        <w:tab/>
      </w:r>
      <w:proofErr w:type="spellStart"/>
      <w:r w:rsidRPr="008D701B">
        <w:rPr>
          <w:sz w:val="24"/>
          <w:lang w:val="cs-CZ"/>
        </w:rPr>
        <w:t>Úř</w:t>
      </w:r>
      <w:proofErr w:type="spellEnd"/>
      <w:r w:rsidRPr="008D701B">
        <w:rPr>
          <w:sz w:val="24"/>
          <w:lang w:val="cs-CZ"/>
        </w:rPr>
        <w:t xml:space="preserve">. </w:t>
      </w:r>
      <w:proofErr w:type="spellStart"/>
      <w:r w:rsidRPr="008D701B">
        <w:rPr>
          <w:sz w:val="24"/>
          <w:lang w:val="cs-CZ"/>
        </w:rPr>
        <w:t>věst</w:t>
      </w:r>
      <w:proofErr w:type="spellEnd"/>
      <w:r w:rsidRPr="008D701B">
        <w:rPr>
          <w:sz w:val="24"/>
          <w:lang w:val="cs-CZ"/>
        </w:rPr>
        <w:t>. C 493, 27.12.2022, s. 130.</w:t>
      </w:r>
    </w:p>
  </w:footnote>
  <w:footnote w:id="5">
    <w:p w14:paraId="29BFAC55" w14:textId="6CD4689F" w:rsidR="00614C80" w:rsidRPr="008D701B" w:rsidRDefault="00614C80" w:rsidP="008D701B">
      <w:pPr>
        <w:pStyle w:val="FootnoteText"/>
        <w:ind w:left="567" w:hanging="567"/>
        <w:rPr>
          <w:sz w:val="24"/>
          <w:lang w:val="cs-CZ"/>
        </w:rPr>
      </w:pPr>
      <w:r w:rsidRPr="008D701B">
        <w:rPr>
          <w:rStyle w:val="FootnoteReference"/>
          <w:sz w:val="24"/>
          <w:lang w:val="cs-CZ"/>
        </w:rPr>
        <w:footnoteRef/>
      </w:r>
      <w:r w:rsidR="008D701B" w:rsidRPr="008D701B">
        <w:rPr>
          <w:sz w:val="24"/>
          <w:lang w:val="cs-CZ"/>
        </w:rPr>
        <w:t xml:space="preserve"> </w:t>
      </w:r>
      <w:r w:rsidR="008D701B" w:rsidRPr="008D701B">
        <w:rPr>
          <w:sz w:val="24"/>
          <w:lang w:val="cs-CZ"/>
        </w:rPr>
        <w:tab/>
      </w:r>
      <w:proofErr w:type="spellStart"/>
      <w:r w:rsidRPr="008D701B">
        <w:rPr>
          <w:sz w:val="24"/>
          <w:lang w:val="cs-CZ"/>
        </w:rPr>
        <w:t>Úř</w:t>
      </w:r>
      <w:proofErr w:type="spellEnd"/>
      <w:r w:rsidRPr="008D701B">
        <w:rPr>
          <w:sz w:val="24"/>
          <w:lang w:val="cs-CZ"/>
        </w:rPr>
        <w:t xml:space="preserve">. </w:t>
      </w:r>
      <w:proofErr w:type="spellStart"/>
      <w:r w:rsidRPr="008D701B">
        <w:rPr>
          <w:sz w:val="24"/>
          <w:lang w:val="cs-CZ"/>
        </w:rPr>
        <w:t>věst</w:t>
      </w:r>
      <w:proofErr w:type="spellEnd"/>
      <w:r w:rsidRPr="008D701B">
        <w:rPr>
          <w:sz w:val="24"/>
          <w:lang w:val="cs-CZ"/>
        </w:rPr>
        <w:t xml:space="preserve">. C, C/2024/4216, 24.7.2024, ELI: </w:t>
      </w:r>
      <w:hyperlink r:id="rId2" w:history="1">
        <w:r w:rsidRPr="00384F95">
          <w:rPr>
            <w:rStyle w:val="Hyperlink"/>
            <w:sz w:val="24"/>
            <w:lang w:val="cs-CZ"/>
          </w:rPr>
          <w:t>http://data.europa.eu/eli/C/2024/4216/oj</w:t>
        </w:r>
      </w:hyperlink>
      <w:r w:rsidRPr="008D701B">
        <w:rPr>
          <w:sz w:val="24"/>
          <w:lang w:val="cs-CZ"/>
        </w:rPr>
        <w:t>.</w:t>
      </w:r>
    </w:p>
  </w:footnote>
  <w:footnote w:id="6">
    <w:p w14:paraId="39430A7A" w14:textId="6253543F" w:rsidR="00614C80" w:rsidRPr="008D701B" w:rsidRDefault="00614C80" w:rsidP="008D701B">
      <w:pPr>
        <w:pStyle w:val="FootnoteText"/>
        <w:ind w:left="567" w:hanging="567"/>
        <w:rPr>
          <w:sz w:val="24"/>
          <w:lang w:val="cs-CZ"/>
        </w:rPr>
      </w:pPr>
      <w:r w:rsidRPr="008D701B">
        <w:rPr>
          <w:rStyle w:val="FootnoteReference"/>
          <w:sz w:val="24"/>
          <w:lang w:val="cs-CZ"/>
        </w:rPr>
        <w:footnoteRef/>
      </w:r>
      <w:r w:rsidR="008D701B" w:rsidRPr="008D701B">
        <w:rPr>
          <w:sz w:val="24"/>
          <w:lang w:val="cs-CZ"/>
        </w:rPr>
        <w:t xml:space="preserve"> </w:t>
      </w:r>
      <w:r w:rsidR="008D701B" w:rsidRPr="008D701B">
        <w:rPr>
          <w:sz w:val="24"/>
          <w:lang w:val="cs-CZ"/>
        </w:rPr>
        <w:tab/>
      </w:r>
      <w:proofErr w:type="spellStart"/>
      <w:r w:rsidRPr="008D701B">
        <w:rPr>
          <w:sz w:val="24"/>
          <w:lang w:val="cs-CZ"/>
        </w:rPr>
        <w:t>Úř</w:t>
      </w:r>
      <w:proofErr w:type="spellEnd"/>
      <w:r w:rsidRPr="008D701B">
        <w:rPr>
          <w:sz w:val="24"/>
          <w:lang w:val="cs-CZ"/>
        </w:rPr>
        <w:t xml:space="preserve">. </w:t>
      </w:r>
      <w:proofErr w:type="spellStart"/>
      <w:r w:rsidRPr="008D701B">
        <w:rPr>
          <w:sz w:val="24"/>
          <w:lang w:val="cs-CZ"/>
        </w:rPr>
        <w:t>věst</w:t>
      </w:r>
      <w:proofErr w:type="spellEnd"/>
      <w:r w:rsidRPr="008D701B">
        <w:rPr>
          <w:sz w:val="24"/>
          <w:lang w:val="cs-CZ"/>
        </w:rPr>
        <w:t xml:space="preserve">. C, C/2024/6746, 26.11.2024, ELI: </w:t>
      </w:r>
      <w:hyperlink r:id="rId3" w:history="1">
        <w:r w:rsidRPr="00384F95">
          <w:rPr>
            <w:rStyle w:val="Hyperlink"/>
            <w:sz w:val="24"/>
            <w:lang w:val="cs-CZ"/>
          </w:rPr>
          <w:t>http://data.europa.eu/eli/C/2024/6746/oj</w:t>
        </w:r>
      </w:hyperlink>
      <w:r w:rsidRPr="008D701B">
        <w:rPr>
          <w:sz w:val="24"/>
          <w:lang w:val="cs-CZ"/>
        </w:rPr>
        <w:t>.</w:t>
      </w:r>
    </w:p>
  </w:footnote>
  <w:footnote w:id="7">
    <w:p w14:paraId="5BF5BCBD" w14:textId="1212BC1B" w:rsidR="00614C80" w:rsidRPr="008D701B" w:rsidRDefault="00614C80" w:rsidP="008D701B">
      <w:pPr>
        <w:pStyle w:val="FootnoteText"/>
        <w:ind w:left="567" w:hanging="567"/>
        <w:rPr>
          <w:sz w:val="24"/>
          <w:lang w:val="cs-CZ"/>
        </w:rPr>
      </w:pPr>
      <w:r w:rsidRPr="008D701B">
        <w:rPr>
          <w:rStyle w:val="FootnoteReference"/>
          <w:sz w:val="24"/>
          <w:lang w:val="cs-CZ"/>
        </w:rPr>
        <w:footnoteRef/>
      </w:r>
      <w:r w:rsidR="008D701B" w:rsidRPr="008D701B">
        <w:rPr>
          <w:sz w:val="24"/>
          <w:lang w:val="cs-CZ"/>
        </w:rPr>
        <w:t xml:space="preserve"> </w:t>
      </w:r>
      <w:r w:rsidR="008D701B" w:rsidRPr="008D701B">
        <w:rPr>
          <w:sz w:val="24"/>
          <w:lang w:val="cs-CZ"/>
        </w:rPr>
        <w:tab/>
      </w:r>
      <w:r w:rsidRPr="008D701B">
        <w:rPr>
          <w:sz w:val="24"/>
          <w:lang w:val="cs-CZ"/>
        </w:rPr>
        <w:t>Přijaté texty, P10_</w:t>
      </w:r>
      <w:proofErr w:type="gramStart"/>
      <w:r w:rsidRPr="008D701B">
        <w:rPr>
          <w:sz w:val="24"/>
          <w:lang w:val="cs-CZ"/>
        </w:rPr>
        <w:t>TA(</w:t>
      </w:r>
      <w:proofErr w:type="gramEnd"/>
      <w:r w:rsidRPr="008D701B">
        <w:rPr>
          <w:sz w:val="24"/>
          <w:lang w:val="cs-CZ"/>
        </w:rPr>
        <w:t>2025)0090.</w:t>
      </w:r>
    </w:p>
  </w:footnote>
  <w:footnote w:id="8">
    <w:p w14:paraId="7D56975E" w14:textId="38A962EE" w:rsidR="00614C80" w:rsidRPr="008D701B" w:rsidRDefault="00614C80" w:rsidP="008D701B">
      <w:pPr>
        <w:pStyle w:val="FootnoteText"/>
        <w:ind w:left="567" w:hanging="567"/>
        <w:rPr>
          <w:sz w:val="24"/>
          <w:lang w:val="cs-CZ"/>
        </w:rPr>
      </w:pPr>
      <w:r w:rsidRPr="008D701B">
        <w:rPr>
          <w:rStyle w:val="FootnoteReference"/>
          <w:sz w:val="24"/>
          <w:lang w:val="cs-CZ"/>
        </w:rPr>
        <w:footnoteRef/>
      </w:r>
      <w:r w:rsidR="008D701B" w:rsidRPr="008D701B">
        <w:rPr>
          <w:sz w:val="24"/>
          <w:lang w:val="cs-CZ"/>
        </w:rPr>
        <w:t xml:space="preserve"> </w:t>
      </w:r>
      <w:r w:rsidR="008D701B" w:rsidRPr="008D701B">
        <w:rPr>
          <w:sz w:val="24"/>
          <w:lang w:val="cs-CZ"/>
        </w:rPr>
        <w:tab/>
      </w:r>
      <w:r w:rsidRPr="008D701B">
        <w:rPr>
          <w:sz w:val="24"/>
          <w:lang w:val="cs-CZ"/>
        </w:rPr>
        <w:t>Rozhodnutí Rady (EU, Euratom) 2018/994 ze dne 13. července 2018, kterým se mění Akt o volbě členů Evropského parlamentu ve všeobecných a přímých volbách, jenž je připojen k rozhodnutí Rady 76/787/ESUO, EHS, Euratom ze dne 20. září 1976 (</w:t>
      </w:r>
      <w:proofErr w:type="spellStart"/>
      <w:r w:rsidRPr="008D701B">
        <w:rPr>
          <w:sz w:val="24"/>
          <w:lang w:val="cs-CZ"/>
        </w:rPr>
        <w:t>Úř</w:t>
      </w:r>
      <w:proofErr w:type="spellEnd"/>
      <w:r w:rsidRPr="008D701B">
        <w:rPr>
          <w:sz w:val="24"/>
          <w:lang w:val="cs-CZ"/>
        </w:rPr>
        <w:t>. </w:t>
      </w:r>
      <w:proofErr w:type="spellStart"/>
      <w:r w:rsidRPr="008D701B">
        <w:rPr>
          <w:sz w:val="24"/>
          <w:lang w:val="cs-CZ"/>
        </w:rPr>
        <w:t>věst</w:t>
      </w:r>
      <w:proofErr w:type="spellEnd"/>
      <w:r w:rsidRPr="008D701B">
        <w:rPr>
          <w:sz w:val="24"/>
          <w:lang w:val="cs-CZ"/>
        </w:rPr>
        <w:t>. L 178, 16.7.2018, s. 1, ELI: </w:t>
      </w:r>
      <w:hyperlink r:id="rId4" w:tooltip="Umožňuje přístup k tomuto dokumentu prostřednictvím jeho identifikátoru ELI URI." w:history="1">
        <w:r w:rsidRPr="008D701B">
          <w:rPr>
            <w:rStyle w:val="Hyperlink"/>
            <w:sz w:val="24"/>
            <w:lang w:val="cs-CZ"/>
          </w:rPr>
          <w:t>http://data.europa.eu/</w:t>
        </w:r>
        <w:proofErr w:type="spellStart"/>
        <w:r w:rsidRPr="008D701B">
          <w:rPr>
            <w:rStyle w:val="Hyperlink"/>
            <w:sz w:val="24"/>
            <w:lang w:val="cs-CZ"/>
          </w:rPr>
          <w:t>eli</w:t>
        </w:r>
        <w:proofErr w:type="spellEnd"/>
        <w:r w:rsidRPr="008D701B">
          <w:rPr>
            <w:rStyle w:val="Hyperlink"/>
            <w:sz w:val="24"/>
            <w:lang w:val="cs-CZ"/>
          </w:rPr>
          <w:t>/dec/2018/994/oj</w:t>
        </w:r>
      </w:hyperlink>
      <w:r w:rsidRPr="008D701B">
        <w:rPr>
          <w:sz w:val="24"/>
          <w:lang w:val="cs-CZ"/>
        </w:rPr>
        <w:t>).</w:t>
      </w:r>
    </w:p>
  </w:footnote>
  <w:footnote w:id="9">
    <w:p w14:paraId="7DF9E2E3" w14:textId="56CDCB79" w:rsidR="00614C80" w:rsidRPr="008D701B" w:rsidRDefault="00614C80" w:rsidP="008D701B">
      <w:pPr>
        <w:pStyle w:val="FootnoteText"/>
        <w:ind w:left="567" w:hanging="567"/>
        <w:rPr>
          <w:sz w:val="24"/>
          <w:lang w:val="cs-CZ"/>
        </w:rPr>
      </w:pPr>
      <w:r w:rsidRPr="008D701B">
        <w:rPr>
          <w:rStyle w:val="FootnoteReference"/>
          <w:sz w:val="24"/>
          <w:lang w:val="cs-CZ"/>
        </w:rPr>
        <w:footnoteRef/>
      </w:r>
      <w:r w:rsidR="008D701B" w:rsidRPr="008D701B">
        <w:rPr>
          <w:sz w:val="24"/>
          <w:lang w:val="cs-CZ"/>
        </w:rPr>
        <w:t xml:space="preserve"> </w:t>
      </w:r>
      <w:r w:rsidR="008D701B" w:rsidRPr="008D701B">
        <w:rPr>
          <w:sz w:val="24"/>
          <w:lang w:val="cs-CZ"/>
        </w:rPr>
        <w:tab/>
      </w:r>
      <w:r w:rsidRPr="008D701B">
        <w:rPr>
          <w:sz w:val="24"/>
          <w:lang w:val="cs-CZ"/>
        </w:rPr>
        <w:t xml:space="preserve">Legislativní usnesení Evropského parlamentu ze dne 3. května 2022 o návrhu nařízení Rady o volbě poslanců Evropského parlamentu ve všeobecných a přímých volbách, kterým se </w:t>
      </w:r>
      <w:proofErr w:type="gramStart"/>
      <w:r w:rsidRPr="008D701B">
        <w:rPr>
          <w:sz w:val="24"/>
          <w:lang w:val="cs-CZ"/>
        </w:rPr>
        <w:t>ruší</w:t>
      </w:r>
      <w:proofErr w:type="gramEnd"/>
      <w:r w:rsidRPr="008D701B">
        <w:rPr>
          <w:sz w:val="24"/>
          <w:lang w:val="cs-CZ"/>
        </w:rPr>
        <w:t xml:space="preserve"> rozhodnutí Rady (76/787/ESUO, EHS, Euratom) a Akt o volbě členů Evropského parlamentu ve všeobecných a přímých volbách připojený k tomuto rozhodnutí (</w:t>
      </w:r>
      <w:proofErr w:type="spellStart"/>
      <w:r w:rsidRPr="008D701B">
        <w:rPr>
          <w:sz w:val="24"/>
          <w:lang w:val="cs-CZ"/>
        </w:rPr>
        <w:t>Úř</w:t>
      </w:r>
      <w:proofErr w:type="spellEnd"/>
      <w:r w:rsidRPr="008D701B">
        <w:rPr>
          <w:sz w:val="24"/>
          <w:lang w:val="cs-CZ"/>
        </w:rPr>
        <w:t xml:space="preserve">. </w:t>
      </w:r>
      <w:proofErr w:type="spellStart"/>
      <w:r w:rsidRPr="008D701B">
        <w:rPr>
          <w:sz w:val="24"/>
          <w:lang w:val="cs-CZ"/>
        </w:rPr>
        <w:t>věst</w:t>
      </w:r>
      <w:proofErr w:type="spellEnd"/>
      <w:r w:rsidRPr="008D701B">
        <w:rPr>
          <w:sz w:val="24"/>
          <w:lang w:val="cs-CZ"/>
        </w:rPr>
        <w:t>. C 465, 6.12.2022, s. 171).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AE96A" w14:textId="77777777" w:rsidR="00064002" w:rsidRPr="008D70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D384A" w14:textId="77777777" w:rsidR="00064002" w:rsidRPr="008D70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DFB69" w14:textId="77777777" w:rsidR="00064002" w:rsidRPr="008D70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4266713">
    <w:abstractNumId w:val="9"/>
  </w:num>
  <w:num w:numId="2" w16cid:durableId="673652986">
    <w:abstractNumId w:val="9"/>
  </w:num>
  <w:num w:numId="3" w16cid:durableId="1976373191">
    <w:abstractNumId w:val="7"/>
  </w:num>
  <w:num w:numId="4" w16cid:durableId="1361324211">
    <w:abstractNumId w:val="7"/>
  </w:num>
  <w:num w:numId="5" w16cid:durableId="1516380812">
    <w:abstractNumId w:val="6"/>
  </w:num>
  <w:num w:numId="6" w16cid:durableId="625042215">
    <w:abstractNumId w:val="6"/>
  </w:num>
  <w:num w:numId="7" w16cid:durableId="830827473">
    <w:abstractNumId w:val="5"/>
  </w:num>
  <w:num w:numId="8" w16cid:durableId="2140955995">
    <w:abstractNumId w:val="5"/>
  </w:num>
  <w:num w:numId="9" w16cid:durableId="57482727">
    <w:abstractNumId w:val="4"/>
  </w:num>
  <w:num w:numId="10" w16cid:durableId="2084330715">
    <w:abstractNumId w:val="4"/>
  </w:num>
  <w:num w:numId="11" w16cid:durableId="1620917360">
    <w:abstractNumId w:val="8"/>
  </w:num>
  <w:num w:numId="12" w16cid:durableId="126629412">
    <w:abstractNumId w:val="8"/>
  </w:num>
  <w:num w:numId="13" w16cid:durableId="730544744">
    <w:abstractNumId w:val="3"/>
  </w:num>
  <w:num w:numId="14" w16cid:durableId="1428379681">
    <w:abstractNumId w:val="3"/>
  </w:num>
  <w:num w:numId="15" w16cid:durableId="1785731794">
    <w:abstractNumId w:val="2"/>
  </w:num>
  <w:num w:numId="16" w16cid:durableId="1571380723">
    <w:abstractNumId w:val="2"/>
  </w:num>
  <w:num w:numId="17" w16cid:durableId="1072387230">
    <w:abstractNumId w:val="1"/>
  </w:num>
  <w:num w:numId="18" w16cid:durableId="1621302427">
    <w:abstractNumId w:val="1"/>
  </w:num>
  <w:num w:numId="19" w16cid:durableId="1391146752">
    <w:abstractNumId w:val="0"/>
  </w:num>
  <w:num w:numId="20" w16cid:durableId="1319572369">
    <w:abstractNumId w:val="0"/>
  </w:num>
  <w:num w:numId="21" w16cid:durableId="1150943299">
    <w:abstractNumId w:val="9"/>
  </w:num>
  <w:num w:numId="22" w16cid:durableId="135730250">
    <w:abstractNumId w:val="7"/>
  </w:num>
  <w:num w:numId="23" w16cid:durableId="244346176">
    <w:abstractNumId w:val="6"/>
  </w:num>
  <w:num w:numId="24" w16cid:durableId="1756125246">
    <w:abstractNumId w:val="5"/>
  </w:num>
  <w:num w:numId="25" w16cid:durableId="1749302526">
    <w:abstractNumId w:val="4"/>
  </w:num>
  <w:num w:numId="26" w16cid:durableId="1606157629">
    <w:abstractNumId w:val="8"/>
  </w:num>
  <w:num w:numId="27" w16cid:durableId="1157302843">
    <w:abstractNumId w:val="3"/>
  </w:num>
  <w:num w:numId="28" w16cid:durableId="1850563942">
    <w:abstractNumId w:val="2"/>
  </w:num>
  <w:num w:numId="29" w16cid:durableId="1721780037">
    <w:abstractNumId w:val="1"/>
  </w:num>
  <w:num w:numId="30" w16cid:durableId="1259369133">
    <w:abstractNumId w:val="0"/>
  </w:num>
  <w:num w:numId="31" w16cid:durableId="98986822">
    <w:abstractNumId w:val="9"/>
  </w:num>
  <w:num w:numId="32" w16cid:durableId="1699313598">
    <w:abstractNumId w:val="7"/>
  </w:num>
  <w:num w:numId="33" w16cid:durableId="1141923803">
    <w:abstractNumId w:val="6"/>
  </w:num>
  <w:num w:numId="34" w16cid:durableId="1052147480">
    <w:abstractNumId w:val="5"/>
  </w:num>
  <w:num w:numId="35" w16cid:durableId="792595208">
    <w:abstractNumId w:val="4"/>
  </w:num>
  <w:num w:numId="36" w16cid:durableId="1693918464">
    <w:abstractNumId w:val="8"/>
  </w:num>
  <w:num w:numId="37" w16cid:durableId="1680883697">
    <w:abstractNumId w:val="3"/>
  </w:num>
  <w:num w:numId="38" w16cid:durableId="717633404">
    <w:abstractNumId w:val="2"/>
  </w:num>
  <w:num w:numId="39" w16cid:durableId="1291787779">
    <w:abstractNumId w:val="1"/>
  </w:num>
  <w:num w:numId="40" w16cid:durableId="955211114">
    <w:abstractNumId w:val="0"/>
  </w:num>
  <w:num w:numId="41" w16cid:durableId="1147630795">
    <w:abstractNumId w:val="10"/>
  </w:num>
  <w:num w:numId="42" w16cid:durableId="40860755">
    <w:abstractNumId w:val="10"/>
  </w:num>
  <w:num w:numId="43" w16cid:durableId="1763641211">
    <w:abstractNumId w:val="10"/>
  </w:num>
  <w:num w:numId="44" w16cid:durableId="12320805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7/2025"/>
    <w:docVar w:name="dvlangue" w:val="CS"/>
    <w:docVar w:name="dvnumam" w:val="0"/>
    <w:docVar w:name="dvpe" w:val="774.293"/>
    <w:docVar w:name="dvrapporteur" w:val="Zpravodaj: "/>
    <w:docVar w:name="dvtitre" w:val="Usnesení Evropského parlamentu ze dne.... 2025 o institucionálních důsledcích jednání o rozšíření EU(2025/2041(INI))"/>
  </w:docVars>
  <w:rsids>
    <w:rsidRoot w:val="00A63CA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4F95"/>
    <w:rsid w:val="00395FA1"/>
    <w:rsid w:val="003E15D4"/>
    <w:rsid w:val="0040024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1592"/>
    <w:rsid w:val="005F1B17"/>
    <w:rsid w:val="006037C0"/>
    <w:rsid w:val="00614C8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701B"/>
    <w:rsid w:val="00930C23"/>
    <w:rsid w:val="0093193B"/>
    <w:rsid w:val="009509D8"/>
    <w:rsid w:val="00950B64"/>
    <w:rsid w:val="00981893"/>
    <w:rsid w:val="00A1687D"/>
    <w:rsid w:val="00A43E52"/>
    <w:rsid w:val="00A4678D"/>
    <w:rsid w:val="00A63CAF"/>
    <w:rsid w:val="00A778C7"/>
    <w:rsid w:val="00A93F9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C7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A3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574073"/>
  <w15:chartTrackingRefBased/>
  <w15:docId w15:val="{596EA29A-378C-4915-8AEA-4A0D6874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14C8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614C80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614C80"/>
    <w:rPr>
      <w:b/>
      <w:i/>
      <w:u w:val="none"/>
    </w:rPr>
  </w:style>
  <w:style w:type="character" w:customStyle="1" w:styleId="Italic">
    <w:name w:val="Italic"/>
    <w:uiPriority w:val="1"/>
    <w:rsid w:val="00614C80"/>
    <w:rPr>
      <w:i/>
    </w:rPr>
  </w:style>
  <w:style w:type="paragraph" w:customStyle="1" w:styleId="Normal12a24b">
    <w:name w:val="Normal12a24b"/>
    <w:basedOn w:val="Normal"/>
    <w:rsid w:val="00614C80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614C80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14C80"/>
    <w:rPr>
      <w:snapToGrid w:val="0"/>
      <w:sz w:val="24"/>
      <w:lang w:val="cs-CZ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84F9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0024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CS/ALL/?uri=CELEX:52024DC0146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6/oj" TargetMode="External"/><Relationship Id="rId2" Type="http://schemas.openxmlformats.org/officeDocument/2006/relationships/hyperlink" Target="http://data.europa.eu/eli/C/2024/4216/oj" TargetMode="External"/><Relationship Id="rId1" Type="http://schemas.openxmlformats.org/officeDocument/2006/relationships/hyperlink" Target="http://data.europa.eu/eli/C/2024/3996/oj" TargetMode="External"/><Relationship Id="rId4" Type="http://schemas.openxmlformats.org/officeDocument/2006/relationships/hyperlink" Target="http://data.europa.eu/eli/dec/2018/9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3617</Words>
  <Characters>21066</Characters>
  <Application>Microsoft Office Word</Application>
  <DocSecurity>0</DocSecurity>
  <Lines>457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2025-10-22T13:33:00Z</dcterms:created>
  <dcterms:modified xsi:type="dcterms:W3CDTF">2025-10-22T13:33:00Z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A10-0177/2025</vt:lpwstr>
  </property>
  <property fmtid="{D5CDD505-2E9C-101B-9397-08002B2CF9AE}" pid="4" name="&lt;Type&gt;">
    <vt:lpwstr>RR</vt:lpwstr>
  </property>
</Properties>
</file>