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4EF2" w14:paraId="5B2132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AF67A1" w14:textId="77777777" w:rsidR="00751A4A" w:rsidRPr="004F4EF2" w:rsidRDefault="00300F48" w:rsidP="0010095E">
            <w:pPr>
              <w:pStyle w:val="EPName"/>
            </w:pPr>
            <w:r w:rsidRPr="004F4EF2">
              <w:t>Europski parlament</w:t>
            </w:r>
          </w:p>
          <w:p w14:paraId="3E27530C" w14:textId="77777777" w:rsidR="00751A4A" w:rsidRPr="004F4E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4EF2">
              <w:t>2024</w:t>
            </w:r>
            <w:r w:rsidR="00817416" w:rsidRPr="004F4EF2">
              <w:t>-202</w:t>
            </w:r>
            <w:r w:rsidRPr="004F4EF2">
              <w:t>9</w:t>
            </w:r>
          </w:p>
        </w:tc>
        <w:tc>
          <w:tcPr>
            <w:tcW w:w="2268" w:type="dxa"/>
            <w:shd w:val="clear" w:color="auto" w:fill="auto"/>
          </w:tcPr>
          <w:p w14:paraId="05A9B8BF" w14:textId="77777777" w:rsidR="00751A4A" w:rsidRPr="004F4EF2" w:rsidRDefault="00187494" w:rsidP="0010095E">
            <w:pPr>
              <w:pStyle w:val="EPLogo"/>
            </w:pPr>
            <w:r w:rsidRPr="004F4EF2">
              <w:rPr>
                <w:noProof/>
                <w:lang w:eastAsia="ja-JP"/>
              </w:rPr>
              <w:drawing>
                <wp:inline distT="0" distB="0" distL="0" distR="0" wp14:anchorId="5BE0FDB3" wp14:editId="6171A2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B64C5" w14:textId="77777777" w:rsidR="00D058B8" w:rsidRPr="004F4EF2" w:rsidRDefault="00D058B8" w:rsidP="004C5D52">
      <w:pPr>
        <w:pStyle w:val="LineTop"/>
      </w:pPr>
    </w:p>
    <w:p w14:paraId="1B758E3E" w14:textId="77777777" w:rsidR="00680577" w:rsidRPr="004F4EF2" w:rsidRDefault="00300F48" w:rsidP="00680577">
      <w:pPr>
        <w:pStyle w:val="EPBodyTA1"/>
      </w:pPr>
      <w:r w:rsidRPr="004F4EF2">
        <w:t>USVOJENI TEKSTOVI</w:t>
      </w:r>
    </w:p>
    <w:p w14:paraId="07DEAE9A" w14:textId="77777777" w:rsidR="00D058B8" w:rsidRPr="004F4EF2" w:rsidRDefault="00D058B8" w:rsidP="00D058B8">
      <w:pPr>
        <w:pStyle w:val="LineBottom"/>
      </w:pPr>
    </w:p>
    <w:p w14:paraId="04DD07C4" w14:textId="7134AF99" w:rsidR="00300F48" w:rsidRPr="004F4EF2" w:rsidRDefault="00300F48" w:rsidP="00300F48">
      <w:pPr>
        <w:pStyle w:val="ATHeading1"/>
      </w:pPr>
      <w:bookmarkStart w:id="0" w:name="TANumber"/>
      <w:r w:rsidRPr="004F4EF2">
        <w:t>P10_TA(2025)0</w:t>
      </w:r>
      <w:r w:rsidR="001A6E1B">
        <w:t>247</w:t>
      </w:r>
      <w:bookmarkEnd w:id="0"/>
    </w:p>
    <w:p w14:paraId="2E7F9810" w14:textId="77777777" w:rsidR="00300F48" w:rsidRPr="004F4EF2" w:rsidRDefault="00300F48" w:rsidP="00300F48">
      <w:pPr>
        <w:pStyle w:val="ATHeading2"/>
      </w:pPr>
      <w:bookmarkStart w:id="1" w:name="title"/>
      <w:r w:rsidRPr="004F4EF2">
        <w:t>Institucionalne posljedice pregovora o proširenju EU-a</w:t>
      </w:r>
      <w:bookmarkEnd w:id="1"/>
    </w:p>
    <w:p w14:paraId="6FF95794" w14:textId="77777777" w:rsidR="00300F48" w:rsidRPr="004F4EF2" w:rsidRDefault="00300F48" w:rsidP="00300F48">
      <w:pPr>
        <w:rPr>
          <w:i/>
          <w:vanish/>
        </w:rPr>
      </w:pPr>
      <w:r w:rsidRPr="004F4EF2">
        <w:rPr>
          <w:i/>
        </w:rPr>
        <w:fldChar w:fldCharType="begin"/>
      </w:r>
      <w:r w:rsidRPr="004F4EF2">
        <w:rPr>
          <w:i/>
        </w:rPr>
        <w:instrText xml:space="preserve"> TC"(</w:instrText>
      </w:r>
      <w:bookmarkStart w:id="2" w:name="DocNumber"/>
      <w:r w:rsidRPr="004F4EF2">
        <w:rPr>
          <w:i/>
        </w:rPr>
        <w:instrText>A10-0177/2025</w:instrText>
      </w:r>
      <w:bookmarkEnd w:id="2"/>
      <w:r w:rsidRPr="004F4EF2">
        <w:rPr>
          <w:i/>
        </w:rPr>
        <w:instrText xml:space="preserve"> - Izvjestitelj: Sandro </w:instrText>
      </w:r>
      <w:proofErr w:type="spellStart"/>
      <w:r w:rsidRPr="004F4EF2">
        <w:rPr>
          <w:i/>
        </w:rPr>
        <w:instrText>Gozi</w:instrText>
      </w:r>
      <w:proofErr w:type="spellEnd"/>
      <w:r w:rsidRPr="004F4EF2">
        <w:rPr>
          <w:i/>
        </w:rPr>
        <w:instrText xml:space="preserve">)"\l3 \n&gt; \* MERGEFORMAT </w:instrText>
      </w:r>
      <w:r w:rsidRPr="004F4EF2">
        <w:rPr>
          <w:i/>
        </w:rPr>
        <w:fldChar w:fldCharType="end"/>
      </w:r>
    </w:p>
    <w:p w14:paraId="4BA1CAB1" w14:textId="77777777" w:rsidR="00300F48" w:rsidRPr="004F4EF2" w:rsidRDefault="00300F48" w:rsidP="00300F48">
      <w:pPr>
        <w:rPr>
          <w:vanish/>
        </w:rPr>
      </w:pPr>
      <w:bookmarkStart w:id="3" w:name="Commission"/>
      <w:r w:rsidRPr="004F4EF2">
        <w:rPr>
          <w:vanish/>
        </w:rPr>
        <w:t>Odbor za ustavna pitanja</w:t>
      </w:r>
      <w:bookmarkEnd w:id="3"/>
    </w:p>
    <w:p w14:paraId="18E9C0F2" w14:textId="77777777" w:rsidR="00300F48" w:rsidRPr="004F4EF2" w:rsidRDefault="00300F48" w:rsidP="00300F48">
      <w:pPr>
        <w:rPr>
          <w:vanish/>
        </w:rPr>
      </w:pPr>
      <w:bookmarkStart w:id="4" w:name="PE"/>
      <w:r w:rsidRPr="004F4EF2">
        <w:rPr>
          <w:vanish/>
        </w:rPr>
        <w:t>PE774.293</w:t>
      </w:r>
      <w:bookmarkEnd w:id="4"/>
    </w:p>
    <w:p w14:paraId="5A9BB2D1" w14:textId="40E89C24" w:rsidR="00300F48" w:rsidRPr="004F4EF2" w:rsidRDefault="00300F48" w:rsidP="00300F48">
      <w:pPr>
        <w:pStyle w:val="ATHeading3"/>
      </w:pPr>
      <w:bookmarkStart w:id="5" w:name="Sujet"/>
      <w:r w:rsidRPr="004F4EF2">
        <w:t xml:space="preserve">Rezolucija Europskog parlamenta od </w:t>
      </w:r>
      <w:r w:rsidR="004F4EF2">
        <w:t>22</w:t>
      </w:r>
      <w:r w:rsidRPr="004F4EF2">
        <w:t xml:space="preserve">. </w:t>
      </w:r>
      <w:r w:rsidR="004F4EF2">
        <w:t xml:space="preserve">listopada </w:t>
      </w:r>
      <w:r w:rsidRPr="004F4EF2">
        <w:t>2025. o institucionalnim posljedicama pregovora o proširenju EU-a</w:t>
      </w:r>
      <w:bookmarkEnd w:id="5"/>
      <w:r w:rsidRPr="004F4EF2">
        <w:t xml:space="preserve"> </w:t>
      </w:r>
      <w:bookmarkStart w:id="6" w:name="References"/>
      <w:r w:rsidRPr="004F4EF2">
        <w:t>(2025/2041(INI))</w:t>
      </w:r>
      <w:bookmarkEnd w:id="6"/>
    </w:p>
    <w:p w14:paraId="38C43143" w14:textId="77777777" w:rsidR="00293748" w:rsidRPr="004F4EF2" w:rsidRDefault="00293748" w:rsidP="00293748">
      <w:pPr>
        <w:pStyle w:val="EPComma"/>
      </w:pPr>
      <w:r w:rsidRPr="004F4EF2">
        <w:rPr>
          <w:rStyle w:val="Italic"/>
        </w:rPr>
        <w:t>Europski parlament</w:t>
      </w:r>
      <w:r w:rsidRPr="004F4EF2">
        <w:t>,</w:t>
      </w:r>
    </w:p>
    <w:p w14:paraId="59A2AF4E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Ugovor o Europskoj uniji (UEU), a posebno njegov članak 31. stavak 3. te članke 48. i 49.,</w:t>
      </w:r>
    </w:p>
    <w:p w14:paraId="512C269D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Ugovor o funkcioniranju Europske unije, a posebno njegov članak 81. stavak 3., članke 83. i 136., članak 153. stavak 2., članak 192. stavak 2., članak 312. stavak 2. i članak 333.,</w:t>
      </w:r>
    </w:p>
    <w:p w14:paraId="25D248BA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zaključke Europskog vijeća od 23. i 24. lipnja 2022., 29. i 30. lipnja 2023., 26. i 27. listopada 2023., 14. i 15. prosinca 2023. te 27. lipnja 2024.,</w:t>
      </w:r>
    </w:p>
    <w:p w14:paraId="0F3CCC6F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–</w:t>
      </w:r>
      <w:r w:rsidRPr="004F4EF2">
        <w:tab/>
        <w:t>uzimajući u obzir izjavu iz Granade koju je Europsko vijeće usvojilo 6. listopada 2023.,</w:t>
      </w:r>
    </w:p>
    <w:p w14:paraId="2A7B6F07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izvješće predsjedništva Vijeća o napretku u pogledu budućnosti Europe od 10. lipnja 2024.,</w:t>
      </w:r>
    </w:p>
    <w:p w14:paraId="5C5F3BEE" w14:textId="70B2CC10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Komunikaciju Komisije od 23. ožujka 2024. o reformama i preispitivanjima politika prije proširenja (</w:t>
      </w:r>
      <w:r w:rsidRPr="00FB4062">
        <w:t>COM(2024)0146</w:t>
      </w:r>
      <w:r w:rsidRPr="004F4EF2">
        <w:t>),</w:t>
      </w:r>
    </w:p>
    <w:p w14:paraId="4C8AF1E0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svoje rezolucije od 16. veljače 2017. o poboljšanju funkcioniranja Europske unije korištenjem potencijala Ugovora iz Lisabona</w:t>
      </w:r>
      <w:r w:rsidRPr="004F4EF2">
        <w:rPr>
          <w:rStyle w:val="FootnoteReference"/>
        </w:rPr>
        <w:footnoteReference w:id="1"/>
      </w:r>
      <w:r w:rsidRPr="004F4EF2">
        <w:t xml:space="preserve"> i od 11. srpnja 2023. o primjeni </w:t>
      </w:r>
      <w:proofErr w:type="spellStart"/>
      <w:r w:rsidRPr="004F4EF2">
        <w:t>premošćujućih</w:t>
      </w:r>
      <w:proofErr w:type="spellEnd"/>
      <w:r w:rsidRPr="004F4EF2">
        <w:t xml:space="preserve"> klauzula u Ugovorima EU-a</w:t>
      </w:r>
      <w:r w:rsidRPr="004F4EF2">
        <w:rPr>
          <w:rStyle w:val="FootnoteReference"/>
        </w:rPr>
        <w:footnoteReference w:id="2"/>
      </w:r>
      <w:r w:rsidRPr="004F4EF2">
        <w:t>,</w:t>
      </w:r>
    </w:p>
    <w:p w14:paraId="096E051B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izvješće od 9. svibnja 2022. o konačnim rezultatima Konferencije o budućnosti Europe i svoju Rezoluciju od 4. svibnja 2022. o daljnjem postupanju nakon zaključaka Konferencije o budućnosti Europe</w:t>
      </w:r>
      <w:r w:rsidRPr="004F4EF2">
        <w:rPr>
          <w:rStyle w:val="FootnoteReference"/>
        </w:rPr>
        <w:footnoteReference w:id="3"/>
      </w:r>
      <w:r w:rsidRPr="004F4EF2">
        <w:t>,</w:t>
      </w:r>
    </w:p>
    <w:p w14:paraId="5CC69168" w14:textId="77777777" w:rsidR="00293748" w:rsidRPr="004F4EF2" w:rsidRDefault="00293748" w:rsidP="00293748">
      <w:pPr>
        <w:pStyle w:val="NormalHanging12a"/>
      </w:pPr>
      <w:r w:rsidRPr="004F4EF2">
        <w:lastRenderedPageBreak/>
        <w:t>–</w:t>
      </w:r>
      <w:r w:rsidRPr="004F4EF2">
        <w:tab/>
        <w:t>uzimajući u obzir svoje rezolucije od 9. lipnja 2022. o pozivu na sazivanje konvencije radi revizije Ugovorâ</w:t>
      </w:r>
      <w:r w:rsidRPr="004F4EF2">
        <w:rPr>
          <w:rStyle w:val="FootnoteReference"/>
        </w:rPr>
        <w:footnoteReference w:id="4"/>
      </w:r>
      <w:r w:rsidRPr="004F4EF2">
        <w:t xml:space="preserve"> i od 22. studenoga 2023. o prijedlozima Europskog parlamenta za izmjenu Ugovorâ</w:t>
      </w:r>
      <w:r w:rsidRPr="004F4EF2">
        <w:rPr>
          <w:rStyle w:val="FootnoteReference"/>
        </w:rPr>
        <w:footnoteReference w:id="5"/>
      </w:r>
      <w:r w:rsidRPr="004F4EF2">
        <w:t xml:space="preserve"> i aktivaciju članka 48. UEU-a u kojem se od Europskog vijeća traži pristanak za sazivanje Konvencije za reformu Ugovorâ,</w:t>
      </w:r>
    </w:p>
    <w:p w14:paraId="48C53040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svoju Rezoluciju od 29. veljače 2024. o produbljenju integracije EU-a s obzirom na buduće proširenje</w:t>
      </w:r>
      <w:r w:rsidRPr="004F4EF2">
        <w:rPr>
          <w:rStyle w:val="FootnoteReference"/>
        </w:rPr>
        <w:footnoteReference w:id="6"/>
      </w:r>
      <w:r w:rsidRPr="004F4EF2">
        <w:t>,</w:t>
      </w:r>
    </w:p>
    <w:p w14:paraId="4FD8EF8D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 xml:space="preserve">uzimajući u obzir izvješće Marija </w:t>
      </w:r>
      <w:proofErr w:type="spellStart"/>
      <w:r w:rsidRPr="004F4EF2">
        <w:t>Draghija</w:t>
      </w:r>
      <w:proofErr w:type="spellEnd"/>
      <w:r w:rsidRPr="004F4EF2">
        <w:t xml:space="preserve"> od 9. rujna 2024. naslovljeno „</w:t>
      </w:r>
      <w:proofErr w:type="spellStart"/>
      <w:r w:rsidRPr="004F4EF2">
        <w:t>The</w:t>
      </w:r>
      <w:proofErr w:type="spellEnd"/>
      <w:r w:rsidRPr="004F4EF2">
        <w:t xml:space="preserve"> Future </w:t>
      </w:r>
      <w:proofErr w:type="spellStart"/>
      <w:r w:rsidRPr="004F4EF2">
        <w:t>of</w:t>
      </w:r>
      <w:proofErr w:type="spellEnd"/>
      <w:r w:rsidRPr="004F4EF2">
        <w:t xml:space="preserve"> European </w:t>
      </w:r>
      <w:proofErr w:type="spellStart"/>
      <w:r w:rsidRPr="004F4EF2">
        <w:t>Competitiveness</w:t>
      </w:r>
      <w:proofErr w:type="spellEnd"/>
      <w:r w:rsidRPr="004F4EF2">
        <w:t xml:space="preserve">” (Budućnost europske konkurentnosti), izvješće Enrica </w:t>
      </w:r>
      <w:proofErr w:type="spellStart"/>
      <w:r w:rsidRPr="004F4EF2">
        <w:t>Lette</w:t>
      </w:r>
      <w:proofErr w:type="spellEnd"/>
      <w:r w:rsidRPr="004F4EF2">
        <w:t xml:space="preserve"> od 17. travnja 2024. naslovljeno „</w:t>
      </w:r>
      <w:proofErr w:type="spellStart"/>
      <w:r w:rsidRPr="004F4EF2">
        <w:t>Much</w:t>
      </w:r>
      <w:proofErr w:type="spellEnd"/>
      <w:r w:rsidRPr="004F4EF2">
        <w:t xml:space="preserve"> more </w:t>
      </w:r>
      <w:proofErr w:type="spellStart"/>
      <w:r w:rsidRPr="004F4EF2">
        <w:t>than</w:t>
      </w:r>
      <w:proofErr w:type="spellEnd"/>
      <w:r w:rsidRPr="004F4EF2">
        <w:t xml:space="preserve"> a market” (Više od tržišta) i izvješće </w:t>
      </w:r>
      <w:proofErr w:type="spellStart"/>
      <w:r w:rsidRPr="004F4EF2">
        <w:t>Saulija</w:t>
      </w:r>
      <w:proofErr w:type="spellEnd"/>
      <w:r w:rsidRPr="004F4EF2">
        <w:t xml:space="preserve"> </w:t>
      </w:r>
      <w:proofErr w:type="spellStart"/>
      <w:r w:rsidRPr="004F4EF2">
        <w:t>Niinistöa</w:t>
      </w:r>
      <w:proofErr w:type="spellEnd"/>
      <w:r w:rsidRPr="004F4EF2">
        <w:t xml:space="preserve"> od 30. listopada 2024. naslovljeno „</w:t>
      </w:r>
      <w:proofErr w:type="spellStart"/>
      <w:r w:rsidRPr="004F4EF2">
        <w:t>Safer</w:t>
      </w:r>
      <w:proofErr w:type="spellEnd"/>
      <w:r w:rsidRPr="004F4EF2">
        <w:t xml:space="preserve"> </w:t>
      </w:r>
      <w:proofErr w:type="spellStart"/>
      <w:r w:rsidRPr="004F4EF2">
        <w:t>together</w:t>
      </w:r>
      <w:proofErr w:type="spellEnd"/>
      <w:r w:rsidRPr="004F4EF2">
        <w:t xml:space="preserve"> – </w:t>
      </w:r>
      <w:proofErr w:type="spellStart"/>
      <w:r w:rsidRPr="004F4EF2">
        <w:t>Strengthening</w:t>
      </w:r>
      <w:proofErr w:type="spellEnd"/>
      <w:r w:rsidRPr="004F4EF2">
        <w:t xml:space="preserve"> </w:t>
      </w:r>
      <w:proofErr w:type="spellStart"/>
      <w:r w:rsidRPr="004F4EF2">
        <w:t>Europe’s</w:t>
      </w:r>
      <w:proofErr w:type="spellEnd"/>
      <w:r w:rsidRPr="004F4EF2">
        <w:t xml:space="preserve"> </w:t>
      </w:r>
      <w:proofErr w:type="spellStart"/>
      <w:r w:rsidRPr="004F4EF2">
        <w:t>Civilian</w:t>
      </w:r>
      <w:proofErr w:type="spellEnd"/>
      <w:r w:rsidRPr="004F4EF2">
        <w:t xml:space="preserve"> </w:t>
      </w:r>
      <w:proofErr w:type="spellStart"/>
      <w:r w:rsidRPr="004F4EF2">
        <w:t>and</w:t>
      </w:r>
      <w:proofErr w:type="spellEnd"/>
      <w:r w:rsidRPr="004F4EF2">
        <w:t xml:space="preserve"> </w:t>
      </w:r>
      <w:proofErr w:type="spellStart"/>
      <w:r w:rsidRPr="004F4EF2">
        <w:t>Military</w:t>
      </w:r>
      <w:proofErr w:type="spellEnd"/>
      <w:r w:rsidRPr="004F4EF2">
        <w:t xml:space="preserve"> </w:t>
      </w:r>
      <w:proofErr w:type="spellStart"/>
      <w:r w:rsidRPr="004F4EF2">
        <w:t>Preparedness</w:t>
      </w:r>
      <w:proofErr w:type="spellEnd"/>
      <w:r w:rsidRPr="004F4EF2">
        <w:t xml:space="preserve"> </w:t>
      </w:r>
      <w:proofErr w:type="spellStart"/>
      <w:r w:rsidRPr="004F4EF2">
        <w:t>and</w:t>
      </w:r>
      <w:proofErr w:type="spellEnd"/>
      <w:r w:rsidRPr="004F4EF2">
        <w:t xml:space="preserve"> </w:t>
      </w:r>
      <w:proofErr w:type="spellStart"/>
      <w:r w:rsidRPr="004F4EF2">
        <w:t>Readines</w:t>
      </w:r>
      <w:proofErr w:type="spellEnd"/>
      <w:r w:rsidRPr="004F4EF2">
        <w:t>” (Sigurniji zajedno – jačanje europske civilne i vojne pripravnosti i spremnosti),</w:t>
      </w:r>
    </w:p>
    <w:p w14:paraId="2B8A17D5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članak 55. Poslovnika,</w:t>
      </w:r>
    </w:p>
    <w:p w14:paraId="6BC1102E" w14:textId="77777777" w:rsidR="00293748" w:rsidRPr="004F4EF2" w:rsidRDefault="00293748" w:rsidP="00293748">
      <w:pPr>
        <w:pStyle w:val="NormalHanging12a"/>
      </w:pPr>
      <w:r w:rsidRPr="004F4EF2">
        <w:t>–</w:t>
      </w:r>
      <w:r w:rsidRPr="004F4EF2">
        <w:tab/>
        <w:t>uzimajući u obzir izvješće Odbora za ustavna pitanja (A10-0177/2025),</w:t>
      </w:r>
    </w:p>
    <w:p w14:paraId="6896B1B0" w14:textId="77777777" w:rsidR="00293748" w:rsidRPr="004F4EF2" w:rsidRDefault="00293748" w:rsidP="00293748">
      <w:pPr>
        <w:pStyle w:val="NormalHanging12a"/>
      </w:pPr>
      <w:r w:rsidRPr="004F4EF2">
        <w:t>A.</w:t>
      </w:r>
      <w:r w:rsidRPr="004F4EF2">
        <w:tab/>
        <w:t>budući da devet od deset zemalja koje trenutačno žele pristupiti EU-u ima status zemlje kandidatkinje te da neke od njih imaju taj status već dugi niz godina; budući da se te zemlje kandidatkinje nalaze u različitim fazama pristupnog procesa i pregovora; budući da je Gruzija 28. studenoga 2024. jednostrano obustavila pregovore o pristupanju EU-u;</w:t>
      </w:r>
    </w:p>
    <w:p w14:paraId="782BAC3D" w14:textId="77777777" w:rsidR="00293748" w:rsidRPr="004F4EF2" w:rsidRDefault="00293748" w:rsidP="00293748">
      <w:pPr>
        <w:pStyle w:val="NormalHanging12a"/>
      </w:pPr>
      <w:r w:rsidRPr="004F4EF2">
        <w:t>B.</w:t>
      </w:r>
      <w:r w:rsidRPr="004F4EF2">
        <w:tab/>
        <w:t>budući da su ruska ratna agresija na Ukrajinu i drugi aktualni geopolitički izazovi, uključujući zabrinjavajuću promjenu u transatlantskim odnosima, dali novo geostrateško značenje i poticaj procesu pristupanja EU-u i ujedinjenju Europe;</w:t>
      </w:r>
    </w:p>
    <w:p w14:paraId="3E7B914D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C.</w:t>
      </w:r>
      <w:r w:rsidRPr="004F4EF2">
        <w:tab/>
        <w:t xml:space="preserve">budući da pristupanje Europskoj uniji mora ostati proces temeljen na zaslugama, koji se temelji na procjeni koliko je </w:t>
      </w:r>
      <w:proofErr w:type="spellStart"/>
      <w:r w:rsidRPr="004F4EF2">
        <w:t>Kopenhaških</w:t>
      </w:r>
      <w:proofErr w:type="spellEnd"/>
      <w:r w:rsidRPr="004F4EF2">
        <w:t xml:space="preserve"> kriterija svaka zemlja kandidatkinja ispunila i koliko je reformi provela, posebno u područjima „temeljnih pitanja”, poštovanja načela demokracije, vladavine prava, ljudskih prava i dobrog upravljanja, kao i usklađivanja sa zajedničkom vanjskom i sigurnosnom politikom EU-a, kako bi se osiguralo da proširenje jača, a ne oslabljuje EU i njegovo jedinstveno tržište;</w:t>
      </w:r>
    </w:p>
    <w:p w14:paraId="25821B9A" w14:textId="77777777" w:rsidR="00293748" w:rsidRPr="004F4EF2" w:rsidRDefault="00293748" w:rsidP="00293748">
      <w:pPr>
        <w:pStyle w:val="NormalHanging12a"/>
      </w:pPr>
      <w:r w:rsidRPr="004F4EF2">
        <w:t>D.</w:t>
      </w:r>
      <w:r w:rsidRPr="004F4EF2">
        <w:tab/>
        <w:t>budući da je proširenje povijesna obveza, ključan instrument vanjske politike EU-a, strateški geopolitički prioritet i jedna od najuspješnijih politika EU-a te da ono predstavlja ulaganje u budućnost europskog kontinenta;</w:t>
      </w:r>
    </w:p>
    <w:p w14:paraId="0B69BA9D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E.</w:t>
      </w:r>
      <w:r w:rsidRPr="004F4EF2">
        <w:tab/>
        <w:t>budući da bi zemlje pristupnice trebale odlučno provesti potrebne reforme i postići konkretan i trajan napredak u ključnim elementima procesa proširenja; budući da bi EU i države članice trebale financijskom i tehničkom pomoći podupirati zemlje kandidatkinje u postizanju tih kriterija; budući da ne može biti prečaca kad je riječ o vrijednostima EU-a i temeljnim načelima;</w:t>
      </w:r>
    </w:p>
    <w:p w14:paraId="7228E070" w14:textId="77777777" w:rsidR="00293748" w:rsidRPr="004F4EF2" w:rsidRDefault="00293748" w:rsidP="00293748">
      <w:pPr>
        <w:pStyle w:val="NormalHanging12a"/>
      </w:pPr>
      <w:r w:rsidRPr="004F4EF2">
        <w:t>F.</w:t>
      </w:r>
      <w:r w:rsidRPr="004F4EF2">
        <w:tab/>
        <w:t xml:space="preserve">budući da bi prošireni EU dobio veću političku, gospodarsku i vojnu moć i utjecaj na globalnoj sceni te istodobno ojačao zajedničke demokratske vrijednosti diljem regije proširenja EU-a; budući da je prošireno jedinstveno tržište važno i za EU i za zemlje </w:t>
      </w:r>
      <w:r w:rsidRPr="004F4EF2">
        <w:lastRenderedPageBreak/>
        <w:t>pristupnice te da ono čini EU još konkurentnijim gospodarskim subjektom i privlačnim trgovinskim partnerom; budući da bi neostvarivanje napretka u proširenju EU-a ugrozilo gospodarske i sigurnosne interese EU-a i u konačnici moglo potaknuti zemlje izvan EU-a na europskom kontinentu da se gospodarski i politički usklade s drugim blokovima (npr. Rusijom i Kinom), čime bi se potencijalno stvorila konkurentna gospodarska područja i smanjio globalni gospodarski utjecaj EU-a te istodobno stvorile prilike za pokušaje destabilizacije iz neposrednog susjedstva EU-a;</w:t>
      </w:r>
    </w:p>
    <w:p w14:paraId="25372CDD" w14:textId="77777777" w:rsidR="00293748" w:rsidRPr="004F4EF2" w:rsidRDefault="00293748" w:rsidP="00293748">
      <w:pPr>
        <w:pStyle w:val="NormalHanging12a"/>
      </w:pPr>
      <w:r w:rsidRPr="004F4EF2">
        <w:t>G.</w:t>
      </w:r>
      <w:r w:rsidRPr="004F4EF2">
        <w:tab/>
        <w:t>budući da su zemlje koje su pristupile EU-u 2004., a i cijeli EU, doživjeli znatan gospodarski rast i rast standarda u više područja, uključujući porast BDP-a po stanovniku od prosječno 30 %; budući da su sve nove države članice u prosjeku zabilježile dodatni rast BDP-a od 12 % u odnosu na rast koji se pretpostavlja da bi imale da nisu pristupile EU-u te budući da je taj rast bio vidljiv u roku od pet godina od njihova pristupanja; budući da se u posljednjih 20 godina gospodarstvo EU-a povećalo za 27 %; budući da su zemlje koje su već bile dio EU-a u vrijeme proširenja 2004. također doživjele rast i blagostanje, što je jasno uzročno-posljedično povezano s proširenim tržištima, povezanošću i ulaganjem koje proizlazi iz proširenja; budući da proširenjem sve regije ostvaruju gospodarski rast, ali da najsiromašnije regije ostvaruju najveći relativni gospodarski rast;</w:t>
      </w:r>
    </w:p>
    <w:p w14:paraId="50C0DDA5" w14:textId="77777777" w:rsidR="00293748" w:rsidRPr="004F4EF2" w:rsidRDefault="00293748" w:rsidP="00293748">
      <w:pPr>
        <w:pStyle w:val="NormalHanging12a"/>
      </w:pPr>
      <w:r w:rsidRPr="004F4EF2">
        <w:t>H.</w:t>
      </w:r>
      <w:r w:rsidRPr="004F4EF2">
        <w:tab/>
        <w:t xml:space="preserve">budući da je BDP po stanovniku na zapadnom Balkanu te u Ukrajini, </w:t>
      </w:r>
      <w:proofErr w:type="spellStart"/>
      <w:r w:rsidRPr="004F4EF2">
        <w:t>Moldovi</w:t>
      </w:r>
      <w:proofErr w:type="spellEnd"/>
      <w:r w:rsidRPr="004F4EF2">
        <w:t xml:space="preserve"> i Gruziji i dalje oko 50 % BDP-a EU-a ili nešto manji, iako su neke zemlje kandidatkinje u posljednjim godinama pokazale stabilan gospodarski rast, što omogućuje pristup temeljen na zaslugama i usmjeren na budućnost; budući da iskustvo nakon svih proširenja EU-a pokazuje pozitivan učinak koji članstvo u EU-u i u jedinstvenom tržištu EU-a te pristup strukturnim fondovima imaju na gospodarsku i socijalnu konvergenciju; budući da studije pokazuju da bi se pristupanjem deset novih država članica razlike u BDP-u po stanovniku između EU-a i SAD-a smanjile za 10 %; budući da bi prošireni pristup, među ostalim, tržištima rada, industrijskim kapacitetima, digitalnim tehnologijama, posebno umjetnoj inteligenciji, i kritičnim mineralima rijetkih zemalja omogućio EU-u da ubrza zelenu, digitalnu i pravednu tranziciju uz istodobno smanjenje njezinih troškova, čime bi postao strateški autonomniji od Rusije, Kine i drugih sistemskih konkurenata; budući da se procjenjuje da bi se u scenarijima u kojima se kombinira znatno proširenje i snažna konvergencija BDP EU-a do 2035. mogao povećati za do 10 bilijuna USD;</w:t>
      </w:r>
    </w:p>
    <w:p w14:paraId="1203E819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I.</w:t>
      </w:r>
      <w:r w:rsidRPr="004F4EF2">
        <w:tab/>
        <w:t xml:space="preserve">budući da pretpristupni instrumenti imaju važnu ulogu jer pružaju vrijedno iskustvo za osmišljanje moderniziranih instrumenata potpore prilagođenih posebnim potrebama zemalja, kao što je bio slučaj s programom </w:t>
      </w:r>
      <w:proofErr w:type="spellStart"/>
      <w:r w:rsidRPr="004F4EF2">
        <w:t>Phare</w:t>
      </w:r>
      <w:proofErr w:type="spellEnd"/>
      <w:r w:rsidRPr="004F4EF2">
        <w:t xml:space="preserve"> (Program pomoći Zajednice državama srednje i istočne Europe) te s instrumentima SAPARD (pretpristupni poljoprivredni instrument) i ISPA (Instrument strukturnih politika za pretpristupno razdoblje);</w:t>
      </w:r>
    </w:p>
    <w:p w14:paraId="3AEBC2CD" w14:textId="77777777" w:rsidR="00293748" w:rsidRPr="004F4EF2" w:rsidRDefault="00293748" w:rsidP="00293748">
      <w:pPr>
        <w:pStyle w:val="NormalHanging12a"/>
      </w:pPr>
      <w:bookmarkStart w:id="7" w:name="_Hlk208838474"/>
      <w:r w:rsidRPr="004F4EF2">
        <w:t>J.</w:t>
      </w:r>
      <w:r w:rsidRPr="004F4EF2">
        <w:tab/>
        <w:t xml:space="preserve">budući da se određene zemlje izvan EU-a suočavaju s različitim razinama političke nestabilnosti i budući da bi provedba reformi povezanih s članstvom u EU-u u tim zemljama trebala doprinijeti stabilnosti i vladavini prava u regiji, kao što je vidljivo iz prethodnih proširenja; budući da EU ima na raspolaganju opsežan skup alata za osiguravanje usklađenosti s temeljnim vrijednostima u državama članicama i za zaštitu političke stabilnosti europskog projekta u cjelini; budući da se taj skup alata mora dalje reformirati i jačati, posebno dosljednom provedbom mehanizma vladavine prava i učinkovitom zaštitom temeljnih vrijednosti EU-a utvrđenih u članku 2. UEU-a, među </w:t>
      </w:r>
      <w:r w:rsidRPr="004F4EF2">
        <w:lastRenderedPageBreak/>
        <w:t>ostalim utvrđivanjem uvjeta u trenutačnom i sljedećem višegodišnjem financijskom okviru (VFO);</w:t>
      </w:r>
      <w:bookmarkEnd w:id="7"/>
    </w:p>
    <w:p w14:paraId="019D0366" w14:textId="77777777" w:rsidR="00293748" w:rsidRPr="004F4EF2" w:rsidRDefault="00293748" w:rsidP="00293748">
      <w:pPr>
        <w:pStyle w:val="NormalHanging12a"/>
      </w:pPr>
      <w:r w:rsidRPr="004F4EF2">
        <w:t>K.</w:t>
      </w:r>
      <w:r w:rsidRPr="004F4EF2">
        <w:tab/>
        <w:t xml:space="preserve">budući da bi Komisija i Parlament trebali osmisliti kampanje za podizanje razine osviještenosti u državama članicama i zemljama kandidatkinjama kako bi se građani na odgovarajući način informirali o mogućnostima koje pruža proširenje te kako bi se istodobno suzbile inozemne manipulacije informacijama i uplitanje Rusije i drugih zemalja u cilju potkopavanja javne potpore proširenju; </w:t>
      </w:r>
    </w:p>
    <w:p w14:paraId="7F981A1F" w14:textId="77777777" w:rsidR="00293748" w:rsidRPr="004F4EF2" w:rsidRDefault="00293748" w:rsidP="00293748">
      <w:pPr>
        <w:pStyle w:val="NormalHanging12a"/>
      </w:pPr>
      <w:r w:rsidRPr="004F4EF2">
        <w:t>L.</w:t>
      </w:r>
      <w:r w:rsidRPr="004F4EF2">
        <w:tab/>
        <w:t>budući da se institucionalni okvir EU-a, a posebno njegov postupak donošenja odluka, mora ojačati i unaprijediti za trenutačnu Europsku uniju od 27 država članica; budući da priprema za proširenje zahtijeva unutarnje reforme EU-a te budući da bi se proces proširenja trebao provoditi usporedno s potrebnim institucionalnim reformama i reformama u pogledu donošenja odluka koje su potrebne kako bi se sačuvala integracijska sposobnost EU-a; budući da je zbog izgleda za buduća proširenja reforma institucija, politika i postupaka donošenja odluka EU-a potrebnija i hitnija nego ikad prije;</w:t>
      </w:r>
    </w:p>
    <w:p w14:paraId="092F0EB4" w14:textId="77777777" w:rsidR="00293748" w:rsidRPr="004F4EF2" w:rsidRDefault="00293748" w:rsidP="00293748">
      <w:pPr>
        <w:pStyle w:val="NormalHanging12a"/>
      </w:pPr>
      <w:r w:rsidRPr="004F4EF2">
        <w:t>M.</w:t>
      </w:r>
      <w:r w:rsidRPr="004F4EF2">
        <w:tab/>
        <w:t>budući da su prethodnim proširenjima često prethodile unutarnje institucionalne reforme u području upravljanja EU-om ili su bila popraćena takvim reformama te da su obično ti procesi proširenja snažno poticali razvoj te gospodarski i demokratski napredak zemalja kandidatkinja;</w:t>
      </w:r>
    </w:p>
    <w:p w14:paraId="6D53BC92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N.</w:t>
      </w:r>
      <w:r w:rsidRPr="004F4EF2">
        <w:tab/>
        <w:t>budući da je u svojoj Izjavi iz Granade od 6. listopada 2023. Europsko vijeće prepoznalo da bi potrebno povećanje napora u provođenju reformi u zemljama kandidatkinjama trebalo biti popraćeno postupkom pripreme i reformi u EU-u;</w:t>
      </w:r>
    </w:p>
    <w:p w14:paraId="40761B2F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O.</w:t>
      </w:r>
      <w:r w:rsidRPr="004F4EF2">
        <w:tab/>
        <w:t>budući da je u svojim zaključcima od 27. lipnja 2024. Europsko vijeće utvrdilo plan za budući rad na unutarnjim reformama; budući da Europsko vijeće prepoznaje da su za jačanje EU-a i europskog suvereniteta potrebne reforme koje će EU-u omogućiti da ostvari svoje dugoročne ambicije, politike i prioritete te da odgovori na nove geopolitičke okolnosti i izazove;</w:t>
      </w:r>
    </w:p>
    <w:p w14:paraId="0DFDB484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P.</w:t>
      </w:r>
      <w:r w:rsidRPr="004F4EF2">
        <w:tab/>
        <w:t>budući da bi prema tim zaključcima unutarnje reforme trebale napredovati usporedno s procesom proširenja da bi politike bile prilagođene budućim okolnostima, da bi se one financirale na odgovarajući način te da bi institucije EU-a nastavile učinkovito funkcionirati i djelovati; budući da je Europsko vijeće pozvalo Komisiju da 2025. dostavi temeljiti pregled politike s naglaskom na četiri područja, a to su vrijednosti i vladavina prava, politike, proračun i upravljanje;</w:t>
      </w:r>
    </w:p>
    <w:p w14:paraId="5902E8A5" w14:textId="77777777" w:rsidR="00293748" w:rsidRPr="004F4EF2" w:rsidRDefault="00293748" w:rsidP="00293748">
      <w:pPr>
        <w:pStyle w:val="NormalHanging12a"/>
      </w:pPr>
      <w:r w:rsidRPr="004F4EF2">
        <w:t>Q.</w:t>
      </w:r>
      <w:r w:rsidRPr="004F4EF2">
        <w:tab/>
        <w:t>budući da perspektiva predstojećeg proširenja izlaže EU trostrukom izazovu, a to su osiguravanje učinkovitih postupaka donošenja odluka (izazov učinkovitosti), prikupljanje dostatnih resursa za ostvarivanje njegovih strateških ciljeva (izazov moći i resursa) te zaštita demokratskog legitimiteta i odgovornosti za njegovo djelovanje (izazov demokracije);</w:t>
      </w:r>
    </w:p>
    <w:p w14:paraId="5FA3E0B9" w14:textId="77777777" w:rsidR="00293748" w:rsidRPr="004F4EF2" w:rsidRDefault="00293748" w:rsidP="00293748">
      <w:pPr>
        <w:pStyle w:val="NormalHanging12a"/>
      </w:pPr>
      <w:r w:rsidRPr="004F4EF2">
        <w:t>R.</w:t>
      </w:r>
      <w:r w:rsidRPr="004F4EF2">
        <w:tab/>
        <w:t xml:space="preserve">budući da reforme institucionalnog okvira EU-a prije proširenja podrazumijevaju mogući napredak u pogledu diferenciranih integracijskih rješenja kad god je to dopušteno Ugovorima; budući da postupci u skladu s člancima 20., 42. i 46. UEU-a o pojačanoj suradnji i stalnoj strukturiranoj suradnji (PESCO) omogućuju voljnim </w:t>
      </w:r>
      <w:r w:rsidRPr="004F4EF2">
        <w:lastRenderedPageBreak/>
        <w:t>državama članicama da prodube svoju integraciju i poboljšaju suradnju u okviru neisključivih nadležnosti EU-a;</w:t>
      </w:r>
    </w:p>
    <w:p w14:paraId="2CF110CB" w14:textId="77777777" w:rsidR="00293748" w:rsidRPr="004F4EF2" w:rsidRDefault="00293748" w:rsidP="00293748">
      <w:pPr>
        <w:pStyle w:val="NormalHanging12a"/>
      </w:pPr>
      <w:r w:rsidRPr="004F4EF2">
        <w:t>S.</w:t>
      </w:r>
      <w:r w:rsidRPr="004F4EF2">
        <w:tab/>
        <w:t xml:space="preserve">budući da bi se u određenim područjima politike mogle odmah primijeniti </w:t>
      </w:r>
      <w:proofErr w:type="spellStart"/>
      <w:r w:rsidRPr="004F4EF2">
        <w:t>premošćujuće</w:t>
      </w:r>
      <w:proofErr w:type="spellEnd"/>
      <w:r w:rsidRPr="004F4EF2">
        <w:t xml:space="preserve"> klauzule za prelazak sa zahtjeva za jednoglasnim odlučivanjem na glasanje kvalificiranom većinom; budući da se UEU-om utvrđuje da je krajnji cilj postupnog oblikovanja zajedničke obrambene politike EU-a uspostava zajedničke obrane jednoglasnom odlukom Europskog vijeća, koja mora biti u skladu s NATO-om;</w:t>
      </w:r>
    </w:p>
    <w:p w14:paraId="371E11B1" w14:textId="77777777" w:rsidR="00293748" w:rsidRPr="004F4EF2" w:rsidRDefault="00293748" w:rsidP="00293748">
      <w:pPr>
        <w:pStyle w:val="NormalHanging12a"/>
      </w:pPr>
      <w:r w:rsidRPr="004F4EF2">
        <w:t>T.</w:t>
      </w:r>
      <w:r w:rsidRPr="004F4EF2">
        <w:tab/>
        <w:t>budući da bi zbog ograničene fleksibilnosti Ugovorâ trebalo predvidjeti temeljitiju reformu njihovim ciljanim izmjenama; budući da je Parlament aktivirao postupak revizije Ugovorâ i podnio Vijeću prijedloge za njihovu izmjenu u skladu s člankom 48. stavkom 2. UEU-a;</w:t>
      </w:r>
    </w:p>
    <w:p w14:paraId="179973E4" w14:textId="77777777" w:rsidR="00293748" w:rsidRPr="004F4EF2" w:rsidRDefault="00293748" w:rsidP="00293748">
      <w:pPr>
        <w:pStyle w:val="Normal12a24b"/>
      </w:pPr>
      <w:r w:rsidRPr="004F4EF2">
        <w:rPr>
          <w:rStyle w:val="BoldItalic"/>
        </w:rPr>
        <w:t>Trošak nereformiranja proširenog EU-a</w:t>
      </w:r>
    </w:p>
    <w:p w14:paraId="74FFBB54" w14:textId="77777777" w:rsidR="00293748" w:rsidRPr="004F4EF2" w:rsidRDefault="00293748" w:rsidP="00293748">
      <w:pPr>
        <w:pStyle w:val="NormalHanging12a"/>
      </w:pPr>
      <w:r w:rsidRPr="004F4EF2">
        <w:t>1.</w:t>
      </w:r>
      <w:r w:rsidRPr="004F4EF2">
        <w:tab/>
        <w:t>tvrdi da su se EU i zemlje kandidatkinje oduvijek koristili proširenjem kao političkim i geopolitičkim alatom za promicanje demokracije, stabilnosti, sigurnosti i blagostanja diljem kontinenta; smatra da proširenje EU-a predstavlja dugoročno geostrateško ulaganje;</w:t>
      </w:r>
    </w:p>
    <w:p w14:paraId="11C28CFD" w14:textId="77777777" w:rsidR="00293748" w:rsidRPr="004F4EF2" w:rsidRDefault="00293748" w:rsidP="00293748">
      <w:pPr>
        <w:pStyle w:val="NormalHanging12a"/>
      </w:pPr>
      <w:r w:rsidRPr="004F4EF2">
        <w:t>2.</w:t>
      </w:r>
      <w:r w:rsidRPr="004F4EF2">
        <w:tab/>
        <w:t>ističe da ruska ratna agresija na Ukrajinu i drugi geopolitički izazovi naglašavaju hitnost napretka u procesu proširenja; smatra da uspješno i održivo proširenje zahtijeva dugoročnu političku viziju i odvažne odluke u cilju promicanja učinkovite, snažne i demokratske Europe;</w:t>
      </w:r>
    </w:p>
    <w:p w14:paraId="6FA788F8" w14:textId="77777777" w:rsidR="00293748" w:rsidRPr="004F4EF2" w:rsidRDefault="00293748" w:rsidP="00293748">
      <w:pPr>
        <w:pStyle w:val="NormalHanging12a"/>
      </w:pPr>
      <w:r w:rsidRPr="004F4EF2">
        <w:t>3.</w:t>
      </w:r>
      <w:r w:rsidRPr="004F4EF2">
        <w:tab/>
        <w:t xml:space="preserve">napominje da iskustvo pokazuje da svaki novi val proširenja donosi nove institucijske i političke izazove i prilike s kojima se treba pravodobno uhvatiti u koštac, po mogućnosti prije nego što zemlje kandidatkinje postanu države članice kako bi se osiguralo djelotvorno funkcioniranje EU-a i spriječila institucijska blokada; ističe da su svakom proširenju u povijesti europskog projekta prethodile unutarnje institucijske reforme ili je bilo popraćeno njima; </w:t>
      </w:r>
    </w:p>
    <w:p w14:paraId="093E81BE" w14:textId="77777777" w:rsidR="00293748" w:rsidRPr="004F4EF2" w:rsidRDefault="00293748" w:rsidP="00293748">
      <w:pPr>
        <w:pStyle w:val="NormalHanging12a"/>
      </w:pPr>
      <w:r w:rsidRPr="004F4EF2">
        <w:t>4.</w:t>
      </w:r>
      <w:r w:rsidRPr="004F4EF2">
        <w:tab/>
        <w:t>uviđa da je cilj jednoglasnosti osigurati rješavanje legitimnih pitanja svih država članica; međutim, smatra da će prošireni EU zahtijevati usavršeniju koordinaciju rješavanja izazova s kojima se suočava tijekom trenutačnog procesa proširenja; naglašava važnost otklanjanja poteškoća koje uzrokuje jednoglasnost u Vijeću, uključujući uporabu jednoglasnosti za međukorake u procesu proširenja, što bi moglo usporiti pristupanje novih članica EU-u zbog bilateralnih pitanja; podsjeća da se člankom 49. UEU-a omogućuje prelazak na glasanje kvalificiranom većinom bez potrebe za izmjenama Ugovora; prima na znanje složene i zastarjele strukture i upravljanje proračunom EU-a te moguću preraspodjelu pri dodjeli sredstava iz poljoprivrednog i kohezijskog fonda; podsjeća da je proširenje EU-a prilika za prilagodbu ključnih politika EU-a u tom pogledu; podržava sve inicijative usmjerene na to da se postupak donošenja odluka učini djelotvornijim, što je ključno za jačanje konkurentnosti EU-a;</w:t>
      </w:r>
    </w:p>
    <w:p w14:paraId="3E03FC03" w14:textId="77777777" w:rsidR="00293748" w:rsidRPr="004F4EF2" w:rsidRDefault="00293748" w:rsidP="00293748">
      <w:pPr>
        <w:pStyle w:val="NormalHanging12a"/>
      </w:pPr>
      <w:r w:rsidRPr="004F4EF2">
        <w:t>5.</w:t>
      </w:r>
      <w:r w:rsidRPr="004F4EF2">
        <w:tab/>
        <w:t xml:space="preserve">ponovno ističe svoje stajalište da bi produbljivanje Unije, njezini procesi proširenja i europsko ujedinjenje trebali ići ruku pod ruku; naglašava da su potrebne institucionalne i financijske reforme EU-a kako bi se odgovorilo na izazove trenutačnog procesa proširenja i osigurala sposobnost EU-a da integrira nove članice i promiče njihovu </w:t>
      </w:r>
      <w:r w:rsidRPr="004F4EF2">
        <w:lastRenderedPageBreak/>
        <w:t xml:space="preserve">uspješnu integraciju bez destabilizacije gospodarstava drugih država članica ili pogoršanja društvenih napetosti; </w:t>
      </w:r>
    </w:p>
    <w:p w14:paraId="39E7DC74" w14:textId="77777777" w:rsidR="00293748" w:rsidRPr="004F4EF2" w:rsidRDefault="00293748" w:rsidP="00293748">
      <w:pPr>
        <w:pStyle w:val="NormalHanging12a"/>
      </w:pPr>
      <w:r w:rsidRPr="004F4EF2">
        <w:t>6.</w:t>
      </w:r>
      <w:r w:rsidRPr="004F4EF2">
        <w:tab/>
        <w:t>uviđa da bi</w:t>
      </w:r>
      <w:r w:rsidRPr="004F4EF2">
        <w:rPr>
          <w:i/>
        </w:rPr>
        <w:t xml:space="preserve"> ad </w:t>
      </w:r>
      <w:proofErr w:type="spellStart"/>
      <w:r w:rsidRPr="004F4EF2">
        <w:rPr>
          <w:i/>
        </w:rPr>
        <w:t>hoc</w:t>
      </w:r>
      <w:proofErr w:type="spellEnd"/>
      <w:r w:rsidRPr="004F4EF2">
        <w:t xml:space="preserve"> rješenja mogla poslužiti kao privremena rješenja, ali da im nedostaju predvidljivost, demokratska transparentnost i odgovornost te dugoročna održivost koju mogu donijeti samo strukturne reforme;</w:t>
      </w:r>
    </w:p>
    <w:p w14:paraId="0F010E0F" w14:textId="77777777" w:rsidR="00293748" w:rsidRPr="004F4EF2" w:rsidRDefault="00293748" w:rsidP="00293748">
      <w:pPr>
        <w:pStyle w:val="Normal12a24b"/>
      </w:pPr>
      <w:r w:rsidRPr="004F4EF2">
        <w:rPr>
          <w:rStyle w:val="BoldItalic"/>
        </w:rPr>
        <w:t>Ciljevi institucijskih reformi prije proširenja: učinkovitost, moć i demokracija</w:t>
      </w:r>
    </w:p>
    <w:p w14:paraId="3685069A" w14:textId="77777777" w:rsidR="00293748" w:rsidRPr="004F4EF2" w:rsidRDefault="00293748" w:rsidP="00293748">
      <w:pPr>
        <w:pStyle w:val="NormalHanging12a"/>
      </w:pPr>
      <w:r w:rsidRPr="004F4EF2">
        <w:t>7.</w:t>
      </w:r>
      <w:r w:rsidRPr="004F4EF2">
        <w:tab/>
        <w:t>čvrsto vjeruje da bi institucionalne reforme EU-a, bez obzira na postupak donošenja odluka za njihovo donošenje, trebale povećati sposobnost EU-a da djeluje učinkovito i pravodobno; ističe da bi reforme institucionalnog okvira EU-a prije proširenja trebale ispuniti ciljeve poboljšanja učinkovitosti EU-a, čime bi EU postao snažniji na globalnoj sceni te demokratskiji, legitimniji i odgovorniji;</w:t>
      </w:r>
    </w:p>
    <w:p w14:paraId="285B21C8" w14:textId="77777777" w:rsidR="00293748" w:rsidRPr="004F4EF2" w:rsidRDefault="00293748" w:rsidP="00293748">
      <w:pPr>
        <w:pStyle w:val="Normal12a24b"/>
      </w:pPr>
      <w:r w:rsidRPr="004F4EF2">
        <w:rPr>
          <w:rStyle w:val="Italic"/>
        </w:rPr>
        <w:t>Izazov učinkovitosti</w:t>
      </w:r>
    </w:p>
    <w:p w14:paraId="4B2BB558" w14:textId="77777777" w:rsidR="00293748" w:rsidRPr="004F4EF2" w:rsidRDefault="00293748" w:rsidP="00293748">
      <w:pPr>
        <w:pStyle w:val="NormalHanging12a"/>
      </w:pPr>
      <w:r w:rsidRPr="004F4EF2">
        <w:t>8.</w:t>
      </w:r>
      <w:r w:rsidRPr="004F4EF2">
        <w:tab/>
        <w:t>ističe da se, kako bi se poboljšala učinkovitost proširenog EU-a, sastav institucija EU-a treba prilagoditi, da se treba povećati njegova učinkovitost te se mora poboljšati njihovo funkcioniranje; predlaže da se proces proširenja podupre ranim i bliskim uključivanjem zemalja kandidatkinja u funkcioniranje institucija EU-a, npr. statusom promatrača; napominje da bi se to moglo uspješno postići na sličan način kao prilikom proširenja 2004.; kao pozitivan primjer takve postupne integracije ističe napore Komisije da uključi zemlje kandidatkinje u područja sigurnosti i obrane, posebno upućivanjem na njih u bijeloj knjizi o budućnosti obrane EU-a i u strategiji unutarnje sigurnosti;</w:t>
      </w:r>
    </w:p>
    <w:p w14:paraId="66D8D9F1" w14:textId="77777777" w:rsidR="00293748" w:rsidRPr="004F4EF2" w:rsidRDefault="00293748" w:rsidP="00293748">
      <w:pPr>
        <w:pStyle w:val="NormalHanging12a"/>
      </w:pPr>
      <w:r w:rsidRPr="004F4EF2">
        <w:t>9.</w:t>
      </w:r>
      <w:r w:rsidRPr="004F4EF2">
        <w:tab/>
        <w:t xml:space="preserve">napominje da se institucionalne reforme prije proširenja moraju usmjeriti na posljedice proširenja na sastav Parlamenta; ističe da bi Parlament, uz osiguravanje odgovarajuće demokratske zastupljenosti, trebao zadržati funkcionalnu veličinu; ističe da je potrebno dati prednost internom i </w:t>
      </w:r>
      <w:proofErr w:type="spellStart"/>
      <w:r w:rsidRPr="004F4EF2">
        <w:t>međuinstitucijskom</w:t>
      </w:r>
      <w:proofErr w:type="spellEnd"/>
      <w:r w:rsidRPr="004F4EF2">
        <w:t xml:space="preserve"> radu na utvrđivanju mehanizma za dodjelu stalnih mjesta kojim se može osigurati pravedna, transparentna i trajna demografska i geografska zastupljenost uz poštovanje načela degresivne proporcionalnosti; podsjeća na svoje stajalište da bi sastav Parlamenta trebalo razmotriti zajedno sa sustavom glasovanja u Vijeću;</w:t>
      </w:r>
    </w:p>
    <w:p w14:paraId="282DDEC0" w14:textId="3732AB5B" w:rsidR="00293748" w:rsidRPr="004F4EF2" w:rsidRDefault="00293748" w:rsidP="00293748">
      <w:pPr>
        <w:pStyle w:val="NormalHanging12a"/>
      </w:pPr>
      <w:r w:rsidRPr="004F4EF2">
        <w:t>10.</w:t>
      </w:r>
      <w:r w:rsidRPr="004F4EF2">
        <w:tab/>
        <w:t>napominje da se u trenutačnom sastavu Komisije mora uzeti u obzir proširenje; u tom pogledu podsjeća na fleksibilnost predviđenu Ugovorom iz Lisabona; ističe da se pri svakom smanjenju veličine Kolegija povjerenika mora i dalje osigurati geografski, demografski i rodno uravnotežen sastav Komisije u skladu s člankom 17. stavkom 5. UEU-a;</w:t>
      </w:r>
    </w:p>
    <w:p w14:paraId="02C72A52" w14:textId="2DE489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11.</w:t>
      </w:r>
      <w:r w:rsidRPr="004F4EF2">
        <w:tab/>
        <w:t>prepoznaje potrebu za razmatranjem revizije funkcioniranja i procesa donošenja odluka u Vijeću u svjetlu proširenja; napominje da se kvalificirana većina mora redefinirati kako bi se poboljšala ravnoteža između većih i manjih zemalja te kako bi se zadržali viši pragovi za najvažnije i politički osjetljive odluke; u tom pogledu podsjeća na svoju rezoluciju od 22. studenoga 2023. o prijedlozima Europskog parlamenta za izmjenu Ugovorâ, posebno o glasačkoj većini u Vijeću; poziva na najveću moguću transparentnost i integritet postupka donošenja odluka Vijeća u kontekstu proširenja;</w:t>
      </w:r>
    </w:p>
    <w:p w14:paraId="2DAF329A" w14:textId="77777777" w:rsidR="00293748" w:rsidRPr="004F4EF2" w:rsidRDefault="00293748" w:rsidP="00293748">
      <w:pPr>
        <w:pStyle w:val="NormalHanging12a"/>
      </w:pPr>
      <w:bookmarkStart w:id="8" w:name="_Hlk208310878"/>
      <w:r w:rsidRPr="004F4EF2">
        <w:lastRenderedPageBreak/>
        <w:t>12.</w:t>
      </w:r>
      <w:r w:rsidRPr="004F4EF2">
        <w:tab/>
        <w:t>predlaže jačanje i reformu postupka iz članka 7. UEU-a ukidanjem jednoglasnog odlučivanja u odlukama Europskog vijeća, uvođenjem jasnog vremenskog okvira i imenovanjem Suda Europske unije arbitrom koji odlučuje o povredama;</w:t>
      </w:r>
      <w:bookmarkEnd w:id="8"/>
    </w:p>
    <w:p w14:paraId="35351B3C" w14:textId="77777777" w:rsidR="00293748" w:rsidRPr="004F4EF2" w:rsidRDefault="00293748" w:rsidP="00293748">
      <w:pPr>
        <w:pStyle w:val="Normal12a24b"/>
      </w:pPr>
      <w:r w:rsidRPr="004F4EF2">
        <w:rPr>
          <w:rStyle w:val="Italic"/>
        </w:rPr>
        <w:t>Izazov u pogledu moći i resursa</w:t>
      </w:r>
    </w:p>
    <w:p w14:paraId="51629CBF" w14:textId="77777777" w:rsidR="00293748" w:rsidRPr="004F4EF2" w:rsidRDefault="00293748" w:rsidP="00293748">
      <w:pPr>
        <w:pStyle w:val="NormalHanging12a"/>
      </w:pPr>
      <w:r w:rsidRPr="004F4EF2">
        <w:t>13.</w:t>
      </w:r>
      <w:r w:rsidRPr="004F4EF2">
        <w:tab/>
        <w:t xml:space="preserve">ponovno poziva na reviziju upravljanja VFO-om, posebno dodjeljivanjem svih </w:t>
      </w:r>
      <w:proofErr w:type="spellStart"/>
      <w:r w:rsidRPr="004F4EF2">
        <w:t>suzakonodavnih</w:t>
      </w:r>
      <w:proofErr w:type="spellEnd"/>
      <w:r w:rsidRPr="004F4EF2">
        <w:t xml:space="preserve"> ovlasti na rashodovnoj strani proračuna EU-a, uključujući donošenje VFO-a;</w:t>
      </w:r>
    </w:p>
    <w:p w14:paraId="4F241DF5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14.</w:t>
      </w:r>
      <w:r w:rsidRPr="004F4EF2">
        <w:tab/>
        <w:t>uvjeren je da bi postojeću klauzulu o obveznoj reviziji u slučaju proširenja trebalo zadržati u sljedećem VFO-u i da ne bi trebalo utjecati na nacionalne omotnice; naglašava da će se u sljedećem VFO-u morati uspostaviti i odgovarajuće prijelazne mjere i mjere postupnog uvođenja za ključna rashodovna područja, kao što su kohezija i poljoprivreda, na temelju pažljive procjene učinaka na različite sektore;</w:t>
      </w:r>
    </w:p>
    <w:p w14:paraId="379E204A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15.</w:t>
      </w:r>
      <w:r w:rsidRPr="004F4EF2">
        <w:tab/>
        <w:t>smatra da će sljedeći VFO biti ključan za pripremu EU-a za proširenje i zemalja kandidatkinja za pristupanje;</w:t>
      </w:r>
    </w:p>
    <w:p w14:paraId="48497A05" w14:textId="77777777" w:rsidR="00293748" w:rsidRPr="004F4EF2" w:rsidRDefault="00293748" w:rsidP="00293748">
      <w:pPr>
        <w:pStyle w:val="NormalHanging12a"/>
      </w:pPr>
      <w:r w:rsidRPr="004F4EF2">
        <w:t>16.</w:t>
      </w:r>
      <w:r w:rsidRPr="004F4EF2">
        <w:tab/>
        <w:t>podsjeća na stajalište Parlamenta izraženo u njegovoj Rezoluciji od 7. svibnja 2025. o unaprijeđenom dugoročnom proračunu Unije u svijetu koji se mijenja</w:t>
      </w:r>
      <w:r w:rsidRPr="004F4EF2">
        <w:rPr>
          <w:rStyle w:val="FootnoteReference"/>
        </w:rPr>
        <w:footnoteReference w:id="7"/>
      </w:r>
      <w:r w:rsidRPr="004F4EF2">
        <w:t xml:space="preserve"> da se dugoročni proračun EU-a mora odmaknuti od povijesno restriktivne, samonametnute razine od 1 % ukupnog bruto nacionalnog dohotka; naglašava da su izvješća Marija </w:t>
      </w:r>
      <w:proofErr w:type="spellStart"/>
      <w:r w:rsidRPr="004F4EF2">
        <w:t>Draghija</w:t>
      </w:r>
      <w:proofErr w:type="spellEnd"/>
      <w:r w:rsidRPr="004F4EF2">
        <w:t xml:space="preserve"> i Enrica </w:t>
      </w:r>
      <w:proofErr w:type="spellStart"/>
      <w:r w:rsidRPr="004F4EF2">
        <w:t>Lette</w:t>
      </w:r>
      <w:proofErr w:type="spellEnd"/>
      <w:r w:rsidRPr="004F4EF2">
        <w:t xml:space="preserve"> pokazala da su potrebna znatna dodatna vlastita sredstva kako bi EU postao konkurentniji, dovršio pravednu i zelenu tranziciju i bio u mogućnosti samostalno se braniti od ruske agresije do 2030.;</w:t>
      </w:r>
    </w:p>
    <w:p w14:paraId="45DAE211" w14:textId="77777777" w:rsidR="00293748" w:rsidRPr="004F4EF2" w:rsidRDefault="00293748" w:rsidP="00293748">
      <w:pPr>
        <w:pStyle w:val="NormalHanging12a"/>
      </w:pPr>
      <w:r w:rsidRPr="004F4EF2">
        <w:t>17.</w:t>
      </w:r>
      <w:r w:rsidRPr="004F4EF2">
        <w:tab/>
        <w:t xml:space="preserve">naglašava da bi VFO-a za razdoblje nakon 2027. i djelotvorniji proračun, uključujući novi paket vlastitih sredstava, trebali omogućiti EU-u da odlučno napreduje prema proširenju uz istodobnu zaštitu postojećih politika, programa i prioriteta; </w:t>
      </w:r>
    </w:p>
    <w:p w14:paraId="791F6E41" w14:textId="77777777" w:rsidR="00293748" w:rsidRPr="004F4EF2" w:rsidRDefault="00293748" w:rsidP="00293748">
      <w:pPr>
        <w:pStyle w:val="Normal12a24b"/>
      </w:pPr>
      <w:r w:rsidRPr="004F4EF2">
        <w:rPr>
          <w:rStyle w:val="Italic"/>
        </w:rPr>
        <w:t>Izazov demokracije</w:t>
      </w:r>
    </w:p>
    <w:p w14:paraId="45D5A9C6" w14:textId="77777777" w:rsidR="00293748" w:rsidRPr="004F4EF2" w:rsidRDefault="00293748" w:rsidP="00293748">
      <w:pPr>
        <w:pStyle w:val="NormalHanging12a"/>
      </w:pPr>
      <w:r w:rsidRPr="004F4EF2">
        <w:t>18.</w:t>
      </w:r>
      <w:r w:rsidRPr="004F4EF2">
        <w:tab/>
        <w:t>naglašava važnost jačanja demokratskog legitimiteta politika EU-a jačanjem prava Europskog parlamenta na donošenje odluka i nadzor, uključujući snažno pravo na istragu, kao jedine izravno izabrane institucije koja predstavlja građane EU-a;</w:t>
      </w:r>
    </w:p>
    <w:p w14:paraId="30DEFC01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19.</w:t>
      </w:r>
      <w:r w:rsidRPr="004F4EF2">
        <w:tab/>
        <w:t xml:space="preserve">ističe ključnu ulogu parlamenata zemalja pristupnica EU-u u procesu pristupanja EU-u, posebno u donošenju zakonodavstva povezanog s pristupanjem, te naglašava važnost parlamentarne suradnje i postizanja konsenzusa o pitanjima pristupanja EU-u u tom pogledu; ponavlja da je Europski parlament spreman iskoristiti svoje političke i tehničke resurse kako bi pomogao parlamentima u zemljama pristupnicama da ostvare napredak u pogledu programa reformi povezanih s EU-om, među ostalim putem aktivnosti za potporu demokraciji; pozdravlja napredak postignut u nizu zemalja kandidatkinja, među ostalim putem aktivnosti posredovanja i postupka dijaloga „Jean </w:t>
      </w:r>
      <w:proofErr w:type="spellStart"/>
      <w:r w:rsidRPr="004F4EF2">
        <w:t>Monnet</w:t>
      </w:r>
      <w:proofErr w:type="spellEnd"/>
      <w:r w:rsidRPr="004F4EF2">
        <w:t>”;</w:t>
      </w:r>
    </w:p>
    <w:p w14:paraId="75767B7E" w14:textId="77777777" w:rsidR="00293748" w:rsidRPr="004F4EF2" w:rsidRDefault="00293748" w:rsidP="00293748">
      <w:pPr>
        <w:pStyle w:val="NormalHanging12a"/>
      </w:pPr>
      <w:r w:rsidRPr="004F4EF2">
        <w:t>20.</w:t>
      </w:r>
      <w:r w:rsidRPr="004F4EF2">
        <w:tab/>
        <w:t xml:space="preserve">naglašava da reforma postupka donošenja odluka u EU-u zahtijeva osnaživanje Parlamenta tako da ima ravnopravan položaj s Vijećem; ponavlja svoj poziv Parlamentu da stekne puno pravo na zakonodavnu inicijativu, tj. ovlast za uvođenje, izmjenu ili </w:t>
      </w:r>
      <w:r w:rsidRPr="004F4EF2">
        <w:lastRenderedPageBreak/>
        <w:t>stavljanje izvan snage prava Unije; uvjeren je da bi opće i izravno pravo inicijative dodatno ojačalo demokratski legitimitet EU-a i osnažilo njegove građane;</w:t>
      </w:r>
    </w:p>
    <w:p w14:paraId="5D6C7567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21.</w:t>
      </w:r>
      <w:r w:rsidRPr="004F4EF2">
        <w:tab/>
        <w:t>uviđa da izravna prava inicijative Parlamenta nisu dovoljna da bi Parlament mogao zastupati građane EU-a, civilno društvo i socijalne partnere u europskim institucijama, čime se Komisiji u praksi ostavlja monopol nad zakonodavnom inicijativom;</w:t>
      </w:r>
    </w:p>
    <w:p w14:paraId="24E0C829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22.</w:t>
      </w:r>
      <w:r w:rsidRPr="004F4EF2">
        <w:tab/>
        <w:t>naglašava da se Ugovorom iz Lisabona Parlamentu već dodjeljuju izravna prava inicijative tako što se priznaju njegova nadležnost za samoorganizaciju te nadzorna funkcija i demokratski legitimitet Parlamenta kao jedine izravno izabrane institucije EU-a;</w:t>
      </w:r>
    </w:p>
    <w:p w14:paraId="5E6B9B45" w14:textId="337A780B" w:rsidR="00293748" w:rsidRPr="004F4EF2" w:rsidRDefault="00293748" w:rsidP="00293748">
      <w:pPr>
        <w:pStyle w:val="NormalHanging12a"/>
      </w:pPr>
      <w:r w:rsidRPr="004F4EF2">
        <w:t>23.</w:t>
      </w:r>
      <w:r w:rsidRPr="004F4EF2">
        <w:tab/>
        <w:t>smatra da je ključno poboljšati transparentnost i demokratsku odgovornost Parlamenta jačanjem europske dimenzije izbora i utvrđivanjem jedinstvenih izbornih pravila diljem EU-a; poziva preostalu državu članicu da ratificira Odluku Vijeća 2018/994</w:t>
      </w:r>
      <w:r w:rsidRPr="004F4EF2">
        <w:rPr>
          <w:rStyle w:val="FootnoteReference"/>
        </w:rPr>
        <w:footnoteReference w:id="8"/>
      </w:r>
      <w:r w:rsidRPr="004F4EF2">
        <w:t>; poziva Vijeće da radi na prijedlozima iznesenima u stajalištu Parlamenta od 3. svibnja 2022.</w:t>
      </w:r>
      <w:r w:rsidRPr="004F4EF2">
        <w:rPr>
          <w:vertAlign w:val="superscript"/>
        </w:rPr>
        <w:footnoteReference w:id="9"/>
      </w:r>
      <w:r w:rsidRPr="004F4EF2">
        <w:t xml:space="preserve">; ponavlja svoj poziv Parlamentu i Vijeću da ostvare napredak u raspravama o uvođenju trajnog mehanizma za raspodjelu mjesta u Europskom parlamentu; </w:t>
      </w:r>
    </w:p>
    <w:p w14:paraId="61307FC1" w14:textId="77777777" w:rsidR="00293748" w:rsidRPr="004F4EF2" w:rsidRDefault="00293748" w:rsidP="00293748">
      <w:pPr>
        <w:pStyle w:val="Normal12a24b"/>
      </w:pPr>
      <w:r w:rsidRPr="004F4EF2">
        <w:rPr>
          <w:rStyle w:val="BoldItalic"/>
        </w:rPr>
        <w:t>Sredstva za provedbu institucijskih reformi prije proširenja</w:t>
      </w:r>
    </w:p>
    <w:p w14:paraId="1CA1F937" w14:textId="77777777" w:rsidR="00293748" w:rsidRPr="004F4EF2" w:rsidRDefault="00293748" w:rsidP="00293748">
      <w:pPr>
        <w:pStyle w:val="NormalHanging12a"/>
      </w:pPr>
      <w:r w:rsidRPr="004F4EF2">
        <w:t>24.</w:t>
      </w:r>
      <w:r w:rsidRPr="004F4EF2">
        <w:tab/>
        <w:t>smatra da se navedeni ciljevi institucijskih reformi prije proširenja mogu provesti različitim sredstvima, među ostalim aktiviranjem fleksibilnosti koje nude postojeći Ugovori, jednom ili više ciljanih izmjena Ugovora;</w:t>
      </w:r>
    </w:p>
    <w:p w14:paraId="0CE26E41" w14:textId="77777777" w:rsidR="00293748" w:rsidRPr="004F4EF2" w:rsidRDefault="00293748" w:rsidP="00293748">
      <w:pPr>
        <w:pStyle w:val="NormalHanging12a"/>
      </w:pPr>
      <w:r w:rsidRPr="004F4EF2">
        <w:t>25.</w:t>
      </w:r>
      <w:r w:rsidRPr="004F4EF2">
        <w:tab/>
        <w:t xml:space="preserve">podsjeća da je u postojećem pravnom okviru EU-a već dostupan niz instrumenata fleksibilnosti, kao što su </w:t>
      </w:r>
      <w:proofErr w:type="spellStart"/>
      <w:r w:rsidRPr="004F4EF2">
        <w:t>premošćujuće</w:t>
      </w:r>
      <w:proofErr w:type="spellEnd"/>
      <w:r w:rsidRPr="004F4EF2">
        <w:t xml:space="preserve"> klauzule, pojačana suradnja, konstruktivno suzdržavanje, stalna strukturirana suradnja (PESCO) i mehanizmi izuzeća, što je jasno vidljivo iz iskustva </w:t>
      </w:r>
      <w:proofErr w:type="spellStart"/>
      <w:r w:rsidRPr="004F4EF2">
        <w:t>schengenskog</w:t>
      </w:r>
      <w:proofErr w:type="spellEnd"/>
      <w:r w:rsidRPr="004F4EF2">
        <w:t xml:space="preserve"> područja, koje predstavlja jedno od najvećih postignuća EU-a, i jedinstvene valute; podsjeća da se u kontekstu postupaka pristupanja za određena područja politika može pregovarati o rješenjima za postupno uvođenje, privremenim odstupanjima i prijelaznim razdobljima;</w:t>
      </w:r>
    </w:p>
    <w:p w14:paraId="65AC5AB9" w14:textId="77777777" w:rsidR="00293748" w:rsidRPr="004F4EF2" w:rsidRDefault="00293748" w:rsidP="00293748">
      <w:pPr>
        <w:pStyle w:val="NormalHanging12a"/>
        <w:rPr>
          <w:bCs/>
          <w:iCs/>
        </w:rPr>
      </w:pPr>
      <w:r w:rsidRPr="004F4EF2">
        <w:t>26.</w:t>
      </w:r>
      <w:r w:rsidRPr="004F4EF2">
        <w:tab/>
        <w:t>ponovno ističe svoje stajalište da bi se diferencirana integracija uvijek trebala primjenjivati u okviru Ugovora, da bi trebala održavati jedinstvo institucija EU-a i da ne bi trebala dovoditi do stvaranja paralelnih institucionalnih mehanizama ili mehanizama kojima se neizravno krše duh i temeljna načela prava EU-a, nego bi se njome trebala omogućiti uspostava posebnih tijela kada je to prikladno, ne dovodeći u pitanje nadležnosti i ulogu institucija i tijela Unije;</w:t>
      </w:r>
    </w:p>
    <w:p w14:paraId="2021645E" w14:textId="77777777" w:rsidR="00293748" w:rsidRPr="004F4EF2" w:rsidRDefault="00293748" w:rsidP="00293748">
      <w:pPr>
        <w:pStyle w:val="NormalHanging12a"/>
        <w:tabs>
          <w:tab w:val="left" w:pos="709"/>
        </w:tabs>
      </w:pPr>
      <w:r w:rsidRPr="004F4EF2">
        <w:lastRenderedPageBreak/>
        <w:t>27.</w:t>
      </w:r>
      <w:r w:rsidRPr="004F4EF2">
        <w:tab/>
        <w:t>ističe da fleksibilnosti predviđene postojećim Ugovorima omogućuju da se učini više za napredak prema europskoj obrambenoj uniji, bez potrebe za sveobuhvatnim postupkom reforme Ugovora; ističe da će za uspostavu stalne europske obrambene unije u konačnici biti potrebna jednoglasna odluka u skladu s člankom 42. stavkom 2.;</w:t>
      </w:r>
    </w:p>
    <w:p w14:paraId="3C1438F9" w14:textId="77777777" w:rsidR="00293748" w:rsidRPr="004F4EF2" w:rsidRDefault="00293748" w:rsidP="00293748">
      <w:pPr>
        <w:pStyle w:val="NormalHanging12a"/>
      </w:pPr>
      <w:r w:rsidRPr="004F4EF2">
        <w:t>28.</w:t>
      </w:r>
      <w:r w:rsidRPr="004F4EF2">
        <w:tab/>
        <w:t>naglašava da u području obrane PESCO (bivši članak 46. UEU-a) omogućuje skupini država članica da napreduju prema stvaranju europskog obrambenog sustava; napominje da, unatoč činjenici da se PESCO uglavnom koristio za industrijske obrambene projekte, on ima širi potencijal da državama članicama koje to žele omogući institucionalizaciju zajedničke obrane bez odgode, čak i u nedostatku jednoglasnosti u Europskom vijeću;</w:t>
      </w:r>
    </w:p>
    <w:p w14:paraId="6EDA8597" w14:textId="77777777" w:rsidR="00293748" w:rsidRPr="004F4EF2" w:rsidRDefault="00293748" w:rsidP="00293748">
      <w:pPr>
        <w:pStyle w:val="NormalHanging12a"/>
      </w:pPr>
      <w:r w:rsidRPr="004F4EF2">
        <w:t>29.</w:t>
      </w:r>
      <w:r w:rsidRPr="004F4EF2">
        <w:tab/>
        <w:t>naglašava da bi se, u skladu s postojećim odredbama Ugovora, odlukom donesenom kvalificiranom većinom omogućilo stvaranje europskog obrambenog sustava u skladu s člankom 42. stavkom 6. UEU-a i člankom 1. točkom (b) Protokola br. 10, dok bi se ostale države članice mogle pridružiti u kasnijoj fazi, kao što je bio slučaj s ekonomskom i monetarnom unijom; u tom pogledu poziva Komisiju i države članice koje su voljne da u tu svrhu bez odgode aktiviraju odredbe PESCO-a;</w:t>
      </w:r>
    </w:p>
    <w:p w14:paraId="586529E2" w14:textId="7CB19E1F" w:rsidR="00293748" w:rsidRPr="004F4EF2" w:rsidRDefault="00293748" w:rsidP="00293748">
      <w:pPr>
        <w:pStyle w:val="NormalHanging12a"/>
        <w:rPr>
          <w:bCs/>
          <w:iCs/>
        </w:rPr>
      </w:pPr>
      <w:r w:rsidRPr="004F4EF2">
        <w:t>3</w:t>
      </w:r>
      <w:r w:rsidR="001A6E1B">
        <w:t>0</w:t>
      </w:r>
      <w:r w:rsidRPr="004F4EF2">
        <w:t>.</w:t>
      </w:r>
      <w:r w:rsidRPr="004F4EF2">
        <w:tab/>
        <w:t>poziva Komisiju i Vijeće da jasno priopće rezultate preispitivanja politika i da u suradnji s Parlamentom razviju realističan i postupan plan za provedbu potrebnih institucionalnih reformi zajedno s procesom proširenja;</w:t>
      </w:r>
    </w:p>
    <w:p w14:paraId="3C04AFC0" w14:textId="77777777" w:rsidR="00293748" w:rsidRPr="004F4EF2" w:rsidRDefault="00293748" w:rsidP="00293748">
      <w:pPr>
        <w:pStyle w:val="NormalHanging12a"/>
        <w:jc w:val="center"/>
        <w:rPr>
          <w:bCs/>
          <w:iCs/>
        </w:rPr>
      </w:pPr>
      <w:r w:rsidRPr="004F4EF2">
        <w:t>°</w:t>
      </w:r>
    </w:p>
    <w:p w14:paraId="1AD71AC4" w14:textId="77777777" w:rsidR="00293748" w:rsidRPr="004F4EF2" w:rsidRDefault="00293748" w:rsidP="00293748">
      <w:pPr>
        <w:pStyle w:val="NormalHanging12a"/>
        <w:jc w:val="center"/>
        <w:rPr>
          <w:bCs/>
          <w:iCs/>
        </w:rPr>
      </w:pPr>
      <w:r w:rsidRPr="004F4EF2">
        <w:t>°</w:t>
      </w:r>
      <w:r w:rsidRPr="004F4EF2">
        <w:tab/>
        <w:t>°</w:t>
      </w:r>
    </w:p>
    <w:p w14:paraId="492A85A7" w14:textId="450C07CB" w:rsidR="00CE3C92" w:rsidRPr="004F4EF2" w:rsidRDefault="00293748" w:rsidP="00CE3C92">
      <w:pPr>
        <w:pStyle w:val="NormalHanging12a"/>
      </w:pPr>
      <w:r w:rsidRPr="004F4EF2">
        <w:t>3</w:t>
      </w:r>
      <w:r w:rsidR="001A6E1B">
        <w:t>1</w:t>
      </w:r>
      <w:r w:rsidRPr="004F4EF2">
        <w:t>.</w:t>
      </w:r>
      <w:r w:rsidRPr="004F4EF2">
        <w:tab/>
        <w:t>nalaže svojoj predsjednici da ovu Rezoluciju proslijedi Vijeću i Komisiji.</w:t>
      </w:r>
    </w:p>
    <w:p w14:paraId="50BAD42F" w14:textId="0F6B1205" w:rsidR="00E365E1" w:rsidRPr="004F4EF2" w:rsidRDefault="00E365E1" w:rsidP="00300F48"/>
    <w:sectPr w:rsidR="00E365E1" w:rsidRPr="004F4EF2" w:rsidSect="00CE3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AE5A5" w14:textId="77777777" w:rsidR="00300F48" w:rsidRPr="00CE3C92" w:rsidRDefault="00300F48">
      <w:r w:rsidRPr="00CE3C92">
        <w:separator/>
      </w:r>
    </w:p>
  </w:endnote>
  <w:endnote w:type="continuationSeparator" w:id="0">
    <w:p w14:paraId="7FE2A023" w14:textId="77777777" w:rsidR="00300F48" w:rsidRPr="00CE3C92" w:rsidRDefault="00300F48">
      <w:r w:rsidRPr="00CE3C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AD9F9" w14:textId="77777777" w:rsidR="00064002" w:rsidRPr="00CE3C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D740" w14:textId="77777777" w:rsidR="00064002" w:rsidRPr="00CE3C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6359E" w14:textId="77777777" w:rsidR="00064002" w:rsidRPr="00CE3C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FAD43" w14:textId="77777777" w:rsidR="00300F48" w:rsidRPr="00CE3C92" w:rsidRDefault="00300F48">
      <w:r w:rsidRPr="00CE3C92">
        <w:separator/>
      </w:r>
    </w:p>
  </w:footnote>
  <w:footnote w:type="continuationSeparator" w:id="0">
    <w:p w14:paraId="56CD85C6" w14:textId="77777777" w:rsidR="00300F48" w:rsidRPr="00CE3C92" w:rsidRDefault="00300F48">
      <w:r w:rsidRPr="00CE3C92">
        <w:continuationSeparator/>
      </w:r>
    </w:p>
  </w:footnote>
  <w:footnote w:id="1">
    <w:p w14:paraId="29F3D5C9" w14:textId="10380578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>SL C 252, 18.7.2018., str. 215.</w:t>
      </w:r>
    </w:p>
  </w:footnote>
  <w:footnote w:id="2">
    <w:p w14:paraId="0A5D524B" w14:textId="04B9052A" w:rsidR="00293748" w:rsidRPr="00FB4062" w:rsidRDefault="00293748" w:rsidP="00CE3C92">
      <w:pPr>
        <w:pStyle w:val="FootnoteText"/>
        <w:ind w:left="567" w:hanging="567"/>
        <w:rPr>
          <w:sz w:val="24"/>
          <w:lang w:val="fi-FI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 xml:space="preserve">SL C, C/2024/3996, 17.7.2024., ELI: </w:t>
      </w:r>
      <w:hyperlink r:id="rId1" w:history="1">
        <w:r w:rsidR="00FB4062" w:rsidRPr="00FB4062">
          <w:rPr>
            <w:rStyle w:val="Hyperlink"/>
            <w:sz w:val="24"/>
            <w:lang w:val="fi-FI"/>
          </w:rPr>
          <w:t>http://data.europa.eu/eli/C/2024/3996/oj</w:t>
        </w:r>
      </w:hyperlink>
      <w:r w:rsidR="00FB4062" w:rsidRPr="00FB4062">
        <w:rPr>
          <w:sz w:val="24"/>
          <w:lang w:val="fi-FI"/>
        </w:rPr>
        <w:t>.</w:t>
      </w:r>
    </w:p>
  </w:footnote>
  <w:footnote w:id="3">
    <w:p w14:paraId="392ACBA8" w14:textId="36A18169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>SL C 465, 6.12.2022., str. 109.</w:t>
      </w:r>
    </w:p>
  </w:footnote>
  <w:footnote w:id="4">
    <w:p w14:paraId="39D3BFA7" w14:textId="0F542689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>SL C 493, 27.12.2022., str. 130.</w:t>
      </w:r>
    </w:p>
  </w:footnote>
  <w:footnote w:id="5">
    <w:p w14:paraId="0B6C386C" w14:textId="137A7DA2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 xml:space="preserve">SL C, C/2024/4216, 24.7.2024., ELI: </w:t>
      </w:r>
      <w:hyperlink r:id="rId2" w:history="1">
        <w:r w:rsidRPr="004F4EF2">
          <w:rPr>
            <w:rStyle w:val="Hyperlink"/>
            <w:sz w:val="24"/>
            <w:lang w:val="hr-HR"/>
          </w:rPr>
          <w:t>http://data.europa.eu/eli/C/2024/4216/oj</w:t>
        </w:r>
      </w:hyperlink>
    </w:p>
  </w:footnote>
  <w:footnote w:id="6">
    <w:p w14:paraId="51BD370A" w14:textId="6FCF1C80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 xml:space="preserve">SL C, C/2024/6746, 26.11.2024., ELI: </w:t>
      </w:r>
      <w:hyperlink r:id="rId3" w:history="1">
        <w:r w:rsidRPr="004F4EF2">
          <w:rPr>
            <w:rStyle w:val="Hyperlink"/>
            <w:sz w:val="24"/>
            <w:lang w:val="hr-HR"/>
          </w:rPr>
          <w:t>http://data.europa.eu/eli/C/2024/6746/oj</w:t>
        </w:r>
      </w:hyperlink>
    </w:p>
  </w:footnote>
  <w:footnote w:id="7">
    <w:p w14:paraId="62F55020" w14:textId="1573D709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>Usvojeni tekstovi, P10_TA(2025)0090.</w:t>
      </w:r>
    </w:p>
  </w:footnote>
  <w:footnote w:id="8">
    <w:p w14:paraId="780FBF20" w14:textId="4B2522C8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>Odluka Vijeća (EU, Euratom) 2018/994 od 13. srpnja 2018. o izmjeni Akta o izboru članova Europskog parlamenta neposrednim općim izborima, priloženog Odluci Vijeća 76/787/EZUČ, EEZ, Euratom od 20. rujna 1976. (SL L 178, 16.7.2018., str. </w:t>
      </w:r>
      <w:r w:rsidRPr="00CE3C92">
        <w:rPr>
          <w:sz w:val="24"/>
          <w:lang w:val="hr-HR"/>
        </w:rPr>
        <w:t>1., ELI: </w:t>
      </w:r>
      <w:hyperlink r:id="rId4" w:tooltip="Omogućuje pristup tom dokumentu preko identifikatora ELI URI." w:history="1">
        <w:r w:rsidRPr="00CE3C92">
          <w:rPr>
            <w:rStyle w:val="Hyperlink"/>
            <w:sz w:val="24"/>
            <w:lang w:val="hr-HR"/>
          </w:rPr>
          <w:t>http://data.europa.eu/eli/dec/2018/994/oj</w:t>
        </w:r>
      </w:hyperlink>
      <w:r w:rsidRPr="00CE3C92">
        <w:rPr>
          <w:sz w:val="24"/>
          <w:lang w:val="hr-HR"/>
        </w:rPr>
        <w:t>).</w:t>
      </w:r>
    </w:p>
  </w:footnote>
  <w:footnote w:id="9">
    <w:p w14:paraId="0F243739" w14:textId="2068EFCA" w:rsidR="00293748" w:rsidRPr="00CE3C92" w:rsidRDefault="00293748" w:rsidP="00CE3C92">
      <w:pPr>
        <w:pStyle w:val="FootnoteText"/>
        <w:ind w:left="567" w:hanging="567"/>
        <w:rPr>
          <w:sz w:val="24"/>
          <w:lang w:val="hr-HR"/>
        </w:rPr>
      </w:pPr>
      <w:r w:rsidRPr="00CE3C92">
        <w:rPr>
          <w:rStyle w:val="FootnoteReference"/>
          <w:sz w:val="24"/>
          <w:lang w:val="hr-HR"/>
        </w:rPr>
        <w:footnoteRef/>
      </w:r>
      <w:r w:rsidR="00CE3C92" w:rsidRPr="00CE3C92">
        <w:rPr>
          <w:sz w:val="24"/>
          <w:lang w:val="hr-HR"/>
        </w:rPr>
        <w:t xml:space="preserve"> </w:t>
      </w:r>
      <w:r w:rsidR="00CE3C92" w:rsidRPr="00CE3C92">
        <w:rPr>
          <w:sz w:val="24"/>
          <w:lang w:val="hr-HR"/>
        </w:rPr>
        <w:tab/>
      </w:r>
      <w:r w:rsidRPr="00CE3C92">
        <w:rPr>
          <w:sz w:val="24"/>
          <w:lang w:val="hr-HR"/>
        </w:rPr>
        <w:t>Zakonodavna rezolucija Europskog parlamenta od 3. svibnja 2022. o Prijedlogu uredbe o izboru članova Europskog parlamenta neposrednim općim izborima, stavljanju izvan snage Odluke Vijeća (76/787/EZUČ, EEZ, Euratom) i Akta o izboru članova Europskog parlamenta neposrednim općim izborima priloženog toj Odluci (SL C 465, 6.12.2022., str. 171.).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0CD8" w14:textId="77777777" w:rsidR="00064002" w:rsidRPr="00CE3C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01A3" w14:textId="77777777" w:rsidR="00064002" w:rsidRPr="00CE3C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419B4" w14:textId="77777777" w:rsidR="00064002" w:rsidRPr="00CE3C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9152126">
    <w:abstractNumId w:val="9"/>
  </w:num>
  <w:num w:numId="2" w16cid:durableId="1167865992">
    <w:abstractNumId w:val="9"/>
  </w:num>
  <w:num w:numId="3" w16cid:durableId="708606384">
    <w:abstractNumId w:val="7"/>
  </w:num>
  <w:num w:numId="4" w16cid:durableId="1568950552">
    <w:abstractNumId w:val="7"/>
  </w:num>
  <w:num w:numId="5" w16cid:durableId="586618670">
    <w:abstractNumId w:val="6"/>
  </w:num>
  <w:num w:numId="6" w16cid:durableId="524517002">
    <w:abstractNumId w:val="6"/>
  </w:num>
  <w:num w:numId="7" w16cid:durableId="1155800307">
    <w:abstractNumId w:val="5"/>
  </w:num>
  <w:num w:numId="8" w16cid:durableId="1059934370">
    <w:abstractNumId w:val="5"/>
  </w:num>
  <w:num w:numId="9" w16cid:durableId="1232500245">
    <w:abstractNumId w:val="4"/>
  </w:num>
  <w:num w:numId="10" w16cid:durableId="1227451769">
    <w:abstractNumId w:val="4"/>
  </w:num>
  <w:num w:numId="11" w16cid:durableId="537469053">
    <w:abstractNumId w:val="8"/>
  </w:num>
  <w:num w:numId="12" w16cid:durableId="1757167334">
    <w:abstractNumId w:val="8"/>
  </w:num>
  <w:num w:numId="13" w16cid:durableId="1721050729">
    <w:abstractNumId w:val="3"/>
  </w:num>
  <w:num w:numId="14" w16cid:durableId="1161772086">
    <w:abstractNumId w:val="3"/>
  </w:num>
  <w:num w:numId="15" w16cid:durableId="1352098924">
    <w:abstractNumId w:val="2"/>
  </w:num>
  <w:num w:numId="16" w16cid:durableId="717975151">
    <w:abstractNumId w:val="2"/>
  </w:num>
  <w:num w:numId="17" w16cid:durableId="600340943">
    <w:abstractNumId w:val="1"/>
  </w:num>
  <w:num w:numId="18" w16cid:durableId="456682304">
    <w:abstractNumId w:val="1"/>
  </w:num>
  <w:num w:numId="19" w16cid:durableId="1403139740">
    <w:abstractNumId w:val="0"/>
  </w:num>
  <w:num w:numId="20" w16cid:durableId="691998629">
    <w:abstractNumId w:val="0"/>
  </w:num>
  <w:num w:numId="21" w16cid:durableId="730931124">
    <w:abstractNumId w:val="9"/>
  </w:num>
  <w:num w:numId="22" w16cid:durableId="2023391059">
    <w:abstractNumId w:val="7"/>
  </w:num>
  <w:num w:numId="23" w16cid:durableId="2125028315">
    <w:abstractNumId w:val="6"/>
  </w:num>
  <w:num w:numId="24" w16cid:durableId="1743063356">
    <w:abstractNumId w:val="5"/>
  </w:num>
  <w:num w:numId="25" w16cid:durableId="175462823">
    <w:abstractNumId w:val="4"/>
  </w:num>
  <w:num w:numId="26" w16cid:durableId="360741625">
    <w:abstractNumId w:val="8"/>
  </w:num>
  <w:num w:numId="27" w16cid:durableId="369693063">
    <w:abstractNumId w:val="3"/>
  </w:num>
  <w:num w:numId="28" w16cid:durableId="606619217">
    <w:abstractNumId w:val="2"/>
  </w:num>
  <w:num w:numId="29" w16cid:durableId="641882252">
    <w:abstractNumId w:val="1"/>
  </w:num>
  <w:num w:numId="30" w16cid:durableId="1004472495">
    <w:abstractNumId w:val="0"/>
  </w:num>
  <w:num w:numId="31" w16cid:durableId="153113305">
    <w:abstractNumId w:val="9"/>
  </w:num>
  <w:num w:numId="32" w16cid:durableId="1216818436">
    <w:abstractNumId w:val="7"/>
  </w:num>
  <w:num w:numId="33" w16cid:durableId="8921024">
    <w:abstractNumId w:val="6"/>
  </w:num>
  <w:num w:numId="34" w16cid:durableId="642737112">
    <w:abstractNumId w:val="5"/>
  </w:num>
  <w:num w:numId="35" w16cid:durableId="539050159">
    <w:abstractNumId w:val="4"/>
  </w:num>
  <w:num w:numId="36" w16cid:durableId="704720321">
    <w:abstractNumId w:val="8"/>
  </w:num>
  <w:num w:numId="37" w16cid:durableId="536821386">
    <w:abstractNumId w:val="3"/>
  </w:num>
  <w:num w:numId="38" w16cid:durableId="878666119">
    <w:abstractNumId w:val="2"/>
  </w:num>
  <w:num w:numId="39" w16cid:durableId="322510460">
    <w:abstractNumId w:val="1"/>
  </w:num>
  <w:num w:numId="40" w16cid:durableId="1462767510">
    <w:abstractNumId w:val="0"/>
  </w:num>
  <w:num w:numId="41" w16cid:durableId="947814057">
    <w:abstractNumId w:val="10"/>
  </w:num>
  <w:num w:numId="42" w16cid:durableId="1268467812">
    <w:abstractNumId w:val="10"/>
  </w:num>
  <w:num w:numId="43" w16cid:durableId="263420881">
    <w:abstractNumId w:val="10"/>
  </w:num>
  <w:num w:numId="44" w16cid:durableId="8348849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7/2025"/>
    <w:docVar w:name="dvlangue" w:val="HR"/>
    <w:docVar w:name="dvnumam" w:val="0"/>
    <w:docVar w:name="dvpe" w:val="774.293"/>
    <w:docVar w:name="dvrapporteur" w:val="Izvjestitelj: "/>
    <w:docVar w:name="dvtitre" w:val="Rezolucija Europskog parlamenta od .... 2025. o institucionalnim posljedicama pregovora o proširenju EU-a(2025/2041(INI))"/>
  </w:docVars>
  <w:rsids>
    <w:rsidRoot w:val="00300F48"/>
    <w:rsid w:val="00002272"/>
    <w:rsid w:val="00064002"/>
    <w:rsid w:val="000677B9"/>
    <w:rsid w:val="000831BA"/>
    <w:rsid w:val="00095055"/>
    <w:rsid w:val="000A42CC"/>
    <w:rsid w:val="000E7DD9"/>
    <w:rsid w:val="0010095E"/>
    <w:rsid w:val="00125B37"/>
    <w:rsid w:val="00187494"/>
    <w:rsid w:val="001A6E1B"/>
    <w:rsid w:val="001F32AE"/>
    <w:rsid w:val="002767FF"/>
    <w:rsid w:val="00293748"/>
    <w:rsid w:val="002B18FE"/>
    <w:rsid w:val="002B5493"/>
    <w:rsid w:val="00300F48"/>
    <w:rsid w:val="0031603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EF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660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ACD"/>
    <w:rsid w:val="00981893"/>
    <w:rsid w:val="00A1687D"/>
    <w:rsid w:val="00A43E52"/>
    <w:rsid w:val="00A4678D"/>
    <w:rsid w:val="00A778C7"/>
    <w:rsid w:val="00AB441E"/>
    <w:rsid w:val="00AB6293"/>
    <w:rsid w:val="00AB64B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C9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06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3ED10"/>
  <w15:chartTrackingRefBased/>
  <w15:docId w15:val="{10571DC1-3AA8-4A25-87FE-C481CFE8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374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293748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293748"/>
    <w:rPr>
      <w:b/>
      <w:i/>
      <w:u w:val="none"/>
    </w:rPr>
  </w:style>
  <w:style w:type="character" w:customStyle="1" w:styleId="Italic">
    <w:name w:val="Italic"/>
    <w:uiPriority w:val="1"/>
    <w:rsid w:val="00293748"/>
    <w:rPr>
      <w:i/>
    </w:rPr>
  </w:style>
  <w:style w:type="paragraph" w:customStyle="1" w:styleId="Normal12a24b">
    <w:name w:val="Normal12a24b"/>
    <w:basedOn w:val="Normal"/>
    <w:rsid w:val="0029374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29374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93748"/>
    <w:rPr>
      <w:snapToGrid w:val="0"/>
      <w:sz w:val="24"/>
      <w:lang w:val="hr-H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F4EF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6E1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C/2024/3996/oj" TargetMode="External"/><Relationship Id="rId4" Type="http://schemas.openxmlformats.org/officeDocument/2006/relationships/hyperlink" Target="http://data.europa.eu/eli/dec/2018/9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3460</Words>
  <Characters>21191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2025-10-22T14:03:00Z</dcterms:created>
  <dcterms:modified xsi:type="dcterms:W3CDTF">2025-10-22T14:03:00Z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A10-0177/2025</vt:lpwstr>
  </property>
  <property fmtid="{D5CDD505-2E9C-101B-9397-08002B2CF9AE}" pid="4" name="&lt;Type&gt;">
    <vt:lpwstr>RR</vt:lpwstr>
  </property>
</Properties>
</file>