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4B6F" w14:paraId="3277D0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DC0ACA" w14:textId="77777777" w:rsidR="00751A4A" w:rsidRPr="00A74B6F" w:rsidRDefault="00A661E2" w:rsidP="0010095E">
            <w:pPr>
              <w:pStyle w:val="EPName"/>
            </w:pPr>
            <w:r w:rsidRPr="00A74B6F">
              <w:t>Parlament Europejski</w:t>
            </w:r>
          </w:p>
          <w:p w14:paraId="5696B588" w14:textId="77777777" w:rsidR="00751A4A" w:rsidRPr="00A74B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4B6F">
              <w:t>2024</w:t>
            </w:r>
            <w:r w:rsidR="00817416" w:rsidRPr="00A74B6F">
              <w:t>-202</w:t>
            </w:r>
            <w:r w:rsidRPr="00A74B6F">
              <w:t>9</w:t>
            </w:r>
          </w:p>
        </w:tc>
        <w:tc>
          <w:tcPr>
            <w:tcW w:w="2268" w:type="dxa"/>
            <w:shd w:val="clear" w:color="auto" w:fill="auto"/>
          </w:tcPr>
          <w:p w14:paraId="6EBF0D8D" w14:textId="77777777" w:rsidR="00751A4A" w:rsidRPr="00A74B6F" w:rsidRDefault="00187494" w:rsidP="0010095E">
            <w:pPr>
              <w:pStyle w:val="EPLogo"/>
            </w:pPr>
            <w:r w:rsidRPr="00A74B6F">
              <w:rPr>
                <w:noProof/>
                <w:lang w:eastAsia="ja-JP"/>
              </w:rPr>
              <w:drawing>
                <wp:inline distT="0" distB="0" distL="0" distR="0" wp14:anchorId="49E594FA" wp14:editId="079113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DAA28" w14:textId="77777777" w:rsidR="00D058B8" w:rsidRPr="00A74B6F" w:rsidRDefault="00D058B8" w:rsidP="004C5D52">
      <w:pPr>
        <w:pStyle w:val="LineTop"/>
      </w:pPr>
    </w:p>
    <w:p w14:paraId="0AC59F8B" w14:textId="77777777" w:rsidR="00680577" w:rsidRPr="00A74B6F" w:rsidRDefault="00A661E2" w:rsidP="00680577">
      <w:pPr>
        <w:pStyle w:val="EPBodyTA1"/>
      </w:pPr>
      <w:r w:rsidRPr="00A74B6F">
        <w:t>TEKSTY PRZYJĘTE</w:t>
      </w:r>
    </w:p>
    <w:p w14:paraId="5A865742" w14:textId="77777777" w:rsidR="00D058B8" w:rsidRPr="00A74B6F" w:rsidRDefault="00D058B8" w:rsidP="00D058B8">
      <w:pPr>
        <w:pStyle w:val="LineBottom"/>
      </w:pPr>
    </w:p>
    <w:p w14:paraId="6ECE6EEB" w14:textId="2EF5FBC8" w:rsidR="00A661E2" w:rsidRPr="00A74B6F" w:rsidRDefault="00A661E2" w:rsidP="00A661E2">
      <w:pPr>
        <w:pStyle w:val="ATHeading1"/>
      </w:pPr>
      <w:bookmarkStart w:id="0" w:name="TANumber"/>
      <w:r w:rsidRPr="00A74B6F">
        <w:t>P10_</w:t>
      </w:r>
      <w:proofErr w:type="gramStart"/>
      <w:r w:rsidRPr="00A74B6F">
        <w:t>TA(</w:t>
      </w:r>
      <w:proofErr w:type="gramEnd"/>
      <w:r w:rsidRPr="00A74B6F">
        <w:t>2025)0</w:t>
      </w:r>
      <w:bookmarkEnd w:id="0"/>
      <w:r w:rsidR="00502E8E">
        <w:t>247</w:t>
      </w:r>
    </w:p>
    <w:p w14:paraId="00821573" w14:textId="6ACEF95C" w:rsidR="00A661E2" w:rsidRPr="00575477" w:rsidRDefault="00575477" w:rsidP="00A661E2">
      <w:pPr>
        <w:pStyle w:val="ATHeading2"/>
      </w:pPr>
      <w:r w:rsidRPr="00575477">
        <w:t>Skutki instytucjonalne negocjacji w sprawie rozszerzenia UE</w:t>
      </w:r>
    </w:p>
    <w:p w14:paraId="197D9BCB" w14:textId="77777777" w:rsidR="00A661E2" w:rsidRPr="00A74B6F" w:rsidRDefault="00A661E2" w:rsidP="00A661E2">
      <w:pPr>
        <w:rPr>
          <w:i/>
          <w:vanish/>
        </w:rPr>
      </w:pPr>
      <w:r w:rsidRPr="00A74B6F">
        <w:rPr>
          <w:i/>
        </w:rPr>
        <w:fldChar w:fldCharType="begin"/>
      </w:r>
      <w:r w:rsidRPr="00A74B6F">
        <w:rPr>
          <w:i/>
        </w:rPr>
        <w:instrText xml:space="preserve"> TC"(</w:instrText>
      </w:r>
      <w:bookmarkStart w:id="1" w:name="DocNumber"/>
      <w:r w:rsidRPr="00A74B6F">
        <w:rPr>
          <w:i/>
        </w:rPr>
        <w:instrText>A10-0177/2025</w:instrText>
      </w:r>
      <w:bookmarkEnd w:id="1"/>
      <w:r w:rsidRPr="00A74B6F">
        <w:rPr>
          <w:i/>
        </w:rPr>
        <w:instrText xml:space="preserve"> - Sprawozdawca: Sandro </w:instrText>
      </w:r>
      <w:proofErr w:type="spellStart"/>
      <w:r w:rsidRPr="00A74B6F">
        <w:rPr>
          <w:i/>
        </w:rPr>
        <w:instrText>Gozi</w:instrText>
      </w:r>
      <w:proofErr w:type="spellEnd"/>
      <w:r w:rsidRPr="00A74B6F">
        <w:rPr>
          <w:i/>
        </w:rPr>
        <w:instrText xml:space="preserve">)"\l3 \n&gt; \* MERGEFORMAT </w:instrText>
      </w:r>
      <w:r w:rsidRPr="00A74B6F">
        <w:rPr>
          <w:i/>
        </w:rPr>
        <w:fldChar w:fldCharType="end"/>
      </w:r>
    </w:p>
    <w:p w14:paraId="02CE8B60" w14:textId="77777777" w:rsidR="00A661E2" w:rsidRPr="00A74B6F" w:rsidRDefault="00A661E2" w:rsidP="00A661E2">
      <w:pPr>
        <w:rPr>
          <w:vanish/>
        </w:rPr>
      </w:pPr>
      <w:bookmarkStart w:id="2" w:name="Commission"/>
      <w:r w:rsidRPr="00A74B6F">
        <w:rPr>
          <w:vanish/>
        </w:rPr>
        <w:t>Komisja Spraw Konstytucyjnych</w:t>
      </w:r>
      <w:bookmarkEnd w:id="2"/>
    </w:p>
    <w:p w14:paraId="48C58B93" w14:textId="77777777" w:rsidR="00A661E2" w:rsidRPr="00A74B6F" w:rsidRDefault="00A661E2" w:rsidP="00A661E2">
      <w:pPr>
        <w:rPr>
          <w:vanish/>
        </w:rPr>
      </w:pPr>
      <w:bookmarkStart w:id="3" w:name="PE"/>
      <w:r w:rsidRPr="00A74B6F">
        <w:rPr>
          <w:vanish/>
        </w:rPr>
        <w:t>PE774.293</w:t>
      </w:r>
      <w:bookmarkEnd w:id="3"/>
    </w:p>
    <w:p w14:paraId="5D88503F" w14:textId="113B3A01" w:rsidR="00A661E2" w:rsidRPr="00A74B6F" w:rsidRDefault="00A661E2" w:rsidP="00A661E2">
      <w:pPr>
        <w:pStyle w:val="ATHeading3"/>
      </w:pPr>
      <w:bookmarkStart w:id="4" w:name="Sujet"/>
      <w:r w:rsidRPr="00A74B6F">
        <w:t xml:space="preserve">Rezolucja Parlamentu Europejskiego z dnia </w:t>
      </w:r>
      <w:r w:rsidR="00575477">
        <w:t>22 października</w:t>
      </w:r>
      <w:r w:rsidRPr="00A74B6F">
        <w:t xml:space="preserve"> 2025 r. w sprawie skutków instytucjonalnych negocjacji w sprawie rozszerzenia UE</w:t>
      </w:r>
      <w:bookmarkEnd w:id="4"/>
      <w:r w:rsidRPr="00A74B6F">
        <w:t xml:space="preserve"> </w:t>
      </w:r>
      <w:bookmarkStart w:id="5" w:name="References"/>
      <w:r w:rsidRPr="00A74B6F">
        <w:t>(2025/2041(INI))</w:t>
      </w:r>
      <w:bookmarkEnd w:id="5"/>
    </w:p>
    <w:p w14:paraId="6D0B2ED8" w14:textId="77777777" w:rsidR="00503D37" w:rsidRPr="00A74B6F" w:rsidRDefault="00503D37" w:rsidP="00503D37">
      <w:pPr>
        <w:pStyle w:val="EPComma"/>
      </w:pPr>
      <w:r w:rsidRPr="00A74B6F">
        <w:rPr>
          <w:rStyle w:val="Italic"/>
        </w:rPr>
        <w:t>Parlament Europejski,</w:t>
      </w:r>
    </w:p>
    <w:p w14:paraId="611105E9" w14:textId="77777777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>uwzględniając Traktat o Unii Europejskiej (TUE), w szczególności jego art. 31 ust. 3, art. 48 i 49,</w:t>
      </w:r>
    </w:p>
    <w:p w14:paraId="651C95C8" w14:textId="77777777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>uwzględniając Traktat o funkcjonowaniu Unii Europejskiej, w szczególności jego art. 81 ust. 3, art. 83, 136, art. 153 ust. 2, art. 192 ust. 2, art. 312 ust. 2 i art. 333,</w:t>
      </w:r>
    </w:p>
    <w:p w14:paraId="14AB0734" w14:textId="77777777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>uwzględniając konkluzje Rady Europejskiej z 23–24 czerwca 2022 r., 29–30 czerwca 2023 r., 26–27 października 2023 r., 14–15 grudnia 2023 r. i 27 czerwca 2024 r.,</w:t>
      </w:r>
    </w:p>
    <w:p w14:paraId="00401ECD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–</w:t>
      </w:r>
      <w:r w:rsidRPr="00A74B6F">
        <w:tab/>
        <w:t>uwzględniając Deklarację z Grenady przyjętą przez Radę Europejską 6 października 2023 r.,</w:t>
      </w:r>
    </w:p>
    <w:p w14:paraId="36EA47D5" w14:textId="5CDA8E6E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przygotowane przez prezydencję Rady sprawozdanie z postępów prac nad przyszłością Europy z </w:t>
      </w:r>
      <w:r w:rsidR="00575477">
        <w:t xml:space="preserve">dnia </w:t>
      </w:r>
      <w:r w:rsidRPr="00A74B6F">
        <w:t>10 czerwca 2024 r.,</w:t>
      </w:r>
    </w:p>
    <w:p w14:paraId="54D29A69" w14:textId="0DBD1B4A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komunikat Komisji z </w:t>
      </w:r>
      <w:r w:rsidR="00575477">
        <w:t xml:space="preserve">dnia </w:t>
      </w:r>
      <w:r w:rsidRPr="00A74B6F">
        <w:t>23 marca 2024 r. w sprawie reform poprzedzających rozszerzenie oraz przeglądów polityki (</w:t>
      </w:r>
      <w:proofErr w:type="gramStart"/>
      <w:r w:rsidRPr="00575477">
        <w:t>COM(</w:t>
      </w:r>
      <w:proofErr w:type="gramEnd"/>
      <w:r w:rsidRPr="00575477">
        <w:t>2024)0146</w:t>
      </w:r>
      <w:r w:rsidRPr="00A74B6F">
        <w:t>),</w:t>
      </w:r>
    </w:p>
    <w:p w14:paraId="2E7A82D1" w14:textId="2ACC8F9F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swoje rezolucje z </w:t>
      </w:r>
      <w:r w:rsidR="00575477">
        <w:t xml:space="preserve">dnia </w:t>
      </w:r>
      <w:r w:rsidRPr="00A74B6F">
        <w:t>16 lutego 2017 r. w sprawie poprawy funkcjonowania Unii Europejskiej dzięki wykorzystaniu potencjału Traktatu z Lizbony</w:t>
      </w:r>
      <w:r w:rsidRPr="00A74B6F">
        <w:rPr>
          <w:rStyle w:val="FootnoteReference"/>
        </w:rPr>
        <w:footnoteReference w:id="1"/>
      </w:r>
      <w:r w:rsidRPr="00A74B6F">
        <w:t xml:space="preserve"> oraz z 11 lipca 2023 r. w sprawie wdrażania klauzul pomostowych w traktatach UE</w:t>
      </w:r>
      <w:r w:rsidRPr="00A74B6F">
        <w:rPr>
          <w:rStyle w:val="FootnoteReference"/>
        </w:rPr>
        <w:footnoteReference w:id="2"/>
      </w:r>
      <w:r w:rsidRPr="00A74B6F">
        <w:t>,</w:t>
      </w:r>
    </w:p>
    <w:p w14:paraId="2CF94925" w14:textId="35941C53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sprawozdanie z </w:t>
      </w:r>
      <w:r w:rsidR="00575477">
        <w:t xml:space="preserve">dnia </w:t>
      </w:r>
      <w:r w:rsidRPr="00A74B6F">
        <w:t xml:space="preserve">9 maja 2022 r. dotyczące końcowych wyników Konferencji w sprawie przyszłości Europy oraz swoją rezolucję z </w:t>
      </w:r>
      <w:r w:rsidR="00575477">
        <w:t xml:space="preserve">dnia </w:t>
      </w:r>
      <w:r w:rsidRPr="00A74B6F">
        <w:t xml:space="preserve">4 maja 2022 r. w </w:t>
      </w:r>
      <w:r w:rsidRPr="00A74B6F">
        <w:lastRenderedPageBreak/>
        <w:t>sprawie działań następczych w związku z konkluzjami Konferencji w sprawie przyszłości Europy</w:t>
      </w:r>
      <w:r w:rsidRPr="00A74B6F">
        <w:rPr>
          <w:rStyle w:val="FootnoteReference"/>
        </w:rPr>
        <w:footnoteReference w:id="3"/>
      </w:r>
      <w:r w:rsidRPr="00A74B6F">
        <w:t>,</w:t>
      </w:r>
    </w:p>
    <w:p w14:paraId="7277D346" w14:textId="11FF8558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swoje rezolucje z </w:t>
      </w:r>
      <w:r w:rsidR="00575477">
        <w:t xml:space="preserve">dnia </w:t>
      </w:r>
      <w:r w:rsidRPr="00A74B6F">
        <w:t>9 czerwca 2022 r. w sprawie apelu o zwołanie konwentu w celu zmiany traktatów</w:t>
      </w:r>
      <w:r w:rsidRPr="00A74B6F">
        <w:rPr>
          <w:rStyle w:val="FootnoteReference"/>
        </w:rPr>
        <w:footnoteReference w:id="4"/>
      </w:r>
      <w:r w:rsidRPr="00A74B6F">
        <w:t xml:space="preserve"> oraz z </w:t>
      </w:r>
      <w:r w:rsidR="00575477">
        <w:t xml:space="preserve">dnia </w:t>
      </w:r>
      <w:r w:rsidRPr="00A74B6F">
        <w:t>22 listopada 2023 r. w sprawie propozycji Parlamentu Europejskiego dotyczących zmiany Traktatów</w:t>
      </w:r>
      <w:r w:rsidRPr="00A74B6F">
        <w:rPr>
          <w:rStyle w:val="FootnoteReference"/>
        </w:rPr>
        <w:footnoteReference w:id="5"/>
      </w:r>
      <w:r w:rsidRPr="00A74B6F">
        <w:t>, w tym poprzez uruchomienie art. 48 TUE i zwrócenie się do Rady Europejskiej o wyrażenie zgody na zwołanie konwentu w celu zreformowania traktatów,</w:t>
      </w:r>
    </w:p>
    <w:p w14:paraId="79F12587" w14:textId="7EE428D6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swoją rezolucję z </w:t>
      </w:r>
      <w:r w:rsidR="00575477">
        <w:t xml:space="preserve">dnia </w:t>
      </w:r>
      <w:r w:rsidRPr="00A74B6F">
        <w:t>29 lutego 2024 r. w sprawie pogłębienia integracji europejskiej z myślą o przyszłym rozszerzeniu</w:t>
      </w:r>
      <w:r w:rsidRPr="00A74B6F">
        <w:rPr>
          <w:rStyle w:val="FootnoteReference"/>
        </w:rPr>
        <w:footnoteReference w:id="6"/>
      </w:r>
      <w:r w:rsidRPr="00A74B6F">
        <w:t>,</w:t>
      </w:r>
    </w:p>
    <w:p w14:paraId="3339AB0C" w14:textId="05976D9F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 xml:space="preserve">uwzględniając sprawozdanie Mario </w:t>
      </w:r>
      <w:proofErr w:type="spellStart"/>
      <w:r w:rsidRPr="00A74B6F">
        <w:t>Draghiego</w:t>
      </w:r>
      <w:proofErr w:type="spellEnd"/>
      <w:r w:rsidRPr="00A74B6F">
        <w:t xml:space="preserve"> z </w:t>
      </w:r>
      <w:r w:rsidR="00575477">
        <w:t xml:space="preserve">dnia </w:t>
      </w:r>
      <w:r w:rsidRPr="00A74B6F">
        <w:t xml:space="preserve">9 września 2024 r. pt. „The </w:t>
      </w:r>
      <w:proofErr w:type="spellStart"/>
      <w:r w:rsidRPr="00A74B6F">
        <w:t>future</w:t>
      </w:r>
      <w:proofErr w:type="spellEnd"/>
      <w:r w:rsidRPr="00A74B6F">
        <w:t xml:space="preserve"> of </w:t>
      </w:r>
      <w:proofErr w:type="spellStart"/>
      <w:r w:rsidRPr="00A74B6F">
        <w:t>European</w:t>
      </w:r>
      <w:proofErr w:type="spellEnd"/>
      <w:r w:rsidRPr="00A74B6F">
        <w:t xml:space="preserve"> </w:t>
      </w:r>
      <w:proofErr w:type="spellStart"/>
      <w:r w:rsidRPr="00A74B6F">
        <w:t>competitiveness</w:t>
      </w:r>
      <w:proofErr w:type="spellEnd"/>
      <w:r w:rsidRPr="00A74B6F">
        <w:t xml:space="preserve">” [Przyszłość europejskiej konkurencyjności], sprawozdanie Enrico </w:t>
      </w:r>
      <w:proofErr w:type="spellStart"/>
      <w:r w:rsidRPr="00A74B6F">
        <w:t>Letty</w:t>
      </w:r>
      <w:proofErr w:type="spellEnd"/>
      <w:r w:rsidRPr="00A74B6F">
        <w:t xml:space="preserve"> z </w:t>
      </w:r>
      <w:r w:rsidR="00575477">
        <w:t xml:space="preserve">dnia </w:t>
      </w:r>
      <w:r w:rsidRPr="00A74B6F">
        <w:t xml:space="preserve">17 kwietnia 2024 r. pt. „Much </w:t>
      </w:r>
      <w:proofErr w:type="spellStart"/>
      <w:r w:rsidRPr="00A74B6F">
        <w:t>more</w:t>
      </w:r>
      <w:proofErr w:type="spellEnd"/>
      <w:r w:rsidRPr="00A74B6F">
        <w:t xml:space="preserve"> </w:t>
      </w:r>
      <w:proofErr w:type="spellStart"/>
      <w:r w:rsidRPr="00A74B6F">
        <w:t>than</w:t>
      </w:r>
      <w:proofErr w:type="spellEnd"/>
      <w:r w:rsidRPr="00A74B6F">
        <w:t xml:space="preserve"> a market” [Znacznie więcej niż rynek] oraz sprawozdanie </w:t>
      </w:r>
      <w:proofErr w:type="spellStart"/>
      <w:r w:rsidRPr="00A74B6F">
        <w:t>Sauliego</w:t>
      </w:r>
      <w:proofErr w:type="spellEnd"/>
      <w:r w:rsidRPr="00A74B6F">
        <w:t xml:space="preserve"> </w:t>
      </w:r>
      <w:proofErr w:type="spellStart"/>
      <w:r w:rsidRPr="00A74B6F">
        <w:t>Niinistö</w:t>
      </w:r>
      <w:proofErr w:type="spellEnd"/>
      <w:r w:rsidRPr="00A74B6F">
        <w:t xml:space="preserve"> z </w:t>
      </w:r>
      <w:r w:rsidR="00575477">
        <w:t xml:space="preserve">dnia </w:t>
      </w:r>
      <w:r w:rsidRPr="00A74B6F">
        <w:t>30 października 2024 r. pt. „</w:t>
      </w:r>
      <w:proofErr w:type="spellStart"/>
      <w:r w:rsidRPr="00A74B6F">
        <w:t>Safer</w:t>
      </w:r>
      <w:proofErr w:type="spellEnd"/>
      <w:r w:rsidRPr="00A74B6F">
        <w:t xml:space="preserve"> </w:t>
      </w:r>
      <w:proofErr w:type="spellStart"/>
      <w:r w:rsidRPr="00A74B6F">
        <w:t>Together</w:t>
      </w:r>
      <w:proofErr w:type="spellEnd"/>
      <w:r w:rsidRPr="00A74B6F">
        <w:t xml:space="preserve"> – </w:t>
      </w:r>
      <w:proofErr w:type="spellStart"/>
      <w:r w:rsidRPr="00A74B6F">
        <w:t>Strengthening</w:t>
      </w:r>
      <w:proofErr w:type="spellEnd"/>
      <w:r w:rsidRPr="00A74B6F">
        <w:t xml:space="preserve"> </w:t>
      </w:r>
      <w:proofErr w:type="spellStart"/>
      <w:r w:rsidRPr="00A74B6F">
        <w:t>Europe’s</w:t>
      </w:r>
      <w:proofErr w:type="spellEnd"/>
      <w:r w:rsidRPr="00A74B6F">
        <w:t xml:space="preserve"> </w:t>
      </w:r>
      <w:proofErr w:type="spellStart"/>
      <w:r w:rsidRPr="00A74B6F">
        <w:t>Civilian</w:t>
      </w:r>
      <w:proofErr w:type="spellEnd"/>
      <w:r w:rsidRPr="00A74B6F">
        <w:t xml:space="preserve"> and </w:t>
      </w:r>
      <w:proofErr w:type="spellStart"/>
      <w:r w:rsidRPr="00A74B6F">
        <w:t>Military</w:t>
      </w:r>
      <w:proofErr w:type="spellEnd"/>
      <w:r w:rsidRPr="00A74B6F">
        <w:t xml:space="preserve"> </w:t>
      </w:r>
      <w:proofErr w:type="spellStart"/>
      <w:r w:rsidRPr="00A74B6F">
        <w:t>Preparedness</w:t>
      </w:r>
      <w:proofErr w:type="spellEnd"/>
      <w:r w:rsidRPr="00A74B6F">
        <w:t xml:space="preserve"> and Readiness” [Razem bezpieczniej: wzmocnienie gotowości cywilnej i wojskowej oraz przygotowania w Europie],</w:t>
      </w:r>
    </w:p>
    <w:p w14:paraId="7BE48EF5" w14:textId="77777777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>uwzględniając art. 55 Regulaminu,</w:t>
      </w:r>
    </w:p>
    <w:p w14:paraId="0A4D377B" w14:textId="77777777" w:rsidR="00503D37" w:rsidRPr="00A74B6F" w:rsidRDefault="00503D37" w:rsidP="00503D37">
      <w:pPr>
        <w:pStyle w:val="NormalHanging12a"/>
      </w:pPr>
      <w:r w:rsidRPr="00A74B6F">
        <w:t>–</w:t>
      </w:r>
      <w:r w:rsidRPr="00A74B6F">
        <w:tab/>
        <w:t>uwzględniając sprawozdanie Komisji Spraw Konstytucyjnych (A10-0177/2025),</w:t>
      </w:r>
    </w:p>
    <w:p w14:paraId="4F562181" w14:textId="77777777" w:rsidR="00503D37" w:rsidRPr="00A74B6F" w:rsidRDefault="00503D37" w:rsidP="00503D37">
      <w:pPr>
        <w:pStyle w:val="NormalHanging12a"/>
      </w:pPr>
      <w:r w:rsidRPr="00A74B6F">
        <w:t>A.</w:t>
      </w:r>
      <w:r w:rsidRPr="00A74B6F">
        <w:tab/>
        <w:t>mając na uwadze, że dziewięć z dziesięciu krajów, które obecnie chcą przystąpić do UE, ma status kraju kandydującego, a niektóre z nich posiadają ten status od wielu lat; mając na uwadze, że kraje kandydujące znajdują się na różnych etapach procesu akcesyjnego i negocjacji; mając na uwadze, że 28 listopada 2024 r. Gruzja jednostronnie zawiesiła negocjacje akcesyjne z UE;</w:t>
      </w:r>
    </w:p>
    <w:p w14:paraId="36503811" w14:textId="77777777" w:rsidR="00503D37" w:rsidRPr="00A74B6F" w:rsidRDefault="00503D37" w:rsidP="00503D37">
      <w:pPr>
        <w:pStyle w:val="NormalHanging12a"/>
      </w:pPr>
      <w:r w:rsidRPr="00A74B6F">
        <w:t>B.</w:t>
      </w:r>
      <w:r w:rsidRPr="00A74B6F">
        <w:tab/>
        <w:t>mając na uwadze, że rosyjska wojna napastnicza przeciwko Ukrainie i inne bieżące wyzwania geopolityczne, w tym niepokojąca zmiana w stosunkach transatlantyckich, nadały nowe znaczenie geostrategiczne i nową dynamikę procesowi przystąpienia do UE i zjednoczeniu Europy;</w:t>
      </w:r>
    </w:p>
    <w:p w14:paraId="3E83B4B9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C.</w:t>
      </w:r>
      <w:r w:rsidRPr="00A74B6F">
        <w:tab/>
        <w:t>mając na uwadze, że przystąpienie do Unii Europejskiej musi pozostać procesem opartym na osiągnięciach i bazującym na ocenie spełnienia przez poszczególne kraje kandydujące kryteriów kopenhaskich oraz wdrożenia niezbędnych reform – w szczególności w obszarach kwestii podstawowych, takich jak przestrzeganie zasad demokracji, praworządności, praw człowieka i dobrych rządów, a także dostosowanie się do wspólnej polityki zagranicznej i bezpieczeństwa UE – tak aby zagwarantować, że rozszerzenie wzmocni, a nie osłabi, UE i jej jednolity rynek;</w:t>
      </w:r>
    </w:p>
    <w:p w14:paraId="5DB90129" w14:textId="77777777" w:rsidR="00503D37" w:rsidRPr="00A74B6F" w:rsidRDefault="00503D37" w:rsidP="00503D37">
      <w:pPr>
        <w:pStyle w:val="NormalHanging12a"/>
      </w:pPr>
      <w:r w:rsidRPr="00A74B6F">
        <w:t>D.</w:t>
      </w:r>
      <w:r w:rsidRPr="00A74B6F">
        <w:tab/>
        <w:t xml:space="preserve">mając na uwadze, że rozszerzenie jest historycznym zobowiązaniem, jednym z kluczowych narzędzi polityki zagranicznej UE, strategicznym priorytetem </w:t>
      </w:r>
      <w:r w:rsidRPr="00A74B6F">
        <w:lastRenderedPageBreak/>
        <w:t>geopolitycznym i jedną z najbardziej udanych strategii politycznych UE oraz stanowi inwestycję w przyszłość kontynentu europejskiego;</w:t>
      </w:r>
    </w:p>
    <w:p w14:paraId="1D6E6793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E.</w:t>
      </w:r>
      <w:r w:rsidRPr="00A74B6F">
        <w:tab/>
        <w:t>mając na uwadze, że kraje przystępujące powinny w sposób zdecydowany wdrożyć niezbędne reformy oraz poczynić konkretne i nieodwracalne postępy w zakresie podstawowych elementów procesu rozszerzenia; mając na uwadze, że UE i państwa członkowskie powinny oferować krajom kandydującym pomoc finansową i techniczną, aby wspierać je w spełnianiu tych kryteriów; mając na uwadze, że w kwestii wartości i podstawowych zasad UE nie można iść na skróty;</w:t>
      </w:r>
    </w:p>
    <w:p w14:paraId="2F883889" w14:textId="77777777" w:rsidR="00503D37" w:rsidRPr="00A74B6F" w:rsidRDefault="00503D37" w:rsidP="00503D37">
      <w:pPr>
        <w:pStyle w:val="NormalHanging12a"/>
      </w:pPr>
      <w:r w:rsidRPr="00A74B6F">
        <w:t>F.</w:t>
      </w:r>
      <w:r w:rsidRPr="00A74B6F">
        <w:tab/>
        <w:t>mając na uwadze, że rozszerzona UE zwiększyłaby swoją siłę polityczną, gospodarczą i militarną oraz umocniłaby swoją pozycję na arenie międzynarodowej, a zarazem ugruntowałaby wspólne wartości demokratyczne w całym regionie objętym procesem rozszerzenia UE; mając na uwadze, że rozszerzenie jednolitego rynku jest ważne zarówno dla UE, jak i dla krajów przystępujących; dzięki niemu UE stałaby się jeszcze bardziej konkurencyjnym podmiotem gospodarczym i atrakcyjnym partnerem handlowym; mając na uwadze, że brak postępów w rozszerzaniu UE zagraża jej interesom gospodarczym i interesom w dziedzinie bezpieczeństwa oraz może ostatecznie skłonić kraje europejskie, które nie należą do UE, do zacieśnienia więzi gospodarczych i politycznych z innymi blokami (np. Rosją i Chinami), co potencjalnie stworzyłoby konkurencyjne obszary gospodarcze i zmniejszyłoby globalne wpływy gospodarcze UE, stwarzając jednocześnie możliwości dla działań destabilizacyjnych ze strony bezpośrednich sąsiadów UE;</w:t>
      </w:r>
    </w:p>
    <w:p w14:paraId="17EDBA36" w14:textId="77777777" w:rsidR="00503D37" w:rsidRPr="00A74B6F" w:rsidRDefault="00503D37" w:rsidP="00503D37">
      <w:pPr>
        <w:pStyle w:val="NormalHanging12a"/>
      </w:pPr>
      <w:r w:rsidRPr="00A74B6F">
        <w:t>G.</w:t>
      </w:r>
      <w:r w:rsidRPr="00A74B6F">
        <w:tab/>
        <w:t xml:space="preserve">mając na uwadze, że państwa, które przystąpiły do UE w 2004 r. – i UE jako całość – odnotowały znaczny wzrost gospodarczy i wyższe standardy w wielu obszarach, w tym wzrost PKB na mieszkańca średnio o 30 %; mając na uwadze, że średnio wszystkie nowe państwa członkowskie odnotowały dodatkowy wzrost PKB o 12 % w porównaniu ze wzrostem prognozowanym w sytuacji, gdyby nie przystąpiły do UE, oraz że wzrost ten był zauważalny w ciągu pięciu lat od przystąpienia do UE; mając na uwadze, że w ciągu ostatnich 20 lat gospodarka UE wzrosła o 27 %; mając na uwadze, że państwa, które były już częścią UE w momencie rozszerzenia w 2004 r., odnotowały również wzrost i dobrobyt, co ma wyraźny związek przyczynowy z rozszerzeniem rynków, </w:t>
      </w:r>
      <w:proofErr w:type="spellStart"/>
      <w:r w:rsidRPr="00A74B6F">
        <w:t>konektywnością</w:t>
      </w:r>
      <w:proofErr w:type="spellEnd"/>
      <w:r w:rsidRPr="00A74B6F">
        <w:t xml:space="preserve"> i inwestycjami wynikającymi z rozszerzenia; mając na uwadze, że każdy region odnotowuje wzrost gospodarczy w wyniku rozszerzenia, ale najwyższy względny wzrost gospodarczy ma miejsce w regionach najbiedniejszych;</w:t>
      </w:r>
    </w:p>
    <w:p w14:paraId="160D6650" w14:textId="77777777" w:rsidR="00503D37" w:rsidRPr="00A74B6F" w:rsidRDefault="00503D37" w:rsidP="00503D37">
      <w:pPr>
        <w:pStyle w:val="NormalHanging12a"/>
      </w:pPr>
      <w:r w:rsidRPr="00A74B6F">
        <w:t>H.</w:t>
      </w:r>
      <w:r w:rsidRPr="00A74B6F">
        <w:tab/>
        <w:t xml:space="preserve">mając na uwadze, że PKB na mieszkańca Bałkanów Zachodnich, Ukrainy, Mołdawii i Gruzji utrzymuje się na poziomie około 50 % lub poniżej 50 % unijnego PKB na mieszkańca, chociaż niektóre kraje kandydujące wykazały w ostatnich latach stały wzrost gospodarczy, co umożliwia oparte na osiągnięciach i przyszłościowe podejście; mając na uwadze, że doświadczenia związane ze wszystkimi rozszerzeniami UE pokazują pozytywny wpływ, jaki członkostwo w UE i udział w jednolitym rynku UE oraz dostęp do funduszy strukturalnych wywierają na konwergencję gospodarczą i społeczną; mając na uwadze, że – jak wynika z badań – przystąpienie 10 nowych państw członkowskich zmniejszyłoby różnicę w PKB na mieszkańca między UE a Stanami Zjednoczonymi o 10 %; mając na uwadze, że szerszy dostęp m.in. do rynków pracy, zdolności przemysłowych, technologii cyfrowych, w szczególności sztucznej inteligencji, oraz krytycznych minerałów ziem rzadkich umożliwiłby UE przyspieszenie zielonej, cyfrowej i sprawiedliwej transformacji przy jednoczesnym obniżeniu jej kosztów, a także zwiększenie autonomii strategicznej względem Rosji, Chin i innych </w:t>
      </w:r>
      <w:r w:rsidRPr="00A74B6F">
        <w:lastRenderedPageBreak/>
        <w:t>systemowych konkurentów; mając na uwadze, że scenariusze łączące znaczne rozszerzenie z silną konwergencją mogłyby przynieść dodatkowy wzrost PKB UE o około 10 bln USD do 2035 r.;</w:t>
      </w:r>
    </w:p>
    <w:p w14:paraId="1B1AC37C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I.</w:t>
      </w:r>
      <w:r w:rsidRPr="00A74B6F">
        <w:tab/>
        <w:t>mając na uwadze, że instrumenty przedakcesyjne odgrywają ważną rolę, ponieważ zapewniają cenne doświadczenie w opracowywaniu zmodernizowanych narzędzi wsparcia dostosowanych do konkretnych potrzeb poszczególnych krajów, jak miało to miejsce w przypadku Phare (Programu Pomocy Wspólnotowej dla Krajów Europy Środkowej i Wschodniej), SAPARD (przedakcesyjnego instrumentu rolnego) i ISPA (Instrumentu Przedakcesyjnej Polityki Strukturalnej);</w:t>
      </w:r>
    </w:p>
    <w:p w14:paraId="6CCA3D44" w14:textId="77777777" w:rsidR="00503D37" w:rsidRPr="00A74B6F" w:rsidRDefault="00503D37" w:rsidP="00503D37">
      <w:pPr>
        <w:pStyle w:val="NormalHanging12a"/>
      </w:pPr>
      <w:bookmarkStart w:id="6" w:name="_Hlk208838474"/>
      <w:r w:rsidRPr="00A74B6F">
        <w:t>J.</w:t>
      </w:r>
      <w:r w:rsidRPr="00A74B6F">
        <w:tab/>
        <w:t>mając na uwadze, że niektóre kraje spoza UE zmagają się z różnymi poziomami niestabilności politycznej oraz że wdrażanie w tych krajach reform związanych z członkostwem w UE, o czym świadczą wcześniejsze rozszerzenia, powinno przyczynić się do stabilności i praworządności w regionie; mając na uwadze, że UE dysponuje szerokim zestawem narzędzi, aby egzekwować przestrzeganie podstawowych wartości w państwach członkowskich i chronić stabilność polityczną całego projektu europejskiego; mając na uwadze, że ten zestaw narzędzi nadal wymaga reformy i wzmocnienia, w szczególności poprzez spójne wdrażanie mechanizmu praworządności i skuteczną ochronę podstawowych wartości UE zapisanych w art. 2 TUE, w tym w drodze określenia warunków w obecnych i kolejnych wieloletnich ramach finansowych (WRF);</w:t>
      </w:r>
      <w:bookmarkEnd w:id="6"/>
    </w:p>
    <w:p w14:paraId="259D5603" w14:textId="77777777" w:rsidR="00503D37" w:rsidRPr="00A74B6F" w:rsidRDefault="00503D37" w:rsidP="00503D37">
      <w:pPr>
        <w:pStyle w:val="NormalHanging12a"/>
      </w:pPr>
      <w:r w:rsidRPr="00A74B6F">
        <w:t>K.</w:t>
      </w:r>
      <w:r w:rsidRPr="00A74B6F">
        <w:tab/>
        <w:t xml:space="preserve">mając na uwadze, że Komisja i Parlament powinny opracować kampanie uświadamiające w państwach członkowskich i krajach kandydujących, aby obywatele byli odpowiednio informowani o możliwościach, jakie daje rozszerzenie, a </w:t>
      </w:r>
      <w:proofErr w:type="gramStart"/>
      <w:r w:rsidRPr="00A74B6F">
        <w:t>jednocześnie</w:t>
      </w:r>
      <w:proofErr w:type="gramEnd"/>
      <w:r w:rsidRPr="00A74B6F">
        <w:t xml:space="preserve"> aby przeciwdziałać zagranicznym manipulacjom informacjami i ingerencjom ze strony Rosji i innych krajów, które to działania mają na celu osłabienie publicznego poparcia dla rozszerzenia; </w:t>
      </w:r>
    </w:p>
    <w:p w14:paraId="1FF971C1" w14:textId="77777777" w:rsidR="00503D37" w:rsidRPr="00A74B6F" w:rsidRDefault="00503D37" w:rsidP="00503D37">
      <w:pPr>
        <w:pStyle w:val="NormalHanging12a"/>
      </w:pPr>
      <w:r w:rsidRPr="00A74B6F">
        <w:t>L.</w:t>
      </w:r>
      <w:r w:rsidRPr="00A74B6F">
        <w:tab/>
        <w:t>mając na uwadze, że ramy instytucjonalne UE, a w szczególności jej proces decyzyjny, wymagają wzmocnienia i ulepszenia dla obecnej Unii składającej się z 27 państw członkowskich; mając na uwadze, że przygotowanie do rozszerzenia wymaga wewnętrznych reform w UE oraz że proces rozszerzenia należy prowadzić równolegle z reformami instytucjonalnymi i reformami procesu decyzyjnego, które są niezbędne do zabezpieczenia zdolności UE do przyjmowania nowych państw; mając na uwadze, że perspektywa przyszłych rozszerzeń sprawia, że reforma instytucji, strategii politycznych i procedur decyzyjnych UE staje się bardziej potrzebna i pilna niż kiedykolwiek wcześniej;</w:t>
      </w:r>
    </w:p>
    <w:p w14:paraId="3F8DC996" w14:textId="77777777" w:rsidR="00503D37" w:rsidRPr="00A74B6F" w:rsidRDefault="00503D37" w:rsidP="00503D37">
      <w:pPr>
        <w:pStyle w:val="NormalHanging12a"/>
      </w:pPr>
      <w:r w:rsidRPr="00A74B6F">
        <w:t>M.</w:t>
      </w:r>
      <w:r w:rsidRPr="00A74B6F">
        <w:tab/>
        <w:t>mając na uwadze, że poprzednie rozszerzenia były często poprzedzane wewnętrznymi reformami instytucjonalnymi dotyczącymi zarządzania UE lub takie reformy im towarzyszyły i że te procesy rozszerzenia stanowiły z reguły silny bodziec dla rozwoju oraz postępu gospodarczego i demokratycznego krajów kandydujących;</w:t>
      </w:r>
    </w:p>
    <w:p w14:paraId="3D7B5C7B" w14:textId="4D959A46" w:rsidR="00503D37" w:rsidRPr="00A74B6F" w:rsidRDefault="00503D37" w:rsidP="00503D37">
      <w:pPr>
        <w:pStyle w:val="NormalHanging12a"/>
        <w:rPr>
          <w:bCs/>
          <w:iCs/>
        </w:rPr>
      </w:pPr>
      <w:r w:rsidRPr="00A74B6F">
        <w:t>N.</w:t>
      </w:r>
      <w:r w:rsidRPr="00A74B6F">
        <w:tab/>
        <w:t xml:space="preserve">mając na uwadze, że w Deklaracji z Grenady z </w:t>
      </w:r>
      <w:r w:rsidR="00575477">
        <w:t xml:space="preserve">dnia </w:t>
      </w:r>
      <w:r w:rsidRPr="00A74B6F">
        <w:t>6 października 2023 r. Rada Europejska uznała, iż niezbędnemu przyspieszeniu reform w krajach kandydujących powinien towarzyszyć równoległy proces przygotowań i reform w UE;</w:t>
      </w:r>
    </w:p>
    <w:p w14:paraId="40979E1F" w14:textId="7F4C551B" w:rsidR="00503D37" w:rsidRPr="00A74B6F" w:rsidRDefault="00503D37" w:rsidP="00503D37">
      <w:pPr>
        <w:pStyle w:val="NormalHanging12a"/>
        <w:rPr>
          <w:bCs/>
          <w:iCs/>
        </w:rPr>
      </w:pPr>
      <w:r w:rsidRPr="00A74B6F">
        <w:t>O.</w:t>
      </w:r>
      <w:r w:rsidRPr="00A74B6F">
        <w:tab/>
        <w:t xml:space="preserve">mając na uwadze, że w konkluzjach z </w:t>
      </w:r>
      <w:r w:rsidR="00575477">
        <w:t xml:space="preserve">dnia </w:t>
      </w:r>
      <w:r w:rsidRPr="00A74B6F">
        <w:t xml:space="preserve">27 czerwca 2024 r. Rada Europejska określiła plan przyszłych prac nad reformami wewnętrznymi; mając na uwadze, że Rada </w:t>
      </w:r>
      <w:r w:rsidRPr="00A74B6F">
        <w:lastRenderedPageBreak/>
        <w:t>Europejska uznaje, iż wzmocnienie UE i europejskiej suwerenności wymaga reform umożliwiających UE spełnienie jej długoterminowych ambicji, realizację strategii politycznych i priorytetów oraz reagowanie na nowe realia i wyzwania geopolityczne;</w:t>
      </w:r>
    </w:p>
    <w:p w14:paraId="1399D106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P.</w:t>
      </w:r>
      <w:r w:rsidRPr="00A74B6F">
        <w:tab/>
        <w:t>mając na uwadze, że zgodnie z tymi konkluzjami reformy wewnętrzne powinny przebiegać równolegle z procesem rozszerzenia, tak aby strategie polityczne były dostosowane do przyszłych wyzwań i odpowiednio finansowane, a instytucje UE w dalszym ciągu funkcjonowały i działały skutecznie; mając na uwadze, że Rada Europejska zwróciła się do Komisji, by w 2025 r. przedstawiła gruntowny przegląd polityki, skupiony na czterech aspektach, czyli wartościach i praworządności, strategiach politycznych, budżecie i zarządzaniu;</w:t>
      </w:r>
    </w:p>
    <w:p w14:paraId="0EF48AC8" w14:textId="77777777" w:rsidR="00503D37" w:rsidRPr="00A74B6F" w:rsidRDefault="00503D37" w:rsidP="00503D37">
      <w:pPr>
        <w:pStyle w:val="NormalHanging12a"/>
      </w:pPr>
      <w:r w:rsidRPr="00A74B6F">
        <w:t>Q.</w:t>
      </w:r>
      <w:r w:rsidRPr="00A74B6F">
        <w:tab/>
        <w:t>mając na uwadze, że perspektywa zbliżającego się rozszerzenia stawia UE przed trzema wyzwaniami: zapewnieniem skutecznych procedur decyzyjnych (wyzwanie związane ze skutecznością), zgromadzeniem wystarczających zasobów dla realizacji jej celów strategicznych (wyzwanie związane z silną pozycją i zasobami) oraz ochroną legitymacji demokratycznej i rozliczalności za jej działania (wyzwanie związane z demokracją);</w:t>
      </w:r>
    </w:p>
    <w:p w14:paraId="567CC597" w14:textId="77777777" w:rsidR="00503D37" w:rsidRPr="00A74B6F" w:rsidRDefault="00503D37" w:rsidP="00503D37">
      <w:pPr>
        <w:pStyle w:val="NormalHanging12a"/>
      </w:pPr>
      <w:r w:rsidRPr="00A74B6F">
        <w:t>R.</w:t>
      </w:r>
      <w:r w:rsidRPr="00A74B6F">
        <w:tab/>
        <w:t>mając na uwadze, że poprzedzające rozszerzenie reformy ram instytucjonalnych UE oznaczają ewentualne propagowanie zróżnicowanych rozwiązań integracyjnych tam, gdzie pozwalają na to traktaty; mając na uwadze, że przewidziane w art. 20, 42 i 46 TUE procedury dotyczące wzmocnionej współpracy i stałej współpracy strukturalnej (PESCO) umożliwiają zainteresowanym państwom członkowskim pogłębienie ich integracji i wzmocnienie współpracy w ramach niewyłącznych kompetencji UE;</w:t>
      </w:r>
    </w:p>
    <w:p w14:paraId="0BB50EC5" w14:textId="77777777" w:rsidR="00503D37" w:rsidRPr="00A74B6F" w:rsidRDefault="00503D37" w:rsidP="00503D37">
      <w:pPr>
        <w:pStyle w:val="NormalHanging12a"/>
      </w:pPr>
      <w:r w:rsidRPr="00A74B6F">
        <w:t>S.</w:t>
      </w:r>
      <w:r w:rsidRPr="00A74B6F">
        <w:tab/>
        <w:t>mając na uwadze, że w określonych obszarach polityki możliwe jest natychmiastowe wykorzystanie klauzul pomostowych, aby przejść z wymogu jednomyślności na głosowanie większością kwalifikowaną; mając na uwadze, że TUE stanowi, iż ostatecznym celem stopniowego określania wspólnej polityki obronnej UE jest ustanowienie wspólnej obrony w drodze jednomyślnej decyzji Rady Europejskiej, która musi być zgodna z NATO;</w:t>
      </w:r>
    </w:p>
    <w:p w14:paraId="3C045809" w14:textId="77777777" w:rsidR="00503D37" w:rsidRPr="00A74B6F" w:rsidRDefault="00503D37" w:rsidP="00503D37">
      <w:pPr>
        <w:pStyle w:val="NormalHanging12a"/>
      </w:pPr>
      <w:r w:rsidRPr="00A74B6F">
        <w:t>T.</w:t>
      </w:r>
      <w:r w:rsidRPr="00A74B6F">
        <w:tab/>
        <w:t>mając na uwadze, że ze względu na ograniczoną elastyczność traktatów należy przewidzieć bardziej dogłębną reformę za pomocą ukierunkowanych zmian traktatów; mając na uwadze, że Parlament uruchomił procedurę rewizji traktatu i przedłożył Radzie wnioski dotyczące zmiany traktatów zgodnie z art. 48 ust. 2 TUE;</w:t>
      </w:r>
    </w:p>
    <w:p w14:paraId="0DB21B27" w14:textId="77777777" w:rsidR="00503D37" w:rsidRPr="00A74B6F" w:rsidRDefault="00503D37" w:rsidP="00503D37">
      <w:pPr>
        <w:pStyle w:val="Normal12a24b"/>
      </w:pPr>
      <w:r w:rsidRPr="00A74B6F">
        <w:rPr>
          <w:rStyle w:val="BoldItalic"/>
        </w:rPr>
        <w:t>Koszt niezreformowania rozszerzonej UE</w:t>
      </w:r>
    </w:p>
    <w:p w14:paraId="04C85E65" w14:textId="77777777" w:rsidR="00503D37" w:rsidRPr="00A74B6F" w:rsidRDefault="00503D37" w:rsidP="00503D37">
      <w:pPr>
        <w:pStyle w:val="NormalHanging12a"/>
      </w:pPr>
      <w:r w:rsidRPr="00A74B6F">
        <w:t>1.</w:t>
      </w:r>
      <w:r w:rsidRPr="00A74B6F">
        <w:tab/>
        <w:t>uważa, że UE i kraje kandydujące zawsze wykorzystywały rozszerzenie jako narzędzie polityczne i geopolityczne, aby promować demokrację, stabilność, bezpieczeństwo i dobrobyt na całym kontynencie; jest zdania, że rozszerzenie UE stanowi długoterminową inwestycję geostrategiczną;</w:t>
      </w:r>
    </w:p>
    <w:p w14:paraId="15D9F726" w14:textId="77777777" w:rsidR="00503D37" w:rsidRPr="00A74B6F" w:rsidRDefault="00503D37" w:rsidP="00503D37">
      <w:pPr>
        <w:pStyle w:val="NormalHanging12a"/>
      </w:pPr>
      <w:r w:rsidRPr="00A74B6F">
        <w:t>2.</w:t>
      </w:r>
      <w:r w:rsidRPr="00A74B6F">
        <w:tab/>
        <w:t>zaznacza, że rosyjska wojna napastnicza przeciwko Ukrainie i inne wyzwania geopolityczne podkreślają pilną potrzebę przyspieszenia procesu rozszerzenia; utrzymuje, że pomyślne i trwałe rozszerzenie wymaga długoterminowej wizji politycznej i śmiałych decyzji wspierających skuteczną, silną i demokratyczną Europę;</w:t>
      </w:r>
    </w:p>
    <w:p w14:paraId="65EB37F5" w14:textId="77777777" w:rsidR="00503D37" w:rsidRPr="00A74B6F" w:rsidRDefault="00503D37" w:rsidP="00503D37">
      <w:pPr>
        <w:pStyle w:val="NormalHanging12a"/>
      </w:pPr>
      <w:r w:rsidRPr="00A74B6F">
        <w:lastRenderedPageBreak/>
        <w:t>3.</w:t>
      </w:r>
      <w:r w:rsidRPr="00A74B6F">
        <w:tab/>
        <w:t xml:space="preserve">zauważa, że doświadczenie pokazuje, że każda nowa fala rozszerzenia wiąże się z nowymi wyzwaniami i możliwościami o charakterze instytucjonalnym i politycznym, którymi należy się zająć w odpowiednim czasie, najlepiej zanim kraje kandydujące staną się państwami członkowskimi, tak aby zapewnić skuteczne funkcjonowanie UE i uniknąć instytucjonalnego impasu; zwraca uwagę, że każde rozszerzenie w historii projektu europejskiego było poprzedzone niezbędnymi wewnętrznymi reformami instytucjonalnymi lub takie reformy mu towarzyszyły; </w:t>
      </w:r>
    </w:p>
    <w:p w14:paraId="0BCE92F7" w14:textId="77777777" w:rsidR="00503D37" w:rsidRPr="00A74B6F" w:rsidRDefault="00503D37" w:rsidP="00503D37">
      <w:pPr>
        <w:pStyle w:val="NormalHanging12a"/>
      </w:pPr>
      <w:r w:rsidRPr="00A74B6F">
        <w:t>4.</w:t>
      </w:r>
      <w:r w:rsidRPr="00A74B6F">
        <w:tab/>
        <w:t>przyznaje, że celem jednomyślności jest zapewnienie, aby uwzględnione zostały uzasadnione obawy wszystkich państw członkowskich; uważa jednak, że rozszerzona UE będzie wymagać bardziej złożonej koordynacji w stawianiu czoła wyzwaniom obecnego procesu rozszerzenia; podkreśla znaczenie rozwiązania problemów wynikających z jednomyślności w Radzie, w tym stosowania jednomyślności na etapach pośrednich procesu rozszerzenia, co mogłoby spowolnić przystąpienie do UE nowych członków ze względu na kwestie dwustronne; przypomina, że art. 49 TUE umożliwia przejście na głosowanie większością kwalifikowaną bez konieczności wprowadzania zmian do Traktatu; odnotowuje fakt, że struktura budżetu UE i zarządzanie nim są uciążliwe i przestarzałe, a także możliwą redystrybucję przy przydzielaniu funduszy rolnych i funduszy objętych polityką spójności; przypomina, że rozszerzenie UE stanowi okazję do dostosowania kluczowych strategii politycznych UE w tym zakresie; popiera inicjatywy mające usprawnić proces decyzyjny, co ma kluczowe znaczenie dla zwiększenia konkurencyjności UE;</w:t>
      </w:r>
    </w:p>
    <w:p w14:paraId="0EE8C2DC" w14:textId="77777777" w:rsidR="00503D37" w:rsidRPr="00A74B6F" w:rsidRDefault="00503D37" w:rsidP="00503D37">
      <w:pPr>
        <w:pStyle w:val="NormalHanging12a"/>
      </w:pPr>
      <w:r w:rsidRPr="00A74B6F">
        <w:t>5.</w:t>
      </w:r>
      <w:r w:rsidRPr="00A74B6F">
        <w:tab/>
        <w:t xml:space="preserve">przypomina swoje stanowisko, zgodnie z którym pogłębienie Unii, proces jej rozszerzenia i jednoczenie Europy muszą iść ze sobą w parze; podkreśla, że reformy instytucjonalne i finansowe UE są potrzebne, aby stawić czoła wyzwaniom obecnego procesu rozszerzenia oraz zapewnić zdolność UE do przyjmowania nowych członków i wspierania ich udanej integracji, nie destabilizując przy tym gospodarek pozostałych państw członkowskich lub nie pogłębiając napięć społecznych; </w:t>
      </w:r>
    </w:p>
    <w:p w14:paraId="12881D15" w14:textId="77777777" w:rsidR="00503D37" w:rsidRPr="00A74B6F" w:rsidRDefault="00503D37" w:rsidP="00503D37">
      <w:pPr>
        <w:pStyle w:val="NormalHanging12a"/>
      </w:pPr>
      <w:r w:rsidRPr="00A74B6F">
        <w:t>6.</w:t>
      </w:r>
      <w:r w:rsidRPr="00A74B6F">
        <w:tab/>
        <w:t>uznaje, że rozwiązania ad hoc mogłyby służyć jako rozwiązania tymczasowe, ale brakuje im przewidywalności, demokratycznej przejrzystości i rozliczalności oraz długoterminowej stabilności, co mogą przynieść jedynie reformy strukturalne;</w:t>
      </w:r>
    </w:p>
    <w:p w14:paraId="0AD07A16" w14:textId="77777777" w:rsidR="00503D37" w:rsidRPr="00A74B6F" w:rsidRDefault="00503D37" w:rsidP="00503D37">
      <w:pPr>
        <w:pStyle w:val="Normal12a24b"/>
      </w:pPr>
      <w:r w:rsidRPr="00A74B6F">
        <w:rPr>
          <w:rStyle w:val="BoldItalic"/>
        </w:rPr>
        <w:t>Cele reform instytucjonalnych poprzedzających rozszerzenie: skuteczność, silna pozycja i demokracja</w:t>
      </w:r>
    </w:p>
    <w:p w14:paraId="7AE84E18" w14:textId="77777777" w:rsidR="00503D37" w:rsidRPr="00A74B6F" w:rsidRDefault="00503D37" w:rsidP="00503D37">
      <w:pPr>
        <w:pStyle w:val="NormalHanging12a"/>
      </w:pPr>
      <w:r w:rsidRPr="00A74B6F">
        <w:t>7.</w:t>
      </w:r>
      <w:r w:rsidRPr="00A74B6F">
        <w:tab/>
        <w:t xml:space="preserve">jest głęboko przekonany, że reformy instytucjonalne UE – niezależnie od procedury decyzyjnej dotyczącej ich przyjęcia – powinny zwiększyć zdolność UE do skutecznego i terminowego działania; zwraca uwagę, że poprzedzające rozszerzenie reformy ram instytucjonalnych UE powinny spełniać cele, jakimi są poprawa skuteczności UE, wzmocnienie pozycji UE na arenie międzynarodowej oraz sprawienie, że UE będzie bardziej demokratyczna i </w:t>
      </w:r>
      <w:proofErr w:type="spellStart"/>
      <w:r w:rsidRPr="00A74B6F">
        <w:t>rozliczalna</w:t>
      </w:r>
      <w:proofErr w:type="spellEnd"/>
      <w:r w:rsidRPr="00A74B6F">
        <w:t xml:space="preserve"> oraz że będzie cieszyć się większą legitymacją;</w:t>
      </w:r>
    </w:p>
    <w:p w14:paraId="3D08E016" w14:textId="77777777" w:rsidR="00503D37" w:rsidRPr="00A74B6F" w:rsidRDefault="00503D37" w:rsidP="00503D37">
      <w:pPr>
        <w:pStyle w:val="Normal12a24b"/>
      </w:pPr>
      <w:r w:rsidRPr="00A74B6F">
        <w:rPr>
          <w:rStyle w:val="Italic"/>
        </w:rPr>
        <w:t>Wyzwanie związane ze skutecznością</w:t>
      </w:r>
    </w:p>
    <w:p w14:paraId="18897F17" w14:textId="77777777" w:rsidR="00503D37" w:rsidRPr="00A74B6F" w:rsidRDefault="00503D37" w:rsidP="00503D37">
      <w:pPr>
        <w:pStyle w:val="NormalHanging12a"/>
      </w:pPr>
      <w:r w:rsidRPr="00A74B6F">
        <w:t>8.</w:t>
      </w:r>
      <w:r w:rsidRPr="00A74B6F">
        <w:tab/>
        <w:t xml:space="preserve">podkreśla, że aby poprawić skuteczność rozszerzonej UE, należy dostosować skład instytucji UE, zwiększyć ich skuteczność i usprawnić funkcjonowanie; sugeruje, że proces rozszerzenia powinien być wspierany wczesnym i ścisłym zaangażowaniem krajów kandydujących w funkcjonowanie instytucji UE, np. poprzez status obserwatora; </w:t>
      </w:r>
      <w:r w:rsidRPr="00A74B6F">
        <w:lastRenderedPageBreak/>
        <w:t>zauważa, że można to skutecznie osiągnąć w podobny sposób jak w czasie rozszerzenia w 2004 r.; odnotowuje – jako pozytywny przykład takiej stopniowej integracji – starania Komisji na rzecz zaangażowania krajów kandydujących w bezpieczeństwo i obronność, w szczególności przez uwzględnienie ich w białej księdze w sprawie przyszłości obronności europejskiej oraz w strategii bezpieczeństwa wewnętrznego;</w:t>
      </w:r>
    </w:p>
    <w:p w14:paraId="6DDD59B0" w14:textId="77777777" w:rsidR="00503D37" w:rsidRPr="00A74B6F" w:rsidRDefault="00503D37" w:rsidP="00503D37">
      <w:pPr>
        <w:pStyle w:val="NormalHanging12a"/>
      </w:pPr>
      <w:r w:rsidRPr="00A74B6F">
        <w:t>9.</w:t>
      </w:r>
      <w:r w:rsidRPr="00A74B6F">
        <w:tab/>
        <w:t>zauważa, że reformy instytucjonalne poprzedzające rozszerzenie powinny uwzględniać wpływ rozszerzenia na skład Parlamentu; podkreśla, że Parlament powinien zachować rozsądną wielkość, a jednocześnie zapewniać odpowiednią demokratyczną reprezentatywność; podkreśla potrzebę priorytetowego traktowania wewnętrznych i międzyinstytucjonalnych prac nad określeniem stałego mechanizmu przydziału mandatów, który byłby w stanie zapewnić sprawiedliwą, przejrzystą i trwałą reprezentację demograficzną i geograficzną, z poszanowaniem zasady degresywnej proporcjonalności; przypomina swoje stanowisko, zgodnie z którym skład Parlamentu należy przeanalizować wraz z systemem głosowania w Radzie;</w:t>
      </w:r>
    </w:p>
    <w:p w14:paraId="5FC6A7F3" w14:textId="77777777" w:rsidR="00503D37" w:rsidRPr="00A74B6F" w:rsidRDefault="00503D37" w:rsidP="00503D37">
      <w:pPr>
        <w:pStyle w:val="NormalHanging12a"/>
      </w:pPr>
      <w:r w:rsidRPr="00A74B6F">
        <w:t xml:space="preserve">10. </w:t>
      </w:r>
      <w:r w:rsidRPr="00A74B6F">
        <w:tab/>
        <w:t>zauważa, że obecny skład Komisji powinien uwzględniać rozszerzenie; przypomina w związku z tym o elastyczności przewidzianej w traktacie lizbońskim; podkreśla, że każde zmniejszenie liczebności kolegium komisarzy, przewidzianej w art. 17 ust. 5 TUE, powinno nadal zapewniać skład Komisji zrównoważony pod względem geograficznym i demograficznym oraz pod względem płci;</w:t>
      </w:r>
    </w:p>
    <w:p w14:paraId="63260E96" w14:textId="197BCF55" w:rsidR="00503D37" w:rsidRPr="00A74B6F" w:rsidRDefault="00503D37" w:rsidP="00503D37">
      <w:pPr>
        <w:pStyle w:val="NormalHanging12a"/>
        <w:rPr>
          <w:bCs/>
          <w:iCs/>
        </w:rPr>
      </w:pPr>
      <w:r w:rsidRPr="00A74B6F">
        <w:t xml:space="preserve">11. </w:t>
      </w:r>
      <w:r w:rsidRPr="00A74B6F">
        <w:tab/>
        <w:t xml:space="preserve">uznaje, że w związku z rozszerzeniem należy rozważyć przegląd funkcjonowania i procesu decyzyjnego Rady; zauważa, że większość kwalifikowana musi zostać ponownie określona, aby poprawić równowagę między większymi i mniejszymi państwami oraz utrzymać wyższe progi dla najważniejszych i politycznie delikatnych decyzji; przypomina w tym względzie swoją rezolucję z </w:t>
      </w:r>
      <w:r w:rsidR="00575477">
        <w:t xml:space="preserve">dnia </w:t>
      </w:r>
      <w:r w:rsidRPr="00A74B6F">
        <w:t>22 listopada 2023 r. w sprawie propozycji Parlamentu Europejskiego dotyczących zmiany traktatów, w szczególności w odniesieniu do rodzajów większości w głosowaniach w Radzie; w związku z rozszerzeniem apeluje o jak największą przejrzystość i uczciwość procesu decyzyjnego w Radzie;</w:t>
      </w:r>
    </w:p>
    <w:p w14:paraId="460A6D41" w14:textId="77777777" w:rsidR="00503D37" w:rsidRPr="00A74B6F" w:rsidRDefault="00503D37" w:rsidP="00503D37">
      <w:pPr>
        <w:pStyle w:val="NormalHanging12a"/>
      </w:pPr>
      <w:bookmarkStart w:id="7" w:name="_Hlk208310878"/>
      <w:r w:rsidRPr="00A74B6F">
        <w:t>12.</w:t>
      </w:r>
      <w:r w:rsidRPr="00A74B6F">
        <w:tab/>
        <w:t>proponuje, aby wzmocnić i zreformować procedurę przewidzianą w art. 7 TUE przez zniesienie jednomyślności w decyzjach Rady Europejskiej, wprowadzenie jasnych ram czasowych i uczynienie Trybunału Sprawiedliwości Unii Europejskiej arbitrem w przypadku naruszeń;</w:t>
      </w:r>
      <w:bookmarkEnd w:id="7"/>
    </w:p>
    <w:p w14:paraId="190E2B82" w14:textId="77777777" w:rsidR="00503D37" w:rsidRPr="00A74B6F" w:rsidRDefault="00503D37" w:rsidP="00503D37">
      <w:pPr>
        <w:pStyle w:val="Normal12a24b"/>
      </w:pPr>
      <w:r w:rsidRPr="00A74B6F">
        <w:rPr>
          <w:rStyle w:val="Italic"/>
        </w:rPr>
        <w:t>Wyzwanie związane z silną pozycją i zasobami</w:t>
      </w:r>
    </w:p>
    <w:p w14:paraId="4FA7EC59" w14:textId="77777777" w:rsidR="00503D37" w:rsidRPr="00A74B6F" w:rsidRDefault="00503D37" w:rsidP="00503D37">
      <w:pPr>
        <w:pStyle w:val="NormalHanging12a"/>
      </w:pPr>
      <w:r w:rsidRPr="00A74B6F">
        <w:t>13.</w:t>
      </w:r>
      <w:r w:rsidRPr="00A74B6F">
        <w:tab/>
        <w:t xml:space="preserve">ponawia swój apel o przeprowadzenie przeglądu zarządzania WRF, w szczególności poprzez przyznanie pełnych uprawnień </w:t>
      </w:r>
      <w:proofErr w:type="spellStart"/>
      <w:r w:rsidRPr="00A74B6F">
        <w:t>współustawodawczych</w:t>
      </w:r>
      <w:proofErr w:type="spellEnd"/>
      <w:r w:rsidRPr="00A74B6F">
        <w:t xml:space="preserve"> w stosunku do strony wydatków w budżecie UE, w tym przyjęcia WRF;</w:t>
      </w:r>
    </w:p>
    <w:p w14:paraId="7822EF2A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14.</w:t>
      </w:r>
      <w:r w:rsidRPr="00A74B6F">
        <w:tab/>
        <w:t>jest przekonany, że w kolejnych WRF należy utrzymać obecną obowiązkową klauzulę przeglądową w przypadku rozszerzenia i że rozszerzenie nie powinno mieć wpływu na pule środków krajowych; podkreśla, że w kolejnych WRF trzeba będzie również wprowadzić odpowiednie środki przejściowe i środki stopniowego wprowadzania w kluczowych obszarach wydatków, takich jak spójność i rolnictwo, w oparciu o staranną ocenę skutków dla różnych sektorów;</w:t>
      </w:r>
    </w:p>
    <w:p w14:paraId="6F3E207B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lastRenderedPageBreak/>
        <w:t>15.</w:t>
      </w:r>
      <w:r w:rsidRPr="00A74B6F">
        <w:tab/>
        <w:t>uważa, że kolejne WRF będą miały kluczowe znaczenie dla przygotowania UE do rozszerzenia, a krajów kandydujących – do przystąpienia;</w:t>
      </w:r>
    </w:p>
    <w:p w14:paraId="3D710333" w14:textId="2E69D94E" w:rsidR="00503D37" w:rsidRPr="00A74B6F" w:rsidRDefault="00503D37" w:rsidP="00503D37">
      <w:pPr>
        <w:pStyle w:val="NormalHanging12a"/>
      </w:pPr>
      <w:r w:rsidRPr="00A74B6F">
        <w:t>16.</w:t>
      </w:r>
      <w:r w:rsidRPr="00A74B6F">
        <w:tab/>
        <w:t xml:space="preserve">przypomina stanowisko Parlamentu wyrażone w rezolucji z </w:t>
      </w:r>
      <w:r w:rsidR="00575477">
        <w:t xml:space="preserve">dnia </w:t>
      </w:r>
      <w:r w:rsidRPr="00A74B6F">
        <w:t>7 maja 2025 r. w sprawie zmienionego budżetu długoterminowego dla Unii w zmieniającym się świecie</w:t>
      </w:r>
      <w:r w:rsidRPr="00A74B6F">
        <w:rPr>
          <w:rStyle w:val="FootnoteReference"/>
        </w:rPr>
        <w:footnoteReference w:id="7"/>
      </w:r>
      <w:r w:rsidRPr="00A74B6F">
        <w:t xml:space="preserve">, zgodnie z którym długoterminowy budżet UE musi odejść od historycznie restrykcyjnego poziomu 1 % zagregowanego dochodu narodowego brutto, który UE sama sobie narzuciła; podkreśla, że sprawozdania </w:t>
      </w:r>
      <w:proofErr w:type="spellStart"/>
      <w:r w:rsidRPr="00A74B6F">
        <w:t>Draghiego</w:t>
      </w:r>
      <w:proofErr w:type="spellEnd"/>
      <w:r w:rsidRPr="00A74B6F">
        <w:t xml:space="preserve"> i </w:t>
      </w:r>
      <w:proofErr w:type="spellStart"/>
      <w:r w:rsidRPr="00A74B6F">
        <w:t>Letty</w:t>
      </w:r>
      <w:proofErr w:type="spellEnd"/>
      <w:r w:rsidRPr="00A74B6F">
        <w:t xml:space="preserve"> wykazały, iż aby do 2030 r. UE stała się bardziej konkurencyjna, ukończyła sprawiedliwą i ekologiczną transformację oraz była w stanie samodzielnie bronić się przed agresją Rosji, potrzebne są znaczne dodatkowe zasoby własne;</w:t>
      </w:r>
    </w:p>
    <w:p w14:paraId="33948063" w14:textId="77777777" w:rsidR="00503D37" w:rsidRPr="00A74B6F" w:rsidRDefault="00503D37" w:rsidP="00503D37">
      <w:pPr>
        <w:pStyle w:val="NormalHanging12a"/>
      </w:pPr>
      <w:r w:rsidRPr="00A74B6F">
        <w:t>17.</w:t>
      </w:r>
      <w:r w:rsidRPr="00A74B6F">
        <w:tab/>
        <w:t xml:space="preserve">podkreśla, że WRF na okres po 2027 r. i skuteczniejszy budżet, w tym nowy pakiet zasobów własnych, powinny umożliwić UE zdecydowane działania na rzecz rozszerzenia, przy jednoczesnym zachowaniu dotychczasowych strategii politycznych, programów i priorytetów; </w:t>
      </w:r>
    </w:p>
    <w:p w14:paraId="630E2D08" w14:textId="77777777" w:rsidR="00503D37" w:rsidRPr="00A74B6F" w:rsidRDefault="00503D37" w:rsidP="00503D37">
      <w:pPr>
        <w:pStyle w:val="Normal12a24b"/>
      </w:pPr>
      <w:r w:rsidRPr="00A74B6F">
        <w:rPr>
          <w:rStyle w:val="Italic"/>
        </w:rPr>
        <w:t>Wyzwanie związane z demokracją</w:t>
      </w:r>
    </w:p>
    <w:p w14:paraId="31E2684B" w14:textId="77777777" w:rsidR="00503D37" w:rsidRPr="00A74B6F" w:rsidRDefault="00503D37" w:rsidP="00503D37">
      <w:pPr>
        <w:pStyle w:val="NormalHanging12a"/>
      </w:pPr>
      <w:r w:rsidRPr="00A74B6F">
        <w:t>18.</w:t>
      </w:r>
      <w:r w:rsidRPr="00A74B6F">
        <w:tab/>
        <w:t>podkreśla, jak ważne jest umocnienie legitymacji demokratycznej polityki UE poprzez wzmocnienie uprawnień decyzyjnych i kontrolnych, w tym solidnych uprawnień śledczych, Parlamentu Europejskiego, który jest jedyną instytucją wybieraną w wyborach bezpośrednich, reprezentującą obywateli UE;</w:t>
      </w:r>
    </w:p>
    <w:p w14:paraId="55C7DDA9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19.</w:t>
      </w:r>
      <w:r w:rsidRPr="00A74B6F">
        <w:tab/>
        <w:t xml:space="preserve">podkreśla kluczową rolę, jaką w procesie przystąpienia do UE odgrywają parlamenty krajów kandydujących do UE, zwłaszcza w zakresie przyjmowania ustawodawstwa związanego z przystąpieniem, a także zwraca uwagę na znaczenie współpracy parlamentarnej i budowania konsensusu w kwestiach związanych z przystąpieniem do UE; ponownie wyraża gotowość Parlamentu Europejskiego do wykorzystania własnych zasobów politycznych i technicznych, aby pomóc parlamentom w krajach kandydujących w realizacji programu reform związanych z UE, m.in. przez działania na rzecz wspierania demokracji; z zadowoleniem przyjmuje postępy osiągnięte w wielu krajach kandydujących, np. dzięki działaniom mediacyjnym i procesowi dialogu im. Jeana </w:t>
      </w:r>
      <w:proofErr w:type="spellStart"/>
      <w:r w:rsidRPr="00A74B6F">
        <w:t>Monneta</w:t>
      </w:r>
      <w:proofErr w:type="spellEnd"/>
      <w:r w:rsidRPr="00A74B6F">
        <w:t>;</w:t>
      </w:r>
    </w:p>
    <w:p w14:paraId="6F8F831E" w14:textId="77777777" w:rsidR="00503D37" w:rsidRPr="00A74B6F" w:rsidRDefault="00503D37" w:rsidP="00503D37">
      <w:pPr>
        <w:pStyle w:val="NormalHanging12a"/>
      </w:pPr>
      <w:r w:rsidRPr="00A74B6F">
        <w:t>20.</w:t>
      </w:r>
      <w:r w:rsidRPr="00A74B6F">
        <w:tab/>
        <w:t>podkreśla, że reforma procesów decyzyjnych UE wymaga wzmocnienia pozycji Parlamentu poprzez postawienie go na równi z Radą; ponawia apel o przyznanie Parlamentowi pełnego prawa inicjatywy ustawodawczej – prawa do wprowadzania, zmiany lub uchylania przepisów prawa Unii; jest przekonany, że ogólne i bezpośrednie prawo inicjatywy ustawodawczej jeszcze bardziej wzmocniłoby demokratyczną legitymację UE i pozycję jej obywateli;</w:t>
      </w:r>
    </w:p>
    <w:p w14:paraId="6FA61739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21.</w:t>
      </w:r>
      <w:r w:rsidRPr="00A74B6F">
        <w:tab/>
        <w:t>uznaje, że bezpośrednie prawa inicjatywy Parlamentu są zdecydowanie niewystarczające, aby mógł on reprezentować głos obywateli UE, społeczeństwa obywatelskiego i partnerów społecznych w instytucjach europejskich, co w rzeczywistości pozostawia Komisji wyłączność w zakresie inicjatywy ustawodawczej;</w:t>
      </w:r>
    </w:p>
    <w:p w14:paraId="51D5D354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22.</w:t>
      </w:r>
      <w:r w:rsidRPr="00A74B6F">
        <w:tab/>
        <w:t xml:space="preserve">podkreśla, że już traktat lizboński przyznaje Parlamentowi bezpośrednie prawa inicjatywy, uznając jego kompetencje w zakresie samoorganizacji, funkcję kontrolną </w:t>
      </w:r>
      <w:r w:rsidRPr="00A74B6F">
        <w:lastRenderedPageBreak/>
        <w:t>oraz legitymację demokratyczną jako jedynej instytucji UE wybieranej w wyborach bezpośrednich;</w:t>
      </w:r>
    </w:p>
    <w:p w14:paraId="13190D78" w14:textId="77777777" w:rsidR="00503D37" w:rsidRPr="00A74B6F" w:rsidRDefault="00503D37" w:rsidP="00503D37">
      <w:pPr>
        <w:pStyle w:val="NormalHanging12a"/>
      </w:pPr>
      <w:r w:rsidRPr="00A74B6F">
        <w:t xml:space="preserve">23. </w:t>
      </w:r>
      <w:r w:rsidRPr="00A74B6F">
        <w:tab/>
        <w:t>uważa, że zasadnicze znaczenie ma poprawa przejrzystości i demokratycznej rozliczalności Parlamentu przez wzmocnienie europejskiego wymiaru wyborów i ustanowienie jednolitych zasad wyborczych w całej UE; wzywa pozostałe państwa członkowskie do ratyfikowania decyzji Rady 2018/994</w:t>
      </w:r>
      <w:r w:rsidRPr="00A74B6F">
        <w:rPr>
          <w:rStyle w:val="FootnoteReference"/>
        </w:rPr>
        <w:footnoteReference w:id="8"/>
      </w:r>
      <w:r w:rsidRPr="00A74B6F">
        <w:t>; wzywa Radę do pracy nad sugestiami przedstawionymi w stanowisku Parlamentu z 3 maja 2022 r.</w:t>
      </w:r>
      <w:r w:rsidRPr="00A74B6F">
        <w:rPr>
          <w:vertAlign w:val="superscript"/>
        </w:rPr>
        <w:footnoteReference w:id="9"/>
      </w:r>
      <w:r w:rsidRPr="00A74B6F">
        <w:t xml:space="preserve">; ponawia swój apel, aby Parlament i Rada poczyniły postępy w dyskusjach o wprowadzeniu stałego mechanizmu podziału mandatów w Parlamencie Europejskim; </w:t>
      </w:r>
    </w:p>
    <w:p w14:paraId="432660CD" w14:textId="77777777" w:rsidR="00503D37" w:rsidRPr="00A74B6F" w:rsidRDefault="00503D37" w:rsidP="00503D37">
      <w:pPr>
        <w:pStyle w:val="Normal12a24b"/>
      </w:pPr>
      <w:r w:rsidRPr="00A74B6F">
        <w:rPr>
          <w:rStyle w:val="BoldItalic"/>
        </w:rPr>
        <w:t>Środki wdrażania reform instytucjonalnych poprzedzających rozszerzenie</w:t>
      </w:r>
    </w:p>
    <w:p w14:paraId="325C78C2" w14:textId="77777777" w:rsidR="00503D37" w:rsidRPr="00A74B6F" w:rsidRDefault="00503D37" w:rsidP="00503D37">
      <w:pPr>
        <w:pStyle w:val="NormalHanging12a"/>
      </w:pPr>
      <w:r w:rsidRPr="00A74B6F">
        <w:t>24.</w:t>
      </w:r>
      <w:r w:rsidRPr="00A74B6F">
        <w:tab/>
        <w:t>uważa, że powyżej wskazane cele reform instytucjonalnych poprzedzających rozszerzenie można realizować za pomocą różnych środków, w tym przez uruchomienie przewidzianych w obecnych traktatach elastycznych środków w drodze ukierunkowanych zmian traktatu;</w:t>
      </w:r>
    </w:p>
    <w:p w14:paraId="20916D9D" w14:textId="77777777" w:rsidR="00503D37" w:rsidRPr="00A74B6F" w:rsidRDefault="00503D37" w:rsidP="00503D37">
      <w:pPr>
        <w:pStyle w:val="NormalHanging12a"/>
      </w:pPr>
      <w:r w:rsidRPr="00A74B6F">
        <w:t>25.</w:t>
      </w:r>
      <w:r w:rsidRPr="00A74B6F">
        <w:tab/>
        <w:t xml:space="preserve">przypomina, że liczne instrumenty elastyczności, takie jak klauzule pomostowe, wzmocniona współpraca, konstruktywne wstrzymywanie się od głosu, PESCO i mechanizmy </w:t>
      </w:r>
      <w:proofErr w:type="spellStart"/>
      <w:r w:rsidRPr="00A74B6F">
        <w:t>opt</w:t>
      </w:r>
      <w:proofErr w:type="spellEnd"/>
      <w:r w:rsidRPr="00A74B6F">
        <w:t xml:space="preserve">-out, są już możliwe w obecnych ramach prawnych UE, o czym świadczą doświadczenia związane ze strefą </w:t>
      </w:r>
      <w:proofErr w:type="spellStart"/>
      <w:r w:rsidRPr="00A74B6F">
        <w:t>Schengen</w:t>
      </w:r>
      <w:proofErr w:type="spellEnd"/>
      <w:r w:rsidRPr="00A74B6F">
        <w:t xml:space="preserve"> – jednym z największych osiągnięć Unii – i wspólną walutą; przypomina, że rozwiązania w zakresie stopniowego wprowadzania, tymczasowe odstępstwa i okresy przejściowe można negocjować dla niektórych obszarów polityki w kontekście procedur akcesyjnych;</w:t>
      </w:r>
    </w:p>
    <w:p w14:paraId="0626F04A" w14:textId="77777777" w:rsidR="00503D37" w:rsidRPr="00A74B6F" w:rsidRDefault="00503D37" w:rsidP="00503D37">
      <w:pPr>
        <w:pStyle w:val="NormalHanging12a"/>
        <w:rPr>
          <w:bCs/>
          <w:iCs/>
        </w:rPr>
      </w:pPr>
      <w:r w:rsidRPr="00A74B6F">
        <w:t>26.</w:t>
      </w:r>
      <w:r w:rsidRPr="00A74B6F">
        <w:tab/>
        <w:t>podtrzymuje swoje stanowisko, że zróżnicowana integracja powinna zawsze odbywać się w ramach traktatu i przy zachowaniu jedności instytucji UE oraz nie powinna prowadzić do tworzenia równoległych rozwiązań instytucjonalnych ani rozwiązań pośrednio sprzecznych z duchem i podstawowymi zasadami prawa Unii, lecz w stosownych przypadkach powinna umożliwiać tworzenie specjalnych organów, bez uszczerbku dla kompetencji i roli instytucji UE;</w:t>
      </w:r>
    </w:p>
    <w:p w14:paraId="1EDCE89A" w14:textId="77777777" w:rsidR="00503D37" w:rsidRPr="00A74B6F" w:rsidRDefault="00503D37" w:rsidP="00503D37">
      <w:pPr>
        <w:pStyle w:val="NormalHanging12a"/>
        <w:tabs>
          <w:tab w:val="left" w:pos="709"/>
        </w:tabs>
      </w:pPr>
      <w:r w:rsidRPr="00A74B6F">
        <w:t>27.</w:t>
      </w:r>
      <w:r w:rsidRPr="00A74B6F">
        <w:tab/>
        <w:t>wskazuje, że elastyczność przewidziana w obecnych traktatach pozwala podjąć dalsze działania na rzecz postępów w kierunku europejskiej unii obrony bez konieczności przeprowadzania kompleksowego procesu reform traktatowych; podkreśla, że utworzenie stałej europejskiej unii obrony będzie ostatecznie wymagało jednomyślnej decyzji zgodnie z art. 42 ust. 2;</w:t>
      </w:r>
    </w:p>
    <w:p w14:paraId="1BD42BBF" w14:textId="77777777" w:rsidR="00503D37" w:rsidRPr="00A74B6F" w:rsidRDefault="00503D37" w:rsidP="00503D37">
      <w:pPr>
        <w:pStyle w:val="NormalHanging12a"/>
      </w:pPr>
      <w:r w:rsidRPr="00A74B6F">
        <w:lastRenderedPageBreak/>
        <w:t>28.</w:t>
      </w:r>
      <w:r w:rsidRPr="00A74B6F">
        <w:tab/>
        <w:t>zaznacza, że w dziedzinie obronności PESCO (dawny art. 46 TUE) umożliwia grupie państw członkowskich poczynienie postępów w kierunku utworzenia europejskiego systemu obrony; zauważa, że pomimo faktu, iż PESCO wykorzystywano głównie na potrzeby projektów w dziedzinie przemysłu obronnego, współpraca ta ma szerszy potencjał, aby umożliwić zainteresowanym państwom członkowskim niezwłoczne zinstytucjonalizowanie wspólnej obrony, nawet w przypadku braku jednomyślności w Radzie Europejskiej;</w:t>
      </w:r>
    </w:p>
    <w:p w14:paraId="359F0306" w14:textId="77777777" w:rsidR="00503D37" w:rsidRPr="00A74B6F" w:rsidRDefault="00503D37" w:rsidP="00503D37">
      <w:pPr>
        <w:pStyle w:val="NormalHanging12a"/>
      </w:pPr>
      <w:r w:rsidRPr="00A74B6F">
        <w:t>29.</w:t>
      </w:r>
      <w:r w:rsidRPr="00A74B6F">
        <w:tab/>
        <w:t>podkreśla, że zgodnie z obowiązującymi postanowieniami traktatu decyzja podjęta większością kwalifikowaną umożliwiłaby utworzenie europejskiego systemu obrony na mocy art. 42 ust. 6 TUE i art. 1 lit. b) protokołu nr 10, pozostawiając jednocześnie innym państwom członkowskim możliwość przystąpienia na późniejszym etapie, jak miało to miejsce w przypadku unii gospodarczej i walutowej; w związku z tym wzywa Komisję i zainteresowane państwa członkowskie do niezwłocznego uruchomienia w tym celu postanowień PESCO;</w:t>
      </w:r>
    </w:p>
    <w:p w14:paraId="3210555B" w14:textId="0975F26C" w:rsidR="00503D37" w:rsidRPr="00A74B6F" w:rsidRDefault="00503D37" w:rsidP="00503D37">
      <w:pPr>
        <w:pStyle w:val="NormalHanging12a"/>
        <w:rPr>
          <w:bCs/>
          <w:iCs/>
        </w:rPr>
      </w:pPr>
      <w:r w:rsidRPr="00A74B6F">
        <w:t>3</w:t>
      </w:r>
      <w:r w:rsidR="00502E8E">
        <w:t>0</w:t>
      </w:r>
      <w:r w:rsidRPr="00A74B6F">
        <w:t>.</w:t>
      </w:r>
      <w:r w:rsidRPr="00A74B6F">
        <w:tab/>
        <w:t>wzywa Komisję i Radę do jasnego przedstawienia wyników przeglądów polityki oraz do opracowania, we współpracy z Parlamentem, realistycznego, etapowego planu działania na rzecz wdrożenia niezbędnych reform instytucjonalnych w związku z procesem rozszerzenia;</w:t>
      </w:r>
    </w:p>
    <w:p w14:paraId="37A75B5A" w14:textId="77777777" w:rsidR="00503D37" w:rsidRPr="00A74B6F" w:rsidRDefault="00503D37" w:rsidP="00503D37">
      <w:pPr>
        <w:pStyle w:val="NormalHanging12a"/>
        <w:jc w:val="center"/>
        <w:rPr>
          <w:bCs/>
          <w:iCs/>
        </w:rPr>
      </w:pPr>
      <w:r w:rsidRPr="00A74B6F">
        <w:t>°</w:t>
      </w:r>
    </w:p>
    <w:p w14:paraId="2A6856A0" w14:textId="77777777" w:rsidR="00503D37" w:rsidRPr="00A74B6F" w:rsidRDefault="00503D37" w:rsidP="00503D37">
      <w:pPr>
        <w:pStyle w:val="NormalHanging12a"/>
        <w:jc w:val="center"/>
        <w:rPr>
          <w:bCs/>
          <w:iCs/>
        </w:rPr>
      </w:pPr>
      <w:r w:rsidRPr="00A74B6F">
        <w:t>°</w:t>
      </w:r>
      <w:r w:rsidRPr="00A74B6F">
        <w:tab/>
        <w:t>°</w:t>
      </w:r>
    </w:p>
    <w:p w14:paraId="7FD0042C" w14:textId="0CE1C91E" w:rsidR="00A74B6F" w:rsidRPr="00A74B6F" w:rsidRDefault="00503D37" w:rsidP="00A74B6F">
      <w:pPr>
        <w:pStyle w:val="NormalHanging12a"/>
      </w:pPr>
      <w:r w:rsidRPr="00A74B6F">
        <w:t>3</w:t>
      </w:r>
      <w:r w:rsidR="00502E8E">
        <w:t>1</w:t>
      </w:r>
      <w:r w:rsidRPr="00A74B6F">
        <w:t>.</w:t>
      </w:r>
      <w:r w:rsidRPr="00A74B6F">
        <w:tab/>
        <w:t>zobowiązuje swoją przewodniczącą do przekazania niniejszej rezolucji Radzie i Komisji.</w:t>
      </w:r>
    </w:p>
    <w:p w14:paraId="774A7101" w14:textId="10ED8A6F" w:rsidR="00E365E1" w:rsidRPr="00A74B6F" w:rsidRDefault="00E365E1" w:rsidP="00A661E2"/>
    <w:sectPr w:rsidR="00E365E1" w:rsidRPr="00A74B6F" w:rsidSect="00A74B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B083" w14:textId="77777777" w:rsidR="00A661E2" w:rsidRPr="00A74B6F" w:rsidRDefault="00A661E2">
      <w:r w:rsidRPr="00A74B6F">
        <w:separator/>
      </w:r>
    </w:p>
  </w:endnote>
  <w:endnote w:type="continuationSeparator" w:id="0">
    <w:p w14:paraId="7E4D5D41" w14:textId="77777777" w:rsidR="00A661E2" w:rsidRPr="00A74B6F" w:rsidRDefault="00A661E2">
      <w:r w:rsidRPr="00A74B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F8224" w14:textId="77777777" w:rsidR="00064002" w:rsidRPr="00A74B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A206" w14:textId="77777777" w:rsidR="00064002" w:rsidRPr="00A74B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5D56D" w14:textId="77777777" w:rsidR="00064002" w:rsidRPr="00A74B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EDADD" w14:textId="77777777" w:rsidR="00A661E2" w:rsidRPr="00A74B6F" w:rsidRDefault="00A661E2">
      <w:r w:rsidRPr="00A74B6F">
        <w:separator/>
      </w:r>
    </w:p>
  </w:footnote>
  <w:footnote w:type="continuationSeparator" w:id="0">
    <w:p w14:paraId="638480EB" w14:textId="77777777" w:rsidR="00A661E2" w:rsidRPr="00A74B6F" w:rsidRDefault="00A661E2">
      <w:r w:rsidRPr="00A74B6F">
        <w:continuationSeparator/>
      </w:r>
    </w:p>
  </w:footnote>
  <w:footnote w:id="1">
    <w:p w14:paraId="6707A7DB" w14:textId="0DCB0537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 xml:space="preserve">Dz.U. C 252 z </w:t>
      </w:r>
      <w:proofErr w:type="gramStart"/>
      <w:r w:rsidRPr="00A74B6F">
        <w:rPr>
          <w:sz w:val="24"/>
          <w:lang w:val="pl-PL"/>
        </w:rPr>
        <w:t>18.7.2018</w:t>
      </w:r>
      <w:proofErr w:type="gramEnd"/>
      <w:r w:rsidRPr="00A74B6F">
        <w:rPr>
          <w:sz w:val="24"/>
          <w:lang w:val="pl-PL"/>
        </w:rPr>
        <w:t>, s. 215.</w:t>
      </w:r>
    </w:p>
  </w:footnote>
  <w:footnote w:id="2">
    <w:p w14:paraId="2BBF623D" w14:textId="71C0297C" w:rsidR="00503D37" w:rsidRPr="00C117B4" w:rsidRDefault="00503D37" w:rsidP="00A74B6F">
      <w:pPr>
        <w:pStyle w:val="FootnoteText"/>
        <w:ind w:left="567" w:hanging="567"/>
        <w:rPr>
          <w:sz w:val="24"/>
          <w:lang w:val="fi-FI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C117B4">
        <w:rPr>
          <w:sz w:val="24"/>
          <w:lang w:val="fi-FI"/>
        </w:rPr>
        <w:t xml:space="preserve"> </w:t>
      </w:r>
      <w:r w:rsidR="00A74B6F" w:rsidRPr="00C117B4">
        <w:rPr>
          <w:sz w:val="24"/>
          <w:lang w:val="fi-FI"/>
        </w:rPr>
        <w:tab/>
      </w:r>
      <w:r w:rsidRPr="00C117B4">
        <w:rPr>
          <w:sz w:val="24"/>
          <w:lang w:val="fi-FI"/>
        </w:rPr>
        <w:t xml:space="preserve">Dz.U. C, C/2024/3996, 17.7.2024, ELI: </w:t>
      </w:r>
      <w:r w:rsidR="0018605B">
        <w:fldChar w:fldCharType="begin"/>
      </w:r>
      <w:r w:rsidR="0018605B" w:rsidRPr="00C117B4">
        <w:rPr>
          <w:lang w:val="fi-FI"/>
        </w:rPr>
        <w:instrText>HYPERLINK "http://data.europa.eu/eli/C/2024/3996/oj"</w:instrText>
      </w:r>
      <w:r w:rsidR="0018605B">
        <w:fldChar w:fldCharType="separate"/>
      </w:r>
      <w:r w:rsidR="00575477" w:rsidRPr="00C117B4">
        <w:rPr>
          <w:rStyle w:val="Hyperlink"/>
          <w:sz w:val="24"/>
          <w:lang w:val="fi-FI"/>
        </w:rPr>
        <w:t>http://data.europa.eu/eli/C/2024/3996/oj</w:t>
      </w:r>
      <w:r w:rsidR="0018605B">
        <w:rPr>
          <w:rStyle w:val="Hyperlink"/>
          <w:sz w:val="24"/>
          <w:lang w:val="pl-PL"/>
        </w:rPr>
        <w:fldChar w:fldCharType="end"/>
      </w:r>
      <w:r w:rsidRPr="00C117B4">
        <w:rPr>
          <w:sz w:val="24"/>
          <w:lang w:val="fi-FI"/>
        </w:rPr>
        <w:t>.</w:t>
      </w:r>
    </w:p>
  </w:footnote>
  <w:footnote w:id="3">
    <w:p w14:paraId="6828844A" w14:textId="2F9C45C9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>Dz.U. C 465 z 6.12.2022, s. 109.</w:t>
      </w:r>
    </w:p>
  </w:footnote>
  <w:footnote w:id="4">
    <w:p w14:paraId="75680BAE" w14:textId="16582F5D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>Dz.U. C 493 z 27.12.2022, s. 130.</w:t>
      </w:r>
    </w:p>
  </w:footnote>
  <w:footnote w:id="5">
    <w:p w14:paraId="33951BA1" w14:textId="3D06DBF7" w:rsidR="00503D37" w:rsidRPr="00502E8E" w:rsidRDefault="00503D37" w:rsidP="00A74B6F">
      <w:pPr>
        <w:pStyle w:val="FootnoteText"/>
        <w:ind w:left="567" w:hanging="567"/>
        <w:rPr>
          <w:sz w:val="24"/>
          <w:lang w:val="fi-FI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502E8E">
        <w:rPr>
          <w:sz w:val="24"/>
          <w:lang w:val="fi-FI"/>
        </w:rPr>
        <w:t xml:space="preserve"> </w:t>
      </w:r>
      <w:r w:rsidR="00A74B6F" w:rsidRPr="00502E8E">
        <w:rPr>
          <w:sz w:val="24"/>
          <w:lang w:val="fi-FI"/>
        </w:rPr>
        <w:tab/>
      </w:r>
      <w:proofErr w:type="spellStart"/>
      <w:r w:rsidRPr="00502E8E">
        <w:rPr>
          <w:sz w:val="24"/>
          <w:lang w:val="fi-FI"/>
        </w:rPr>
        <w:t>Dz.U</w:t>
      </w:r>
      <w:proofErr w:type="spellEnd"/>
      <w:r w:rsidRPr="00502E8E">
        <w:rPr>
          <w:sz w:val="24"/>
          <w:lang w:val="fi-FI"/>
        </w:rPr>
        <w:t xml:space="preserve">. C, C/2024/4216, 24.7.2024, ELI: </w:t>
      </w:r>
      <w:hyperlink r:id="rId1" w:history="1">
        <w:r w:rsidR="00575477" w:rsidRPr="00903767">
          <w:rPr>
            <w:rStyle w:val="Hyperlink"/>
            <w:sz w:val="24"/>
            <w:lang w:val="fi-FI"/>
          </w:rPr>
          <w:t>http://data.europa.eu/eli/C/2024/4216/oj</w:t>
        </w:r>
      </w:hyperlink>
      <w:r w:rsidRPr="00502E8E">
        <w:rPr>
          <w:sz w:val="24"/>
          <w:lang w:val="fi-FI"/>
        </w:rPr>
        <w:t>.</w:t>
      </w:r>
    </w:p>
  </w:footnote>
  <w:footnote w:id="6">
    <w:p w14:paraId="7A51CE6B" w14:textId="3829E4E0" w:rsidR="00503D37" w:rsidRPr="00502E8E" w:rsidRDefault="00503D37" w:rsidP="00A74B6F">
      <w:pPr>
        <w:pStyle w:val="FootnoteText"/>
        <w:ind w:left="567" w:hanging="567"/>
        <w:rPr>
          <w:sz w:val="24"/>
          <w:lang w:val="fi-FI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502E8E">
        <w:rPr>
          <w:sz w:val="24"/>
          <w:lang w:val="fi-FI"/>
        </w:rPr>
        <w:t xml:space="preserve"> </w:t>
      </w:r>
      <w:r w:rsidR="00A74B6F" w:rsidRPr="00502E8E">
        <w:rPr>
          <w:sz w:val="24"/>
          <w:lang w:val="fi-FI"/>
        </w:rPr>
        <w:tab/>
      </w:r>
      <w:r w:rsidRPr="00502E8E">
        <w:rPr>
          <w:sz w:val="24"/>
          <w:lang w:val="fi-FI"/>
        </w:rPr>
        <w:t xml:space="preserve">Dz.U. C, C/2024/6746, 26.11.2024, ELI: </w:t>
      </w:r>
      <w:r w:rsidR="00C117B4">
        <w:fldChar w:fldCharType="begin"/>
      </w:r>
      <w:r w:rsidR="00C117B4" w:rsidRPr="00C117B4">
        <w:rPr>
          <w:lang w:val="fi-FI"/>
        </w:rPr>
        <w:instrText>HYPERLINK "http://data.europa.eu/eli/C/2024/6746/oj"</w:instrText>
      </w:r>
      <w:r w:rsidR="00C117B4">
        <w:fldChar w:fldCharType="separate"/>
      </w:r>
      <w:r w:rsidR="00575477" w:rsidRPr="00903767">
        <w:rPr>
          <w:rStyle w:val="Hyperlink"/>
          <w:sz w:val="24"/>
          <w:lang w:val="fi-FI"/>
        </w:rPr>
        <w:t>http://data.europa.eu/eli/C/2024/6746/oj</w:t>
      </w:r>
      <w:r w:rsidR="00C117B4">
        <w:rPr>
          <w:rStyle w:val="Hyperlink"/>
          <w:sz w:val="24"/>
          <w:lang w:val="fi-FI"/>
        </w:rPr>
        <w:fldChar w:fldCharType="end"/>
      </w:r>
      <w:r w:rsidRPr="00502E8E">
        <w:rPr>
          <w:sz w:val="24"/>
          <w:lang w:val="fi-FI"/>
        </w:rPr>
        <w:t>.</w:t>
      </w:r>
    </w:p>
  </w:footnote>
  <w:footnote w:id="7">
    <w:p w14:paraId="2F68E465" w14:textId="5D6BC448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>Teksty przyjęte, P10_</w:t>
      </w:r>
      <w:proofErr w:type="gramStart"/>
      <w:r w:rsidRPr="00A74B6F">
        <w:rPr>
          <w:sz w:val="24"/>
          <w:lang w:val="pl-PL"/>
        </w:rPr>
        <w:t>TA(</w:t>
      </w:r>
      <w:proofErr w:type="gramEnd"/>
      <w:r w:rsidRPr="00A74B6F">
        <w:rPr>
          <w:sz w:val="24"/>
          <w:lang w:val="pl-PL"/>
        </w:rPr>
        <w:t>2025)0090.</w:t>
      </w:r>
    </w:p>
  </w:footnote>
  <w:footnote w:id="8">
    <w:p w14:paraId="660EC48A" w14:textId="1E8D924C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 xml:space="preserve">Decyzja Rady (UE, </w:t>
      </w:r>
      <w:proofErr w:type="spellStart"/>
      <w:r w:rsidRPr="00A74B6F">
        <w:rPr>
          <w:sz w:val="24"/>
          <w:lang w:val="pl-PL"/>
        </w:rPr>
        <w:t>Euratom</w:t>
      </w:r>
      <w:proofErr w:type="spellEnd"/>
      <w:r w:rsidRPr="00A74B6F">
        <w:rPr>
          <w:sz w:val="24"/>
          <w:lang w:val="pl-PL"/>
        </w:rPr>
        <w:t>) 2018/994 z dnia 13 lipca 2018 r. zmieniająca Akt dotyczący wyborów przedstawicieli do Parlamentu Europejskiego w powszechnych wyborach bezpośrednich, załączony do decyzji Rady 76/787/</w:t>
      </w:r>
      <w:proofErr w:type="spellStart"/>
      <w:r w:rsidRPr="00A74B6F">
        <w:rPr>
          <w:sz w:val="24"/>
          <w:lang w:val="pl-PL"/>
        </w:rPr>
        <w:t>EWWiS</w:t>
      </w:r>
      <w:proofErr w:type="spellEnd"/>
      <w:r w:rsidRPr="00A74B6F">
        <w:rPr>
          <w:sz w:val="24"/>
          <w:lang w:val="pl-PL"/>
        </w:rPr>
        <w:t xml:space="preserve">, EWG, </w:t>
      </w:r>
      <w:proofErr w:type="spellStart"/>
      <w:r w:rsidRPr="00A74B6F">
        <w:rPr>
          <w:sz w:val="24"/>
          <w:lang w:val="pl-PL"/>
        </w:rPr>
        <w:t>Euratom</w:t>
      </w:r>
      <w:proofErr w:type="spellEnd"/>
      <w:r w:rsidRPr="00A74B6F">
        <w:rPr>
          <w:sz w:val="24"/>
          <w:lang w:val="pl-PL"/>
        </w:rPr>
        <w:t xml:space="preserve"> z dnia 20 września 1976 r. (Dz.U. L 178 z </w:t>
      </w:r>
      <w:proofErr w:type="gramStart"/>
      <w:r w:rsidRPr="00A74B6F">
        <w:rPr>
          <w:sz w:val="24"/>
          <w:lang w:val="pl-PL"/>
        </w:rPr>
        <w:t>16.7.2018</w:t>
      </w:r>
      <w:proofErr w:type="gramEnd"/>
      <w:r w:rsidRPr="00A74B6F">
        <w:rPr>
          <w:sz w:val="24"/>
          <w:lang w:val="pl-PL"/>
        </w:rPr>
        <w:t>, s. 1, ELI: </w:t>
      </w:r>
      <w:hyperlink r:id="rId2" w:tooltip="Gives access to this document through its ELI URI." w:history="1">
        <w:r w:rsidRPr="00A74B6F">
          <w:rPr>
            <w:rStyle w:val="Hyperlink"/>
            <w:sz w:val="24"/>
            <w:lang w:val="pl-PL"/>
          </w:rPr>
          <w:t>http://data.europa.eu/eli/dec/2018/994/oj</w:t>
        </w:r>
      </w:hyperlink>
      <w:r w:rsidRPr="00A74B6F">
        <w:rPr>
          <w:sz w:val="24"/>
          <w:lang w:val="pl-PL"/>
        </w:rPr>
        <w:t>).</w:t>
      </w:r>
    </w:p>
  </w:footnote>
  <w:footnote w:id="9">
    <w:p w14:paraId="5F96D7C5" w14:textId="14E111FD" w:rsidR="00503D37" w:rsidRPr="00A74B6F" w:rsidRDefault="00503D37" w:rsidP="00A74B6F">
      <w:pPr>
        <w:pStyle w:val="FootnoteText"/>
        <w:ind w:left="567" w:hanging="567"/>
        <w:rPr>
          <w:sz w:val="24"/>
          <w:lang w:val="pl-PL"/>
        </w:rPr>
      </w:pPr>
      <w:r w:rsidRPr="00A74B6F">
        <w:rPr>
          <w:rStyle w:val="FootnoteReference"/>
          <w:sz w:val="24"/>
          <w:lang w:val="pl-PL"/>
        </w:rPr>
        <w:footnoteRef/>
      </w:r>
      <w:r w:rsidR="00A74B6F" w:rsidRPr="00A74B6F">
        <w:rPr>
          <w:sz w:val="24"/>
          <w:lang w:val="pl-PL"/>
        </w:rPr>
        <w:t xml:space="preserve"> </w:t>
      </w:r>
      <w:r w:rsidR="00A74B6F" w:rsidRPr="00A74B6F">
        <w:rPr>
          <w:sz w:val="24"/>
          <w:lang w:val="pl-PL"/>
        </w:rPr>
        <w:tab/>
      </w:r>
      <w:r w:rsidRPr="00A74B6F">
        <w:rPr>
          <w:sz w:val="24"/>
          <w:lang w:val="pl-PL"/>
        </w:rPr>
        <w:t xml:space="preserve">Rezolucja ustawodawcza Parlamentu Europejskiego z </w:t>
      </w:r>
      <w:r w:rsidR="00575477" w:rsidRPr="00502E8E">
        <w:rPr>
          <w:lang w:val="pl-PL"/>
        </w:rPr>
        <w:t xml:space="preserve">dnia </w:t>
      </w:r>
      <w:r w:rsidRPr="00A74B6F">
        <w:rPr>
          <w:sz w:val="24"/>
          <w:lang w:val="pl-PL"/>
        </w:rPr>
        <w:t>3 maja 2022 r. w sprawie wniosku dotyczącego rozporządzenia Rady w sprawie wyboru posłów do Parlamentu Europejskiego w powszechnych wyborach bezpośrednich, uchylającego decyzję Rady (76/787/</w:t>
      </w:r>
      <w:proofErr w:type="spellStart"/>
      <w:r w:rsidRPr="00A74B6F">
        <w:rPr>
          <w:sz w:val="24"/>
          <w:lang w:val="pl-PL"/>
        </w:rPr>
        <w:t>EWWiS</w:t>
      </w:r>
      <w:proofErr w:type="spellEnd"/>
      <w:r w:rsidRPr="00A74B6F">
        <w:rPr>
          <w:sz w:val="24"/>
          <w:lang w:val="pl-PL"/>
        </w:rPr>
        <w:t xml:space="preserve">, EWG, </w:t>
      </w:r>
      <w:proofErr w:type="spellStart"/>
      <w:r w:rsidRPr="00A74B6F">
        <w:rPr>
          <w:sz w:val="24"/>
          <w:lang w:val="pl-PL"/>
        </w:rPr>
        <w:t>Euratom</w:t>
      </w:r>
      <w:proofErr w:type="spellEnd"/>
      <w:r w:rsidRPr="00A74B6F">
        <w:rPr>
          <w:sz w:val="24"/>
          <w:lang w:val="pl-PL"/>
        </w:rPr>
        <w:t>) oraz Akt dotyczący wyborów przedstawicieli do Parlamentu Europejskiego w powszechnych wyborach bezpośrednich załączony do tej decyzji (Dz.U. C 465 z 6.12.2022, s. 171).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3854" w14:textId="77777777" w:rsidR="00064002" w:rsidRPr="00A74B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D730" w14:textId="77777777" w:rsidR="00064002" w:rsidRPr="00A74B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44C7C" w14:textId="77777777" w:rsidR="00064002" w:rsidRPr="00A74B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4529694">
    <w:abstractNumId w:val="9"/>
  </w:num>
  <w:num w:numId="2" w16cid:durableId="1399475162">
    <w:abstractNumId w:val="9"/>
  </w:num>
  <w:num w:numId="3" w16cid:durableId="102192218">
    <w:abstractNumId w:val="7"/>
  </w:num>
  <w:num w:numId="4" w16cid:durableId="1867251920">
    <w:abstractNumId w:val="7"/>
  </w:num>
  <w:num w:numId="5" w16cid:durableId="843055961">
    <w:abstractNumId w:val="6"/>
  </w:num>
  <w:num w:numId="6" w16cid:durableId="936059849">
    <w:abstractNumId w:val="6"/>
  </w:num>
  <w:num w:numId="7" w16cid:durableId="1445539394">
    <w:abstractNumId w:val="5"/>
  </w:num>
  <w:num w:numId="8" w16cid:durableId="1192494825">
    <w:abstractNumId w:val="5"/>
  </w:num>
  <w:num w:numId="9" w16cid:durableId="1570918893">
    <w:abstractNumId w:val="4"/>
  </w:num>
  <w:num w:numId="10" w16cid:durableId="499347360">
    <w:abstractNumId w:val="4"/>
  </w:num>
  <w:num w:numId="11" w16cid:durableId="1483767473">
    <w:abstractNumId w:val="8"/>
  </w:num>
  <w:num w:numId="12" w16cid:durableId="966395128">
    <w:abstractNumId w:val="8"/>
  </w:num>
  <w:num w:numId="13" w16cid:durableId="20010679">
    <w:abstractNumId w:val="3"/>
  </w:num>
  <w:num w:numId="14" w16cid:durableId="1695963755">
    <w:abstractNumId w:val="3"/>
  </w:num>
  <w:num w:numId="15" w16cid:durableId="1023092988">
    <w:abstractNumId w:val="2"/>
  </w:num>
  <w:num w:numId="16" w16cid:durableId="1680620083">
    <w:abstractNumId w:val="2"/>
  </w:num>
  <w:num w:numId="17" w16cid:durableId="1029138705">
    <w:abstractNumId w:val="1"/>
  </w:num>
  <w:num w:numId="18" w16cid:durableId="1216624807">
    <w:abstractNumId w:val="1"/>
  </w:num>
  <w:num w:numId="19" w16cid:durableId="757100499">
    <w:abstractNumId w:val="0"/>
  </w:num>
  <w:num w:numId="20" w16cid:durableId="885292833">
    <w:abstractNumId w:val="0"/>
  </w:num>
  <w:num w:numId="21" w16cid:durableId="1304891660">
    <w:abstractNumId w:val="9"/>
  </w:num>
  <w:num w:numId="22" w16cid:durableId="331687866">
    <w:abstractNumId w:val="7"/>
  </w:num>
  <w:num w:numId="23" w16cid:durableId="2102293251">
    <w:abstractNumId w:val="6"/>
  </w:num>
  <w:num w:numId="24" w16cid:durableId="1608467227">
    <w:abstractNumId w:val="5"/>
  </w:num>
  <w:num w:numId="25" w16cid:durableId="327172972">
    <w:abstractNumId w:val="4"/>
  </w:num>
  <w:num w:numId="26" w16cid:durableId="842431989">
    <w:abstractNumId w:val="8"/>
  </w:num>
  <w:num w:numId="27" w16cid:durableId="364793354">
    <w:abstractNumId w:val="3"/>
  </w:num>
  <w:num w:numId="28" w16cid:durableId="94837341">
    <w:abstractNumId w:val="2"/>
  </w:num>
  <w:num w:numId="29" w16cid:durableId="1549301378">
    <w:abstractNumId w:val="1"/>
  </w:num>
  <w:num w:numId="30" w16cid:durableId="1125587882">
    <w:abstractNumId w:val="0"/>
  </w:num>
  <w:num w:numId="31" w16cid:durableId="85005128">
    <w:abstractNumId w:val="9"/>
  </w:num>
  <w:num w:numId="32" w16cid:durableId="1335574397">
    <w:abstractNumId w:val="7"/>
  </w:num>
  <w:num w:numId="33" w16cid:durableId="1763263227">
    <w:abstractNumId w:val="6"/>
  </w:num>
  <w:num w:numId="34" w16cid:durableId="1400907218">
    <w:abstractNumId w:val="5"/>
  </w:num>
  <w:num w:numId="35" w16cid:durableId="2110001857">
    <w:abstractNumId w:val="4"/>
  </w:num>
  <w:num w:numId="36" w16cid:durableId="1079401796">
    <w:abstractNumId w:val="8"/>
  </w:num>
  <w:num w:numId="37" w16cid:durableId="1357927703">
    <w:abstractNumId w:val="3"/>
  </w:num>
  <w:num w:numId="38" w16cid:durableId="1952735069">
    <w:abstractNumId w:val="2"/>
  </w:num>
  <w:num w:numId="39" w16cid:durableId="1284195397">
    <w:abstractNumId w:val="1"/>
  </w:num>
  <w:num w:numId="40" w16cid:durableId="1955598953">
    <w:abstractNumId w:val="0"/>
  </w:num>
  <w:num w:numId="41" w16cid:durableId="1260136180">
    <w:abstractNumId w:val="10"/>
  </w:num>
  <w:num w:numId="42" w16cid:durableId="1763913092">
    <w:abstractNumId w:val="10"/>
  </w:num>
  <w:num w:numId="43" w16cid:durableId="1900094392">
    <w:abstractNumId w:val="10"/>
  </w:num>
  <w:num w:numId="44" w16cid:durableId="8935434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PL"/>
    <w:docVar w:name="dvnumam" w:val="0"/>
    <w:docVar w:name="dvpe" w:val="774.293"/>
    <w:docVar w:name="dvrapporteur" w:val="Sprawozdawca: "/>
    <w:docVar w:name="dvstar" w:val="??"/>
    <w:docVar w:name="dvtitre" w:val="Rezolucja Parlamentu Europejskiego z dnia  2025 r. w sprawie skutków instytucjonalnych negocjacji w sprawie rozszerzenia UE(2025/2041(INI))"/>
  </w:docVars>
  <w:rsids>
    <w:rsidRoot w:val="00A661E2"/>
    <w:rsid w:val="00002272"/>
    <w:rsid w:val="00064002"/>
    <w:rsid w:val="000677B9"/>
    <w:rsid w:val="000831BA"/>
    <w:rsid w:val="000A42CC"/>
    <w:rsid w:val="000E7DD9"/>
    <w:rsid w:val="0010095E"/>
    <w:rsid w:val="00125B37"/>
    <w:rsid w:val="0018605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415"/>
    <w:rsid w:val="004C0004"/>
    <w:rsid w:val="004C5D52"/>
    <w:rsid w:val="00502E8E"/>
    <w:rsid w:val="00503D37"/>
    <w:rsid w:val="0050519A"/>
    <w:rsid w:val="005072A1"/>
    <w:rsid w:val="00514517"/>
    <w:rsid w:val="00545827"/>
    <w:rsid w:val="00560270"/>
    <w:rsid w:val="00575477"/>
    <w:rsid w:val="005C2568"/>
    <w:rsid w:val="005F1B17"/>
    <w:rsid w:val="006037C0"/>
    <w:rsid w:val="006631B6"/>
    <w:rsid w:val="00680577"/>
    <w:rsid w:val="006F74FA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1E2"/>
    <w:rsid w:val="00A74B6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7B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E4BA9"/>
  <w15:chartTrackingRefBased/>
  <w15:docId w15:val="{9C852A35-F1E1-4F84-B4EF-031DB78F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3D3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03D37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03D37"/>
    <w:rPr>
      <w:b/>
      <w:i/>
      <w:u w:val="none"/>
    </w:rPr>
  </w:style>
  <w:style w:type="character" w:customStyle="1" w:styleId="Italic">
    <w:name w:val="Italic"/>
    <w:uiPriority w:val="1"/>
    <w:rsid w:val="00503D37"/>
    <w:rPr>
      <w:i/>
    </w:rPr>
  </w:style>
  <w:style w:type="paragraph" w:customStyle="1" w:styleId="Normal12a24b">
    <w:name w:val="Normal12a24b"/>
    <w:basedOn w:val="Normal"/>
    <w:rsid w:val="00503D3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03D37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03D37"/>
    <w:rPr>
      <w:snapToGrid w:val="0"/>
      <w:sz w:val="24"/>
      <w:lang w:val="pl-PL" w:eastAsia="en-US"/>
    </w:rPr>
  </w:style>
  <w:style w:type="paragraph" w:styleId="Revision">
    <w:name w:val="Revision"/>
    <w:hidden/>
    <w:uiPriority w:val="99"/>
    <w:semiHidden/>
    <w:rsid w:val="00502E8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ec/2018/994/oj" TargetMode="External"/><Relationship Id="rId1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3557</Words>
  <Characters>23540</Characters>
  <Application>Microsoft Office Word</Application>
  <DocSecurity>0</DocSecurity>
  <Lines>196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2025-10-22T14:43:00Z</dcterms:created>
  <dcterms:modified xsi:type="dcterms:W3CDTF">2025-10-22T14:43:00Z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