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6C09" w14:paraId="63C166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8E24DD" w14:textId="77777777" w:rsidR="00751A4A" w:rsidRPr="00266C09" w:rsidRDefault="00D74B1D" w:rsidP="0010095E">
            <w:pPr>
              <w:pStyle w:val="EPName"/>
            </w:pPr>
            <w:r w:rsidRPr="00266C09">
              <w:t xml:space="preserve">Parlamento </w:t>
            </w:r>
            <w:proofErr w:type="gramStart"/>
            <w:r w:rsidRPr="00266C09">
              <w:t>Europeu</w:t>
            </w:r>
            <w:proofErr w:type="gramEnd"/>
          </w:p>
          <w:p w14:paraId="60290501" w14:textId="77777777" w:rsidR="00751A4A" w:rsidRPr="00266C0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6C09">
              <w:t>2024</w:t>
            </w:r>
            <w:r w:rsidR="00817416" w:rsidRPr="00266C09">
              <w:t>-202</w:t>
            </w:r>
            <w:r w:rsidRPr="00266C09">
              <w:t>9</w:t>
            </w:r>
          </w:p>
        </w:tc>
        <w:tc>
          <w:tcPr>
            <w:tcW w:w="2268" w:type="dxa"/>
            <w:shd w:val="clear" w:color="auto" w:fill="auto"/>
          </w:tcPr>
          <w:p w14:paraId="20B1E596" w14:textId="77777777" w:rsidR="00751A4A" w:rsidRPr="00266C09" w:rsidRDefault="00187494" w:rsidP="0010095E">
            <w:pPr>
              <w:pStyle w:val="EPLogo"/>
            </w:pPr>
            <w:r w:rsidRPr="00266C09">
              <w:rPr>
                <w:noProof/>
                <w:lang w:eastAsia="ja-JP"/>
              </w:rPr>
              <w:drawing>
                <wp:inline distT="0" distB="0" distL="0" distR="0" wp14:anchorId="62C3E82B" wp14:editId="10AEA8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81B4F7" w14:textId="77777777" w:rsidR="00D058B8" w:rsidRPr="00266C09" w:rsidRDefault="00D058B8" w:rsidP="004C5D52">
      <w:pPr>
        <w:pStyle w:val="LineTop"/>
      </w:pPr>
    </w:p>
    <w:p w14:paraId="440828C5" w14:textId="77777777" w:rsidR="00680577" w:rsidRPr="00266C09" w:rsidRDefault="00D74B1D" w:rsidP="00680577">
      <w:pPr>
        <w:pStyle w:val="EPBodyTA1"/>
      </w:pPr>
      <w:r w:rsidRPr="00266C09">
        <w:t>TEXTOS APROVADOS</w:t>
      </w:r>
    </w:p>
    <w:p w14:paraId="0810DA86" w14:textId="77777777" w:rsidR="00D058B8" w:rsidRPr="00266C09" w:rsidRDefault="00D058B8" w:rsidP="00D058B8">
      <w:pPr>
        <w:pStyle w:val="LineBottom"/>
      </w:pPr>
    </w:p>
    <w:p w14:paraId="099BE8B3" w14:textId="70583466" w:rsidR="00D74B1D" w:rsidRPr="00266C09" w:rsidRDefault="00D74B1D" w:rsidP="00D74B1D">
      <w:pPr>
        <w:pStyle w:val="ATHeading1"/>
      </w:pPr>
      <w:bookmarkStart w:id="0" w:name="TANumber"/>
      <w:r w:rsidRPr="00266C09">
        <w:t>P10_TA(2025)0</w:t>
      </w:r>
      <w:r w:rsidR="00B420E0" w:rsidRPr="00266C09">
        <w:t>247</w:t>
      </w:r>
      <w:bookmarkEnd w:id="0"/>
    </w:p>
    <w:p w14:paraId="3D3AE056" w14:textId="77777777" w:rsidR="00D74B1D" w:rsidRPr="00266C09" w:rsidRDefault="00D74B1D" w:rsidP="00D74B1D">
      <w:pPr>
        <w:pStyle w:val="ATHeading2"/>
      </w:pPr>
      <w:bookmarkStart w:id="1" w:name="title"/>
      <w:r w:rsidRPr="00266C09">
        <w:t>Consequências institucionais das negociações sobre o alargamento da UE</w:t>
      </w:r>
      <w:bookmarkEnd w:id="1"/>
    </w:p>
    <w:p w14:paraId="16BD1DC2" w14:textId="77777777" w:rsidR="00D74B1D" w:rsidRPr="00266C09" w:rsidRDefault="00D74B1D" w:rsidP="00D74B1D">
      <w:pPr>
        <w:rPr>
          <w:i/>
          <w:vanish/>
        </w:rPr>
      </w:pPr>
      <w:r w:rsidRPr="00266C09">
        <w:rPr>
          <w:i/>
        </w:rPr>
        <w:fldChar w:fldCharType="begin"/>
      </w:r>
      <w:r w:rsidRPr="00266C09">
        <w:rPr>
          <w:i/>
        </w:rPr>
        <w:instrText xml:space="preserve"> TC"(</w:instrText>
      </w:r>
      <w:bookmarkStart w:id="2" w:name="DocNumber"/>
      <w:r w:rsidRPr="00266C09">
        <w:rPr>
          <w:i/>
        </w:rPr>
        <w:instrText>A10-0177/2025</w:instrText>
      </w:r>
      <w:bookmarkEnd w:id="2"/>
      <w:r w:rsidRPr="00266C09">
        <w:rPr>
          <w:i/>
        </w:rPr>
        <w:instrText xml:space="preserve"> - Relator: Sandro Gozi)"\l3 \n&gt; \* MERGEFORMAT </w:instrText>
      </w:r>
      <w:r w:rsidRPr="00266C09">
        <w:rPr>
          <w:i/>
        </w:rPr>
        <w:fldChar w:fldCharType="end"/>
      </w:r>
    </w:p>
    <w:p w14:paraId="702B5F22" w14:textId="77777777" w:rsidR="00D74B1D" w:rsidRPr="00266C09" w:rsidRDefault="00D74B1D" w:rsidP="00D74B1D">
      <w:pPr>
        <w:rPr>
          <w:vanish/>
        </w:rPr>
      </w:pPr>
      <w:bookmarkStart w:id="3" w:name="Commission"/>
      <w:r w:rsidRPr="00266C09">
        <w:rPr>
          <w:vanish/>
        </w:rPr>
        <w:t>Comissão dos Assuntos Constitucionais</w:t>
      </w:r>
      <w:bookmarkEnd w:id="3"/>
    </w:p>
    <w:p w14:paraId="4AED9C61" w14:textId="77777777" w:rsidR="00D74B1D" w:rsidRPr="00266C09" w:rsidRDefault="00D74B1D" w:rsidP="00D74B1D">
      <w:pPr>
        <w:rPr>
          <w:vanish/>
        </w:rPr>
      </w:pPr>
      <w:bookmarkStart w:id="4" w:name="PE"/>
      <w:r w:rsidRPr="00266C09">
        <w:rPr>
          <w:vanish/>
        </w:rPr>
        <w:t>PE774.293</w:t>
      </w:r>
      <w:bookmarkEnd w:id="4"/>
    </w:p>
    <w:p w14:paraId="2839D1E8" w14:textId="663150D4" w:rsidR="00D74B1D" w:rsidRPr="00266C09" w:rsidRDefault="00D74B1D" w:rsidP="00D74B1D">
      <w:pPr>
        <w:pStyle w:val="ATHeading3"/>
      </w:pPr>
      <w:bookmarkStart w:id="5" w:name="Sujet"/>
      <w:r w:rsidRPr="00266C09">
        <w:t xml:space="preserve">Resolução do Parlamento Europeu, de </w:t>
      </w:r>
      <w:r w:rsidR="005F0FB1" w:rsidRPr="00266C09">
        <w:t xml:space="preserve">22 </w:t>
      </w:r>
      <w:r w:rsidRPr="00266C09">
        <w:t xml:space="preserve">de </w:t>
      </w:r>
      <w:r w:rsidR="005F0FB1" w:rsidRPr="00266C09">
        <w:t xml:space="preserve">outubro </w:t>
      </w:r>
      <w:r w:rsidRPr="00266C09">
        <w:t xml:space="preserve">de 2025, </w:t>
      </w:r>
      <w:r w:rsidR="005F0FB1" w:rsidRPr="00266C09">
        <w:t>sobre as c</w:t>
      </w:r>
      <w:r w:rsidRPr="00266C09">
        <w:t>onsequências institucionais das negociações sobre o alargamento da UE</w:t>
      </w:r>
      <w:bookmarkEnd w:id="5"/>
      <w:r w:rsidRPr="00266C09">
        <w:t xml:space="preserve"> </w:t>
      </w:r>
      <w:bookmarkStart w:id="6" w:name="References"/>
      <w:r w:rsidRPr="00266C09">
        <w:t>(2025/2041(INI))</w:t>
      </w:r>
      <w:bookmarkEnd w:id="6"/>
    </w:p>
    <w:p w14:paraId="3D3E021C" w14:textId="77777777" w:rsidR="00821291" w:rsidRPr="00266C09" w:rsidRDefault="00821291" w:rsidP="00821291">
      <w:pPr>
        <w:pStyle w:val="EPComma"/>
      </w:pPr>
      <w:r w:rsidRPr="00266C09">
        <w:rPr>
          <w:rStyle w:val="Italic"/>
        </w:rPr>
        <w:t>O Parlamento Europeu</w:t>
      </w:r>
      <w:r w:rsidRPr="00266C09">
        <w:t>,</w:t>
      </w:r>
    </w:p>
    <w:p w14:paraId="0EE3C783" w14:textId="77777777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>Tendo em conta o Tratado da União Europeia (TUE), em particular os seus artigos 31.º, n.º 3, 48.º e 49.º,</w:t>
      </w:r>
    </w:p>
    <w:p w14:paraId="5369B02D" w14:textId="77777777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>Tendo em conta o Tratado sobre o Funcionamento da União Europeia, nomeadamente os seus artigos 81.º, n.º 3, 83.º, 136.º, 153.º, n.º 2, 192.º, n.º 2, 312.º, n.º 2, e 333.º,</w:t>
      </w:r>
    </w:p>
    <w:p w14:paraId="1898820C" w14:textId="77777777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>Tendo em conta as Conclusões do Conselho Europeu de 23 e 24 de junho de 2022, de 29 e 30 de junho de 2023, de 26 e 27 de outubro de 2023, de 14 e 15 de dezembro de 2023 e de 27 de junho de 2024,</w:t>
      </w:r>
    </w:p>
    <w:p w14:paraId="2DC1B5B7" w14:textId="77777777" w:rsidR="00821291" w:rsidRPr="00266C09" w:rsidRDefault="00821291" w:rsidP="00821291">
      <w:pPr>
        <w:pStyle w:val="NormalHanging12a"/>
        <w:rPr>
          <w:bCs/>
          <w:iCs/>
        </w:rPr>
      </w:pPr>
      <w:r w:rsidRPr="00266C09">
        <w:t>–</w:t>
      </w:r>
      <w:r w:rsidRPr="00266C09">
        <w:tab/>
        <w:t>Tendo em conta a Declaração de Granada do Conselho Europeu, de 6 de outubro de 2023,</w:t>
      </w:r>
    </w:p>
    <w:p w14:paraId="7B64FF86" w14:textId="77777777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>Tendo em conta o Relatório intercalar da Presidência do Conselho sobre o futuro da Europa, de 10 de junho de 2024,</w:t>
      </w:r>
    </w:p>
    <w:p w14:paraId="6CABB3E9" w14:textId="66894FDE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>Tendo em conta a Comunicação da Comissão, de 23 de março de 2024, sobre reformas e revisões das políticas antes do alargamento (</w:t>
      </w:r>
      <w:r w:rsidR="005F0FB1" w:rsidRPr="00266C09">
        <w:t>COM(2024)0146</w:t>
      </w:r>
      <w:r w:rsidRPr="00266C09">
        <w:t>),</w:t>
      </w:r>
    </w:p>
    <w:p w14:paraId="1221D1C8" w14:textId="1002F823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>Tendo em conta as suas Resoluções, de 16 de fevereiro de 2017, sobre melhorar o funcionamento da União Europeia com base no potencial do Tratado de Lisboa</w:t>
      </w:r>
      <w:r w:rsidRPr="00266C09">
        <w:rPr>
          <w:rStyle w:val="FootnoteReference"/>
        </w:rPr>
        <w:footnoteReference w:id="1"/>
      </w:r>
      <w:r w:rsidR="005F0FB1" w:rsidRPr="00266C09">
        <w:t>,</w:t>
      </w:r>
      <w:r w:rsidRPr="00266C09">
        <w:t xml:space="preserve"> e de 11 de julho de 2023, sobre a aplicação de cláusulas</w:t>
      </w:r>
      <w:r w:rsidRPr="00266C09">
        <w:noBreakHyphen/>
        <w:t>ponte nos Tratados da UE</w:t>
      </w:r>
      <w:r w:rsidRPr="00266C09">
        <w:rPr>
          <w:rStyle w:val="FootnoteReference"/>
        </w:rPr>
        <w:footnoteReference w:id="2"/>
      </w:r>
      <w:r w:rsidRPr="00266C09">
        <w:t>,</w:t>
      </w:r>
    </w:p>
    <w:p w14:paraId="36799AEE" w14:textId="77777777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 xml:space="preserve">Tendo em conta o Relatório, de 9 de maio de 2022, sobre o </w:t>
      </w:r>
      <w:proofErr w:type="gramStart"/>
      <w:r w:rsidRPr="00266C09">
        <w:t>resultado final</w:t>
      </w:r>
      <w:proofErr w:type="gramEnd"/>
      <w:r w:rsidRPr="00266C09">
        <w:t xml:space="preserve"> da Conferência sobre o Futuro da Europa e a sua Resolução, de 4 de maio de 2022, sobre o resultado final da Conferência sobre o Futuro da Europa</w:t>
      </w:r>
      <w:r w:rsidRPr="00266C09">
        <w:rPr>
          <w:rStyle w:val="FootnoteReference"/>
        </w:rPr>
        <w:footnoteReference w:id="3"/>
      </w:r>
      <w:r w:rsidRPr="00266C09">
        <w:t>,</w:t>
      </w:r>
    </w:p>
    <w:p w14:paraId="72397BEB" w14:textId="5CF61667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>Tendo em conta as suas Resoluções, de 9 de junho de 2022, sobre a convocação de uma convenção para a revisão dos Tratados</w:t>
      </w:r>
      <w:r w:rsidRPr="00266C09">
        <w:rPr>
          <w:rStyle w:val="FootnoteReference"/>
        </w:rPr>
        <w:footnoteReference w:id="4"/>
      </w:r>
      <w:r w:rsidR="005F0FB1" w:rsidRPr="00266C09">
        <w:t>,</w:t>
      </w:r>
      <w:r w:rsidRPr="00266C09">
        <w:t xml:space="preserve"> e de 22 de novembro de 2023, sobre projetos </w:t>
      </w:r>
      <w:r w:rsidRPr="00266C09">
        <w:lastRenderedPageBreak/>
        <w:t>do Parlamento Europeu de revisão dos Tratados</w:t>
      </w:r>
      <w:r w:rsidRPr="00266C09">
        <w:rPr>
          <w:rStyle w:val="FootnoteReference"/>
        </w:rPr>
        <w:footnoteReference w:id="5"/>
      </w:r>
      <w:r w:rsidRPr="00266C09">
        <w:t>, designadamente por intermédio da ativação do artigo 48.º do TUE, solicitando ao Conselho Europeu que chegue a acordo sobre a convocação de uma Convenção para a revisão dos Tratados,</w:t>
      </w:r>
    </w:p>
    <w:p w14:paraId="2253CFF2" w14:textId="77777777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>Tendo em conta a sua Resolução, de 29 de fevereiro de 2024, sobre o aprofundamento da integração europeia na perspetiva dos futuros alargamentos</w:t>
      </w:r>
      <w:r w:rsidRPr="00266C09">
        <w:rPr>
          <w:rStyle w:val="FootnoteReference"/>
        </w:rPr>
        <w:footnoteReference w:id="6"/>
      </w:r>
      <w:r w:rsidRPr="00266C09">
        <w:t>,</w:t>
      </w:r>
    </w:p>
    <w:p w14:paraId="045D4E36" w14:textId="77777777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 xml:space="preserve">Tendo em conta o Relatório, de 9 de setembro de 2024, de Mario </w:t>
      </w:r>
      <w:proofErr w:type="spellStart"/>
      <w:r w:rsidRPr="00266C09">
        <w:t>Draghi</w:t>
      </w:r>
      <w:proofErr w:type="spellEnd"/>
      <w:r w:rsidRPr="00266C09">
        <w:t xml:space="preserve"> intitulado «</w:t>
      </w:r>
      <w:proofErr w:type="spellStart"/>
      <w:r w:rsidRPr="00266C09">
        <w:t>The</w:t>
      </w:r>
      <w:proofErr w:type="spellEnd"/>
      <w:r w:rsidRPr="00266C09">
        <w:t xml:space="preserve"> future </w:t>
      </w:r>
      <w:proofErr w:type="spellStart"/>
      <w:r w:rsidRPr="00266C09">
        <w:t>of</w:t>
      </w:r>
      <w:proofErr w:type="spellEnd"/>
      <w:r w:rsidRPr="00266C09">
        <w:t xml:space="preserve"> </w:t>
      </w:r>
      <w:proofErr w:type="spellStart"/>
      <w:r w:rsidRPr="00266C09">
        <w:t>European</w:t>
      </w:r>
      <w:proofErr w:type="spellEnd"/>
      <w:r w:rsidRPr="00266C09">
        <w:t xml:space="preserve"> </w:t>
      </w:r>
      <w:proofErr w:type="spellStart"/>
      <w:r w:rsidRPr="00266C09">
        <w:t>competitiveness</w:t>
      </w:r>
      <w:proofErr w:type="spellEnd"/>
      <w:r w:rsidRPr="00266C09">
        <w:t xml:space="preserve">» [O Futuro da Competitividade Europeia], o Relatório, de 17 de abril de 2024, de Enrico </w:t>
      </w:r>
      <w:proofErr w:type="spellStart"/>
      <w:r w:rsidRPr="00266C09">
        <w:t>Letta</w:t>
      </w:r>
      <w:proofErr w:type="spellEnd"/>
      <w:r w:rsidRPr="00266C09">
        <w:t xml:space="preserve"> intitulado «</w:t>
      </w:r>
      <w:proofErr w:type="spellStart"/>
      <w:r w:rsidRPr="00266C09">
        <w:t>Much</w:t>
      </w:r>
      <w:proofErr w:type="spellEnd"/>
      <w:r w:rsidRPr="00266C09">
        <w:t xml:space="preserve"> more </w:t>
      </w:r>
      <w:proofErr w:type="spellStart"/>
      <w:r w:rsidRPr="00266C09">
        <w:t>than</w:t>
      </w:r>
      <w:proofErr w:type="spellEnd"/>
      <w:r w:rsidRPr="00266C09">
        <w:t xml:space="preserve"> a </w:t>
      </w:r>
      <w:proofErr w:type="spellStart"/>
      <w:r w:rsidRPr="00266C09">
        <w:t>market</w:t>
      </w:r>
      <w:proofErr w:type="spellEnd"/>
      <w:r w:rsidRPr="00266C09">
        <w:t xml:space="preserve">» [Muito mais do que um mercado], e o Relatório, de 30 de outubro de 2024, de </w:t>
      </w:r>
      <w:proofErr w:type="spellStart"/>
      <w:r w:rsidRPr="00266C09">
        <w:t>Sauli</w:t>
      </w:r>
      <w:proofErr w:type="spellEnd"/>
      <w:r w:rsidRPr="00266C09">
        <w:t xml:space="preserve"> Niinistö intitulado «</w:t>
      </w:r>
      <w:proofErr w:type="spellStart"/>
      <w:r w:rsidRPr="00266C09">
        <w:t>Safer</w:t>
      </w:r>
      <w:proofErr w:type="spellEnd"/>
      <w:r w:rsidRPr="00266C09">
        <w:t xml:space="preserve"> </w:t>
      </w:r>
      <w:proofErr w:type="spellStart"/>
      <w:r w:rsidRPr="00266C09">
        <w:t>Together</w:t>
      </w:r>
      <w:proofErr w:type="spellEnd"/>
      <w:r w:rsidRPr="00266C09">
        <w:t xml:space="preserve"> — </w:t>
      </w:r>
      <w:proofErr w:type="spellStart"/>
      <w:r w:rsidRPr="00266C09">
        <w:t>Strengthening</w:t>
      </w:r>
      <w:proofErr w:type="spellEnd"/>
      <w:r w:rsidRPr="00266C09">
        <w:t xml:space="preserve"> </w:t>
      </w:r>
      <w:proofErr w:type="spellStart"/>
      <w:r w:rsidRPr="00266C09">
        <w:t>Europe’s</w:t>
      </w:r>
      <w:proofErr w:type="spellEnd"/>
      <w:r w:rsidRPr="00266C09">
        <w:t xml:space="preserve"> </w:t>
      </w:r>
      <w:proofErr w:type="spellStart"/>
      <w:r w:rsidRPr="00266C09">
        <w:t>Civilian</w:t>
      </w:r>
      <w:proofErr w:type="spellEnd"/>
      <w:r w:rsidRPr="00266C09">
        <w:t xml:space="preserve"> </w:t>
      </w:r>
      <w:proofErr w:type="spellStart"/>
      <w:r w:rsidRPr="00266C09">
        <w:t>and</w:t>
      </w:r>
      <w:proofErr w:type="spellEnd"/>
      <w:r w:rsidRPr="00266C09">
        <w:t xml:space="preserve"> </w:t>
      </w:r>
      <w:proofErr w:type="spellStart"/>
      <w:r w:rsidRPr="00266C09">
        <w:t>Military</w:t>
      </w:r>
      <w:proofErr w:type="spellEnd"/>
      <w:r w:rsidRPr="00266C09">
        <w:t xml:space="preserve"> </w:t>
      </w:r>
      <w:proofErr w:type="spellStart"/>
      <w:r w:rsidRPr="00266C09">
        <w:t>Preparedness</w:t>
      </w:r>
      <w:proofErr w:type="spellEnd"/>
      <w:r w:rsidRPr="00266C09">
        <w:t xml:space="preserve"> </w:t>
      </w:r>
      <w:proofErr w:type="spellStart"/>
      <w:r w:rsidRPr="00266C09">
        <w:t>and</w:t>
      </w:r>
      <w:proofErr w:type="spellEnd"/>
      <w:r w:rsidRPr="00266C09">
        <w:t xml:space="preserve"> </w:t>
      </w:r>
      <w:proofErr w:type="spellStart"/>
      <w:r w:rsidRPr="00266C09">
        <w:t>Readiness</w:t>
      </w:r>
      <w:proofErr w:type="spellEnd"/>
      <w:r w:rsidRPr="00266C09">
        <w:t>» [Mais seguros juntos: reforçar a preparação e a prontidão civil e militar da Europa],</w:t>
      </w:r>
    </w:p>
    <w:p w14:paraId="075C6121" w14:textId="77777777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>Tendo em conta o artigo 55.º do seu Regimento,</w:t>
      </w:r>
    </w:p>
    <w:p w14:paraId="7E06F079" w14:textId="77777777" w:rsidR="00821291" w:rsidRPr="00266C09" w:rsidRDefault="00821291" w:rsidP="00821291">
      <w:pPr>
        <w:pStyle w:val="NormalHanging12a"/>
      </w:pPr>
      <w:r w:rsidRPr="00266C09">
        <w:t>–</w:t>
      </w:r>
      <w:r w:rsidRPr="00266C09">
        <w:tab/>
        <w:t>Tendo em conta o relatório da Comissão dos Assuntos Constitucionais (A10</w:t>
      </w:r>
      <w:r w:rsidRPr="00266C09">
        <w:noBreakHyphen/>
        <w:t>0177/2025),</w:t>
      </w:r>
    </w:p>
    <w:p w14:paraId="6B4448B7" w14:textId="3EED2686" w:rsidR="00821291" w:rsidRPr="00266C09" w:rsidRDefault="00821291" w:rsidP="00821291">
      <w:pPr>
        <w:pStyle w:val="NormalHanging12a"/>
      </w:pPr>
      <w:r w:rsidRPr="00266C09">
        <w:t>A.</w:t>
      </w:r>
      <w:r w:rsidRPr="00266C09">
        <w:tab/>
        <w:t>Considerando que nove dos dez países que desejam atualmente aderir à UE têm o estatuto de país candidato, alguns dos quais há muitos anos</w:t>
      </w:r>
      <w:r w:rsidR="005F0FB1" w:rsidRPr="00266C09">
        <w:t>; considerando que</w:t>
      </w:r>
      <w:r w:rsidRPr="00266C09">
        <w:t xml:space="preserve"> os países candidatos se encontram em fases distintas do processo de adesão e das negociações</w:t>
      </w:r>
      <w:r w:rsidR="005F0FB1" w:rsidRPr="00266C09">
        <w:t>; considerando que</w:t>
      </w:r>
      <w:r w:rsidRPr="00266C09">
        <w:t xml:space="preserve"> a Geórgia suspendeu unilateralmente as negociações de adesão à UE em 28 de novembro de 2024;</w:t>
      </w:r>
    </w:p>
    <w:p w14:paraId="35A690F0" w14:textId="77777777" w:rsidR="00821291" w:rsidRPr="00266C09" w:rsidRDefault="00821291" w:rsidP="00821291">
      <w:pPr>
        <w:pStyle w:val="NormalHanging12a"/>
      </w:pPr>
      <w:r w:rsidRPr="00266C09">
        <w:t>B.</w:t>
      </w:r>
      <w:r w:rsidRPr="00266C09">
        <w:tab/>
        <w:t>Considerando que a guerra de agressão da Rússia contra a Ucrânia e outros desafios geopolíticos atuais –– incluindo a mudança inquietante nas relações transatlânticas –– deram um novo significado geoestratégico e um novo impulso ao processo de adesão à UE e à unificação europeia;</w:t>
      </w:r>
    </w:p>
    <w:p w14:paraId="521315C9" w14:textId="77777777" w:rsidR="00821291" w:rsidRPr="00266C09" w:rsidRDefault="00821291" w:rsidP="00821291">
      <w:pPr>
        <w:pStyle w:val="NormalHanging12a"/>
        <w:rPr>
          <w:bCs/>
          <w:iCs/>
        </w:rPr>
      </w:pPr>
      <w:r w:rsidRPr="00266C09">
        <w:t>C.</w:t>
      </w:r>
      <w:r w:rsidRPr="00266C09">
        <w:tab/>
        <w:t>Considerando que a adesão à União Europeia deve continuar a ser um processo baseado no mérito, assente numa avaliação do cumprimento, por cada candidato, dos critérios de Copenhaga e da execução das reformas necessárias — em particular no domínio da adesão aos princípios fundamentais da democracia, do Estado de direito, dos direitos humanos e da boa governação, bem como do alinhamento com a política externa e de segurança comum da UE — a fim de assegurar que o alargamento reforce, em vez de comprometer, a UE e o seu mercado único;</w:t>
      </w:r>
    </w:p>
    <w:p w14:paraId="4137AE9D" w14:textId="77777777" w:rsidR="00821291" w:rsidRPr="00266C09" w:rsidRDefault="00821291" w:rsidP="00821291">
      <w:pPr>
        <w:pStyle w:val="NormalHanging12a"/>
      </w:pPr>
      <w:r w:rsidRPr="00266C09">
        <w:t>D.</w:t>
      </w:r>
      <w:r w:rsidRPr="00266C09">
        <w:tab/>
        <w:t>Considerando que o alargamento é um compromisso histórico, um instrumento fundamental de política externa da UE, uma prioridade geopolítica estratégica e uma das políticas mais bem sucedidas da UE, e representa um investimento no futuro do continente europeu;</w:t>
      </w:r>
    </w:p>
    <w:p w14:paraId="10329AC6" w14:textId="325578D9" w:rsidR="00821291" w:rsidRPr="00266C09" w:rsidRDefault="00821291" w:rsidP="00821291">
      <w:pPr>
        <w:pStyle w:val="NormalHanging12a"/>
        <w:rPr>
          <w:bCs/>
          <w:iCs/>
        </w:rPr>
      </w:pPr>
      <w:r w:rsidRPr="00266C09">
        <w:t>E.</w:t>
      </w:r>
      <w:r w:rsidRPr="00266C09">
        <w:tab/>
        <w:t>Considerando que os países candidatos à adesão devem implementar de forma decisiva as reformas necessárias e alcançar progressos concretos e irreversíveis nos elementos essenciais do processo de alargamento</w:t>
      </w:r>
      <w:r w:rsidR="005F0FB1" w:rsidRPr="00266C09">
        <w:t>; considerando que</w:t>
      </w:r>
      <w:r w:rsidRPr="00266C09">
        <w:t xml:space="preserve"> a UE e os Estados</w:t>
      </w:r>
      <w:r w:rsidRPr="00266C09">
        <w:noBreakHyphen/>
        <w:t xml:space="preserve">Membros devem apoiar os países candidatos, com assistência financeira e técnica, para que estes </w:t>
      </w:r>
      <w:r w:rsidRPr="00266C09">
        <w:lastRenderedPageBreak/>
        <w:t>critérios sejam cumpridos</w:t>
      </w:r>
      <w:r w:rsidR="005F0FB1" w:rsidRPr="00266C09">
        <w:t>; considerando que</w:t>
      </w:r>
      <w:r w:rsidRPr="00266C09">
        <w:t xml:space="preserve"> não pode haver atalhos no que se refere aos valores e princípios fundamentais da UE;</w:t>
      </w:r>
    </w:p>
    <w:p w14:paraId="00685A53" w14:textId="5DCD3035" w:rsidR="00821291" w:rsidRPr="00266C09" w:rsidRDefault="00821291" w:rsidP="00821291">
      <w:pPr>
        <w:pStyle w:val="NormalHanging12a"/>
      </w:pPr>
      <w:r w:rsidRPr="00266C09">
        <w:t>F.</w:t>
      </w:r>
      <w:r w:rsidRPr="00266C09">
        <w:tab/>
        <w:t>Considerando que uma União alargada ganharia mais poder político, económico e militar, bem como influência na cena mundial, fomentando simultaneamente os valores democráticos partilhados em toda a região do alargamento da UE</w:t>
      </w:r>
      <w:r w:rsidR="005F0FB1" w:rsidRPr="00266C09">
        <w:t>; considerando que</w:t>
      </w:r>
      <w:r w:rsidRPr="00266C09">
        <w:t xml:space="preserve"> um mercado único alargado é importante tanto para a UE como para os países candidatos à adesão, tornando a UE simultaneamente um interveniente económico ainda mais competitivo e um parceiro comercial atrativo</w:t>
      </w:r>
      <w:r w:rsidR="005F0FB1" w:rsidRPr="00266C09">
        <w:t>; considerando que</w:t>
      </w:r>
      <w:r w:rsidRPr="00266C09">
        <w:t xml:space="preserve"> a inexistência de progressos no alargamento da UE pode prejudicar os interesses económicos e de segurança da UE e acabar por levar os países terceiros no continente europeu a associarem</w:t>
      </w:r>
      <w:r w:rsidRPr="00266C09">
        <w:noBreakHyphen/>
        <w:t>se a outros blocos (por exemplo, a Rússia e a China) no plano económico e político, criando potenciais regiões económicas concorrentes, diminuindo a influência económica global da UE e criando, ao mesmo tempo, oportunidades para que os esforços de desestabilização passem a ser realizados pela vizinhança imediata da UE;</w:t>
      </w:r>
    </w:p>
    <w:p w14:paraId="3E5DE510" w14:textId="1303A803" w:rsidR="00821291" w:rsidRPr="00266C09" w:rsidRDefault="00821291" w:rsidP="00821291">
      <w:pPr>
        <w:pStyle w:val="NormalHanging12a"/>
      </w:pPr>
      <w:r w:rsidRPr="00266C09">
        <w:t>G.</w:t>
      </w:r>
      <w:r w:rsidRPr="00266C09">
        <w:tab/>
        <w:t xml:space="preserve">Considerando que os países que aderiram à UE em 2004, e a UE no seu todo, registaram um crescimento económico notável e padrões mais elevados em vários domínios, designadamente um aumento médio de 30 % no PIB </w:t>
      </w:r>
      <w:r w:rsidRPr="00266C09">
        <w:rPr>
          <w:i/>
          <w:iCs/>
        </w:rPr>
        <w:t>per capita</w:t>
      </w:r>
      <w:r w:rsidR="005F0FB1" w:rsidRPr="00266C09">
        <w:t>; considerando que</w:t>
      </w:r>
      <w:r w:rsidRPr="00266C09">
        <w:t>, em média, todos os novos Estados</w:t>
      </w:r>
      <w:r w:rsidRPr="00266C09">
        <w:noBreakHyphen/>
        <w:t>Membros registaram um crescimento suplementar de 12 % do PIB em comparação com o crescimento previsto se não tivessem aderido à UE, e que esse crescimento foi percetível nos cinco anos subsequentes à sua adesão</w:t>
      </w:r>
      <w:r w:rsidR="005F0FB1" w:rsidRPr="00266C09">
        <w:t>; considerando que</w:t>
      </w:r>
      <w:r w:rsidRPr="00266C09">
        <w:t xml:space="preserve"> nos últimos 20 anos a economia da UE cresceu 27 %</w:t>
      </w:r>
      <w:r w:rsidR="005F0FB1" w:rsidRPr="00266C09">
        <w:t>; considerando que</w:t>
      </w:r>
      <w:r w:rsidRPr="00266C09">
        <w:t xml:space="preserve"> os países que já faziam parte da UE no momento do alargamento de 2004 também registaram crescimento e prosperidade, com uma clara relação de causalidade com a expansão dos mercados, a conectividade e o investimento que resultam do alargamento</w:t>
      </w:r>
      <w:r w:rsidR="005F0FB1" w:rsidRPr="00266C09">
        <w:t>; considerando que</w:t>
      </w:r>
      <w:r w:rsidRPr="00266C09">
        <w:t xml:space="preserve"> todas as regiões registam crescimento económico através do alargamento, mas as regiões mais pobres registam o maior crescimento económico relativo;</w:t>
      </w:r>
    </w:p>
    <w:p w14:paraId="33297886" w14:textId="4341CC1A" w:rsidR="00821291" w:rsidRPr="00266C09" w:rsidRDefault="00821291" w:rsidP="00821291">
      <w:pPr>
        <w:pStyle w:val="NormalHanging12a"/>
      </w:pPr>
      <w:r w:rsidRPr="00266C09">
        <w:t>H.</w:t>
      </w:r>
      <w:r w:rsidRPr="00266C09">
        <w:tab/>
        <w:t>Considerando que o PIB per capita dos Balcãs Ocidentais, da Ucrânia, da Moldávia e da Geórgia permanece em torno ou abaixo de 50 % do PIB da UE, apesar de alguns países candidatos terem demonstrado um crescimento económico estável nos últimos anos, o que permite uma abordagem baseada no mérito e prospetiva</w:t>
      </w:r>
      <w:r w:rsidR="005F0FB1" w:rsidRPr="00266C09">
        <w:t>; considerando que</w:t>
      </w:r>
      <w:r w:rsidRPr="00266C09">
        <w:t xml:space="preserve"> a experiência na sequência de todos os alargamentos da UE comprova o impacto positivo que a adesão à UE e a adesão ao mercado único da UE, bem como o acesso aos fundos estruturais podem ter na convergência económica e social</w:t>
      </w:r>
      <w:r w:rsidR="005F0FB1" w:rsidRPr="00266C09">
        <w:t>; considerando que</w:t>
      </w:r>
      <w:r w:rsidRPr="00266C09">
        <w:t xml:space="preserve"> os estudos demonstram que a adesão de 10 novos Estados</w:t>
      </w:r>
      <w:r w:rsidRPr="00266C09">
        <w:noBreakHyphen/>
        <w:t>Membros reduziria a diferença do PIB per capita entre a UE e os Estados Unidos em 10 %</w:t>
      </w:r>
      <w:r w:rsidR="005F0FB1" w:rsidRPr="00266C09">
        <w:t>; considerando que</w:t>
      </w:r>
      <w:r w:rsidRPr="00266C09">
        <w:t xml:space="preserve"> o acesso alargado, nomeadamente aos mercados de trabalho, à capacidade industrial, às tecnologias digitais, em particular à IA, e aos minerais críticos de terras raras permitiria à UE acelerar as transições ecológica, digital e justa, reduzindo os seus custos e tornando</w:t>
      </w:r>
      <w:r w:rsidRPr="00266C09">
        <w:noBreakHyphen/>
        <w:t>a simultaneamente mais autónoma do ponto de vista estratégico em relação à Rússia, à China e a outros concorrentes sistémicos</w:t>
      </w:r>
      <w:r w:rsidR="005F0FB1" w:rsidRPr="00266C09">
        <w:t>; considerando que</w:t>
      </w:r>
      <w:r w:rsidRPr="00266C09">
        <w:t xml:space="preserve"> os cenários que aliam um alargamento substancial a uma forte convergência podem acrescentar cerca de 10 biliões de USD ao PIB da UE até 2035;</w:t>
      </w:r>
    </w:p>
    <w:p w14:paraId="59016925" w14:textId="77777777" w:rsidR="00821291" w:rsidRPr="00266C09" w:rsidRDefault="00821291" w:rsidP="00821291">
      <w:pPr>
        <w:pStyle w:val="NormalHanging12a"/>
        <w:rPr>
          <w:bCs/>
          <w:iCs/>
        </w:rPr>
      </w:pPr>
      <w:r w:rsidRPr="00266C09">
        <w:t>I.</w:t>
      </w:r>
      <w:r w:rsidRPr="00266C09">
        <w:tab/>
        <w:t>Considerando que os instrumentos de pré</w:t>
      </w:r>
      <w:r w:rsidRPr="00266C09">
        <w:noBreakHyphen/>
        <w:t xml:space="preserve">adesão desempenham um papel importante, uma vez que proporcionam uma experiência valiosa para a conceção de instrumentos de apoio modernizados adaptados às necessidades específicas dos países, como foi o caso dos programas </w:t>
      </w:r>
      <w:proofErr w:type="spellStart"/>
      <w:r w:rsidRPr="00266C09">
        <w:t>Phare</w:t>
      </w:r>
      <w:proofErr w:type="spellEnd"/>
      <w:r w:rsidRPr="00266C09">
        <w:t xml:space="preserve"> (Programa de ajuda comunitária aos países da Europa Central e </w:t>
      </w:r>
      <w:r w:rsidRPr="00266C09">
        <w:lastRenderedPageBreak/>
        <w:t>Oriental), SAPARD (instrumento de pré</w:t>
      </w:r>
      <w:r w:rsidRPr="00266C09">
        <w:noBreakHyphen/>
        <w:t>adesão para a agricultura) e ISPA (Instrumento Estrutural de Pré</w:t>
      </w:r>
      <w:r w:rsidRPr="00266C09">
        <w:noBreakHyphen/>
        <w:t>Adesão);</w:t>
      </w:r>
    </w:p>
    <w:p w14:paraId="262BA0B0" w14:textId="01B29DDF" w:rsidR="00821291" w:rsidRPr="00266C09" w:rsidRDefault="00821291" w:rsidP="00821291">
      <w:pPr>
        <w:pStyle w:val="NormalHanging12a"/>
      </w:pPr>
      <w:bookmarkStart w:id="7" w:name="_Hlk208838474"/>
      <w:r w:rsidRPr="00266C09">
        <w:t>J.</w:t>
      </w:r>
      <w:r w:rsidRPr="00266C09">
        <w:tab/>
        <w:t>Considerando que alguns países fora da UE estão a lidar com diferentes níveis de instabilidade política e que a execução de reformas relacionadas com a adesão à UE nesses países, tal como demonstrado em anteriores alargamentos, deve contribuir para a estabilidade e o Estado de direito na região</w:t>
      </w:r>
      <w:r w:rsidR="005F0FB1" w:rsidRPr="00266C09">
        <w:t>; considerando que</w:t>
      </w:r>
      <w:r w:rsidRPr="00266C09">
        <w:t xml:space="preserve"> a UE tem à sua disposição um vasto conjunto de instrumentos para garantir o respeito dos valores fundamentais nos Estados</w:t>
      </w:r>
      <w:r w:rsidRPr="00266C09">
        <w:noBreakHyphen/>
        <w:t>Membros e salvaguardar a estabilidade política do projeto europeu no seu conjunto</w:t>
      </w:r>
      <w:r w:rsidR="005F0FB1" w:rsidRPr="00266C09">
        <w:t>; considerando que</w:t>
      </w:r>
      <w:r w:rsidRPr="00266C09">
        <w:t xml:space="preserve"> este conjunto de instrumentos deve ainda ser reformado e reforçado, em particular através da aplicação coerente do mecanismo do Estado de direito e da proteção eficaz dos valores fundamentais da UE consagrados no artigo 2.º do TUE, nomeadamente através da definição de condições no atual e no próximo quadro financeiro plurianual (QFP);</w:t>
      </w:r>
      <w:bookmarkEnd w:id="7"/>
    </w:p>
    <w:p w14:paraId="72C03728" w14:textId="77777777" w:rsidR="00821291" w:rsidRPr="00266C09" w:rsidRDefault="00821291" w:rsidP="00821291">
      <w:pPr>
        <w:pStyle w:val="NormalHanging12a"/>
      </w:pPr>
      <w:r w:rsidRPr="00266C09">
        <w:t>K.</w:t>
      </w:r>
      <w:r w:rsidRPr="00266C09">
        <w:tab/>
        <w:t>Considerando que a Comissão e o Parlamento devem desenvolver campanhas de sensibilização nos Estados</w:t>
      </w:r>
      <w:r w:rsidRPr="00266C09">
        <w:noBreakHyphen/>
        <w:t xml:space="preserve">Membros e nos países candidatos, para que os cidadãos sejam devidamente informados sobre as oportunidades oferecidas pelo alargamento, combatendo simultaneamente a manipulação da informação e a ingerência estrangeiras por parte da Rússia e de outros países, destinadas a minar o apoio público ao alargamento; </w:t>
      </w:r>
    </w:p>
    <w:p w14:paraId="5310F4B6" w14:textId="7EDA21CA" w:rsidR="00821291" w:rsidRPr="00266C09" w:rsidRDefault="00821291" w:rsidP="00821291">
      <w:pPr>
        <w:pStyle w:val="NormalHanging12a"/>
      </w:pPr>
      <w:r w:rsidRPr="00266C09">
        <w:t>L.</w:t>
      </w:r>
      <w:r w:rsidRPr="00266C09">
        <w:tab/>
        <w:t>Considerando que o quadro interinstitucional da UE e, em particular, os seus processos decisórios, devem ser reforçados e melhorados para a atual configuração da União constituída por 27 Estados</w:t>
      </w:r>
      <w:r w:rsidRPr="00266C09">
        <w:noBreakHyphen/>
        <w:t>Membros</w:t>
      </w:r>
      <w:r w:rsidR="005F0FB1" w:rsidRPr="00266C09">
        <w:t>; considerando que</w:t>
      </w:r>
      <w:r w:rsidRPr="00266C09">
        <w:t xml:space="preserve"> a preparação para o alargamento requer reformas internas na UE e que o processo de alargamento deve ser desenvolvido a par das reformas institucionais e decisórias necessárias para salvaguardar a capacidade de integração da UE</w:t>
      </w:r>
      <w:r w:rsidR="005F0FB1" w:rsidRPr="00266C09">
        <w:t>; considerando que</w:t>
      </w:r>
      <w:r w:rsidRPr="00266C09">
        <w:t xml:space="preserve"> a perspetiva de futuros alargamentos torna a reforma das instituições, das políticas e dos processos de tomada de decisão da UE mais necessária e urgente do que nunca;</w:t>
      </w:r>
    </w:p>
    <w:p w14:paraId="4C88DBA2" w14:textId="77777777" w:rsidR="00821291" w:rsidRPr="00266C09" w:rsidRDefault="00821291" w:rsidP="00821291">
      <w:pPr>
        <w:pStyle w:val="NormalHanging12a"/>
      </w:pPr>
      <w:r w:rsidRPr="00266C09">
        <w:t>M.</w:t>
      </w:r>
      <w:r w:rsidRPr="00266C09">
        <w:tab/>
        <w:t>Considerando que os anteriores alargamentos foram muitas vezes precedidos ou acompanhados de reformas institucionais internas relativas à governação da UE e que estes processos de alargamento proporcionaram normalmente um forte incentivo ao desenvolvimento e ao progresso económico e democrático dos países candidatos;</w:t>
      </w:r>
    </w:p>
    <w:p w14:paraId="395EB6CF" w14:textId="77777777" w:rsidR="00821291" w:rsidRPr="00266C09" w:rsidRDefault="00821291" w:rsidP="00821291">
      <w:pPr>
        <w:pStyle w:val="NormalHanging12a"/>
        <w:rPr>
          <w:bCs/>
          <w:iCs/>
        </w:rPr>
      </w:pPr>
      <w:r w:rsidRPr="00266C09">
        <w:t>N.</w:t>
      </w:r>
      <w:r w:rsidRPr="00266C09">
        <w:tab/>
        <w:t>Considerando que, na sua Declaração de Granada, de 6 de outubro de 2023, o Conselho Europeu reconheceu que a necessária aceleração dos esforços de reforma nos países candidatos deve ser acompanhada de um processo paralelo de trabalho de base e de reformas na UE;</w:t>
      </w:r>
    </w:p>
    <w:p w14:paraId="0197FEB1" w14:textId="114F41D7" w:rsidR="00821291" w:rsidRPr="00266C09" w:rsidRDefault="00821291" w:rsidP="00821291">
      <w:pPr>
        <w:pStyle w:val="NormalHanging12a"/>
        <w:rPr>
          <w:bCs/>
          <w:iCs/>
        </w:rPr>
      </w:pPr>
      <w:r w:rsidRPr="00266C09">
        <w:t>O.</w:t>
      </w:r>
      <w:r w:rsidRPr="00266C09">
        <w:tab/>
        <w:t>Considerando que, nas suas conclusões de 27 de junho de 2024, o Conselho Europeu estabeleceu um roteiro para os trabalhos futuros em matéria de reformas internas</w:t>
      </w:r>
      <w:r w:rsidR="005F0FB1" w:rsidRPr="00266C09">
        <w:t>; considerando que</w:t>
      </w:r>
      <w:r w:rsidRPr="00266C09">
        <w:t xml:space="preserve"> o Conselho Europeu reconhece que o reforço da UE e da soberania europeia exige reformas que permitam à UE cumprir as suas ambições a longo prazo, concretizar as suas políticas e prioridades e responder às novas realidades e desafios geopolíticos;</w:t>
      </w:r>
    </w:p>
    <w:p w14:paraId="3F127776" w14:textId="289D8789" w:rsidR="00821291" w:rsidRPr="00266C09" w:rsidRDefault="00821291" w:rsidP="00821291">
      <w:pPr>
        <w:pStyle w:val="NormalHanging12a"/>
        <w:rPr>
          <w:bCs/>
          <w:iCs/>
        </w:rPr>
      </w:pPr>
      <w:r w:rsidRPr="00266C09">
        <w:t>P.</w:t>
      </w:r>
      <w:r w:rsidRPr="00266C09">
        <w:tab/>
        <w:t>Considerando que, de acordo com essas conclusões, as reformas internas devem avançar em paralelo com o processo de alargamento, para que as políticas sejam adequadas ao futuro e financiadas de forma adequada, e para que as instituições da UE continuem a funcionar e a agir de forma eficaz</w:t>
      </w:r>
      <w:r w:rsidR="005F0FB1" w:rsidRPr="00266C09">
        <w:t>; considerando que</w:t>
      </w:r>
      <w:r w:rsidRPr="00266C09">
        <w:t xml:space="preserve"> o Conselho Europeu convidou a </w:t>
      </w:r>
      <w:r w:rsidRPr="00266C09">
        <w:lastRenderedPageBreak/>
        <w:t>Comissão a apresentar uma revisão aprofundada das políticas em 2025, centrada em quatro vertentes, designadamente nos valores e no Estado de direito, nas políticas, no orçamento e na governação;</w:t>
      </w:r>
    </w:p>
    <w:p w14:paraId="427DB552" w14:textId="77777777" w:rsidR="00821291" w:rsidRPr="00266C09" w:rsidRDefault="00821291" w:rsidP="00821291">
      <w:pPr>
        <w:pStyle w:val="NormalHanging12a"/>
      </w:pPr>
      <w:r w:rsidRPr="00266C09">
        <w:t>Q.</w:t>
      </w:r>
      <w:r w:rsidRPr="00266C09">
        <w:tab/>
        <w:t>Considerando que a perspetiva de um próximo alargamento expõe a UE a um triplo desafio: assegurar o bom funcionamento dos processos decisórios (o desafio da eficiência), obter recursos suficientes para concretizar os seus objetivos estratégicos (o desafio do poder e dos recursos) e salvaguardar a legitimidade e responsabilização democráticas das suas ações (o desafio da democracia);</w:t>
      </w:r>
    </w:p>
    <w:p w14:paraId="6BA1ECB8" w14:textId="3E654F9D" w:rsidR="00821291" w:rsidRPr="00266C09" w:rsidRDefault="00821291" w:rsidP="00821291">
      <w:pPr>
        <w:pStyle w:val="NormalHanging12a"/>
      </w:pPr>
      <w:r w:rsidRPr="00266C09">
        <w:t>R.</w:t>
      </w:r>
      <w:r w:rsidRPr="00266C09">
        <w:tab/>
        <w:t>Considerando que as reformas pré</w:t>
      </w:r>
      <w:r w:rsidRPr="00266C09">
        <w:noBreakHyphen/>
        <w:t>alargamento do quadro institucional da UE implicam um possível apoio a soluções de integração diferenciada, sempre que os Tratados o permitam</w:t>
      </w:r>
      <w:r w:rsidR="005F0FB1" w:rsidRPr="00266C09">
        <w:t>; considerando que</w:t>
      </w:r>
      <w:r w:rsidRPr="00266C09">
        <w:t xml:space="preserve"> os procedimentos previstos nos artigos 20.º, 42.º e 46.º do TUE sobre a cooperação reforçada e a cooperação estruturada permanente (PESCO) permitem aos Estados</w:t>
      </w:r>
      <w:r w:rsidRPr="00266C09">
        <w:noBreakHyphen/>
        <w:t>Membros interessados aprofundar a sua integração e reforçar a sua cooperação no âmbito das competências não exclusivas da União;</w:t>
      </w:r>
    </w:p>
    <w:p w14:paraId="3E033832" w14:textId="4FAC0064" w:rsidR="00821291" w:rsidRPr="00266C09" w:rsidRDefault="00821291" w:rsidP="00821291">
      <w:pPr>
        <w:pStyle w:val="NormalHanging12a"/>
      </w:pPr>
      <w:r w:rsidRPr="00266C09">
        <w:t>S.</w:t>
      </w:r>
      <w:r w:rsidRPr="00266C09">
        <w:tab/>
        <w:t>Considerando que as cláusulas</w:t>
      </w:r>
      <w:r w:rsidRPr="00266C09">
        <w:noBreakHyphen/>
        <w:t>ponte podem ser utilizadas de imediato para passar do requisito da unanimidade à votação por maioria qualificada (VMQ) em domínios de intervenção específicos</w:t>
      </w:r>
      <w:r w:rsidR="005F0FB1" w:rsidRPr="00266C09">
        <w:t>; considerando que</w:t>
      </w:r>
      <w:r w:rsidRPr="00266C09">
        <w:t xml:space="preserve"> o TUE estabelece que a definição gradual de uma política de defesa comum da UE tem por objetivo final o estabelecimento de uma defesa comum criada por decisão unânime do Conselho Europeu, a qual deve ser conciliável com a NATO;</w:t>
      </w:r>
    </w:p>
    <w:p w14:paraId="1C8F98A1" w14:textId="1497EBAD" w:rsidR="00821291" w:rsidRPr="00266C09" w:rsidRDefault="00821291" w:rsidP="00821291">
      <w:pPr>
        <w:pStyle w:val="NormalHanging12a"/>
      </w:pPr>
      <w:r w:rsidRPr="00266C09">
        <w:t>T.</w:t>
      </w:r>
      <w:r w:rsidRPr="00266C09">
        <w:tab/>
        <w:t>Considerando que, devido à flexibilidade limitada oferecida pelos Tratados, cabe prever uma reforma mais aprofundada através de alterações específicas aos Tratados</w:t>
      </w:r>
      <w:r w:rsidR="005F0FB1" w:rsidRPr="00266C09">
        <w:t>; considerando que</w:t>
      </w:r>
      <w:r w:rsidRPr="00266C09">
        <w:t xml:space="preserve"> o Parlamento ativou o processo de revisão dos Tratados e submeteu ao Conselho propostas de revisão dos Tratados, em conformidade com o artigo 48.º, n.º 2, do TUE;</w:t>
      </w:r>
    </w:p>
    <w:p w14:paraId="4BDF1062" w14:textId="77777777" w:rsidR="00821291" w:rsidRPr="00266C09" w:rsidRDefault="00821291" w:rsidP="00821291">
      <w:pPr>
        <w:pStyle w:val="Normal12a24b"/>
      </w:pPr>
      <w:r w:rsidRPr="00266C09">
        <w:rPr>
          <w:rStyle w:val="BoldItalic"/>
        </w:rPr>
        <w:t>O custo de não reformar a União alargada</w:t>
      </w:r>
    </w:p>
    <w:p w14:paraId="47846CC6" w14:textId="77777777" w:rsidR="00821291" w:rsidRPr="00266C09" w:rsidRDefault="00821291" w:rsidP="00821291">
      <w:pPr>
        <w:pStyle w:val="NormalHanging12a"/>
      </w:pPr>
      <w:r w:rsidRPr="00266C09">
        <w:t>1.</w:t>
      </w:r>
      <w:r w:rsidRPr="00266C09">
        <w:tab/>
        <w:t>Alega que a UE e os países candidatos utilizaram sempre o alargamento como um instrumento político e geopolítico para promover a democracia, a estabilidade, a segurança e a prosperidade em todo o continente; considera que o alargamento da UE representa um investimento geoestratégico a longo prazo;</w:t>
      </w:r>
    </w:p>
    <w:p w14:paraId="3E4DB45B" w14:textId="77777777" w:rsidR="00821291" w:rsidRPr="00266C09" w:rsidRDefault="00821291" w:rsidP="00821291">
      <w:pPr>
        <w:pStyle w:val="NormalHanging12a"/>
      </w:pPr>
      <w:r w:rsidRPr="00266C09">
        <w:t>2.</w:t>
      </w:r>
      <w:r w:rsidRPr="00266C09">
        <w:tab/>
        <w:t>Insiste em que a guerra de agressão da Rússia contra a Ucrânia e outros desafios geopolíticos acentuam a urgência em fazer avançar o processo de alargamento; defende que um alargamento bem sucedido e sustentável exige uma visão política a longo prazo e a tomada de decisões audaciosas, que visem promover uma Europa eficiente, poderosa e democrática;</w:t>
      </w:r>
    </w:p>
    <w:p w14:paraId="460CEB63" w14:textId="77777777" w:rsidR="00821291" w:rsidRPr="00266C09" w:rsidRDefault="00821291" w:rsidP="00821291">
      <w:pPr>
        <w:pStyle w:val="NormalHanging12a"/>
      </w:pPr>
      <w:r w:rsidRPr="00266C09">
        <w:t>3.</w:t>
      </w:r>
      <w:r w:rsidRPr="00266C09">
        <w:tab/>
        <w:t>Observa que a experiência demonstra que cada nova vaga de alargamento arrasta consigo novos reptos e novas oportunidades de natureza institucional e política, que deveriam ser enfrentados em tempo útil, de preferência antes de os países candidatos se tornarem Estados</w:t>
      </w:r>
      <w:r w:rsidRPr="00266C09">
        <w:noBreakHyphen/>
        <w:t xml:space="preserve">Membros, de molde que assegure o funcionamento eficaz da UE e previna o impasse institucional; faz notar que cada alargamento na história do projeto europeu foi precedido ou acompanhado das necessárias reformas institucionais internas; </w:t>
      </w:r>
    </w:p>
    <w:p w14:paraId="78AF171E" w14:textId="77777777" w:rsidR="00821291" w:rsidRPr="00266C09" w:rsidRDefault="00821291" w:rsidP="00821291">
      <w:pPr>
        <w:pStyle w:val="NormalHanging12a"/>
      </w:pPr>
      <w:r w:rsidRPr="00266C09">
        <w:t>4.</w:t>
      </w:r>
      <w:r w:rsidRPr="00266C09">
        <w:tab/>
        <w:t>Reconhece que o objetivo da unanimidade é assegurar que sejam abordadas as preocupações legítimas de todos os Estados</w:t>
      </w:r>
      <w:r w:rsidRPr="00266C09">
        <w:noBreakHyphen/>
        <w:t xml:space="preserve">Membros; entende, no entanto, que uma </w:t>
      </w:r>
      <w:r w:rsidRPr="00266C09">
        <w:lastRenderedPageBreak/>
        <w:t xml:space="preserve">UE alargada exigirá uma concertação mais sofisticada na abordagem aos desafios do processo de alargamento em curso; sublinha o caráter primordial da resolução dos problemas causados pela unanimidade no Conselho, designadamente o recurso à unanimidade para as etapas intermédias no processo de alargamento, que pode fazer abrandar a adesão de novos membros à UE devido a questões bilaterais; recorda que o artigo 49.º do TUE permite a passagem para a votação por maioria qualificada sem exigir alterações ao Tratado; regista a estrutura e governação complexas e obsoletas do orçamento da UE e a possível redistribuição na repartição dos fundos agrícolas e de coesão; recorda que o alargamento da UE constitui uma oportunidade para </w:t>
      </w:r>
      <w:proofErr w:type="spellStart"/>
      <w:r w:rsidRPr="00266C09">
        <w:t>recalibrar</w:t>
      </w:r>
      <w:proofErr w:type="spellEnd"/>
      <w:r w:rsidRPr="00266C09">
        <w:t xml:space="preserve"> as políticas basilares da UE a este respeito; apoia as iniciativas que visem tornar o processo de tomada de decisão mais eficaz — algo fundamental para melhorar a competitividade da UE;</w:t>
      </w:r>
    </w:p>
    <w:p w14:paraId="7016D826" w14:textId="77777777" w:rsidR="00821291" w:rsidRPr="00266C09" w:rsidRDefault="00821291" w:rsidP="00821291">
      <w:pPr>
        <w:pStyle w:val="NormalHanging12a"/>
      </w:pPr>
      <w:r w:rsidRPr="00266C09">
        <w:t>5.</w:t>
      </w:r>
      <w:r w:rsidRPr="00266C09">
        <w:tab/>
        <w:t xml:space="preserve">Reafirma a sua posição de que o aprofundamento da União, os seus processos de alargamento e a unificação europeia devem prosseguir </w:t>
      </w:r>
      <w:r w:rsidRPr="00266C09">
        <w:rPr>
          <w:i/>
          <w:iCs/>
        </w:rPr>
        <w:t xml:space="preserve">pari </w:t>
      </w:r>
      <w:proofErr w:type="spellStart"/>
      <w:r w:rsidRPr="00266C09">
        <w:rPr>
          <w:i/>
          <w:iCs/>
        </w:rPr>
        <w:t>passu</w:t>
      </w:r>
      <w:proofErr w:type="spellEnd"/>
      <w:r w:rsidRPr="00266C09">
        <w:t>; insiste na necessidade de reformas institucionais e financeiras da UE para fazer face aos desafios do processo de alargamento em curso e garantir que a UE tem capacidade para absorver novos membros e favorecer a sua integração bem</w:t>
      </w:r>
      <w:r w:rsidRPr="00266C09">
        <w:noBreakHyphen/>
        <w:t>sucedida sem desestabilizar as economias dos demais Estados</w:t>
      </w:r>
      <w:r w:rsidRPr="00266C09">
        <w:noBreakHyphen/>
        <w:t xml:space="preserve">Membros e sem avivar as tensões sociais; </w:t>
      </w:r>
    </w:p>
    <w:p w14:paraId="376F2C8E" w14:textId="77777777" w:rsidR="00821291" w:rsidRPr="00266C09" w:rsidRDefault="00821291" w:rsidP="00821291">
      <w:pPr>
        <w:pStyle w:val="NormalHanging12a"/>
      </w:pPr>
      <w:r w:rsidRPr="00266C09">
        <w:t>6.</w:t>
      </w:r>
      <w:r w:rsidRPr="00266C09">
        <w:tab/>
        <w:t xml:space="preserve">Reconhece que as soluções </w:t>
      </w:r>
      <w:r w:rsidRPr="00266C09">
        <w:rPr>
          <w:i/>
          <w:iCs/>
        </w:rPr>
        <w:t>ad hoc</w:t>
      </w:r>
      <w:r w:rsidRPr="00266C09">
        <w:t xml:space="preserve"> podem ser soluções temporárias, mas são desprovidas da previsibilidade, da transparência e da responsabilização democráticas e da sustentabilidade a longo prazo que só as reformas estruturais podem garantir;</w:t>
      </w:r>
    </w:p>
    <w:p w14:paraId="3F0D1C14" w14:textId="77777777" w:rsidR="00821291" w:rsidRPr="00266C09" w:rsidRDefault="00821291" w:rsidP="00821291">
      <w:pPr>
        <w:pStyle w:val="Normal12a24b"/>
      </w:pPr>
      <w:r w:rsidRPr="00266C09">
        <w:rPr>
          <w:rStyle w:val="BoldItalic"/>
        </w:rPr>
        <w:t>Objetivos das reformas institucionais pré</w:t>
      </w:r>
      <w:r w:rsidRPr="00266C09">
        <w:rPr>
          <w:rStyle w:val="BoldItalic"/>
        </w:rPr>
        <w:noBreakHyphen/>
        <w:t>alargamento: eficiência, poder e democracia</w:t>
      </w:r>
    </w:p>
    <w:p w14:paraId="74FAF298" w14:textId="77777777" w:rsidR="00821291" w:rsidRPr="00266C09" w:rsidRDefault="00821291" w:rsidP="00821291">
      <w:pPr>
        <w:pStyle w:val="NormalHanging12a"/>
      </w:pPr>
      <w:r w:rsidRPr="00266C09">
        <w:t>7.</w:t>
      </w:r>
      <w:r w:rsidRPr="00266C09">
        <w:tab/>
        <w:t>Crê firmemente que as reformas institucionais da UE, independentemente do processo decisório usado para a sua adoção, deverão aumentar a capacidade da UE para agir de forma eficiente e tempestiva; realça que as reformas pré</w:t>
      </w:r>
      <w:r w:rsidRPr="00266C09">
        <w:noBreakHyphen/>
        <w:t>alargamento do quadro institucional da UE deverão observar os objetivos de melhorar a eficiência da UE, de lhe conferir maior poder na cena mundial e de reforçar a democracia, a legitimidade e a responsabilização da União Europeia;</w:t>
      </w:r>
    </w:p>
    <w:p w14:paraId="5A39AE6C" w14:textId="77777777" w:rsidR="00821291" w:rsidRPr="00266C09" w:rsidRDefault="00821291" w:rsidP="00821291">
      <w:pPr>
        <w:pStyle w:val="Normal12a24b"/>
      </w:pPr>
      <w:r w:rsidRPr="00266C09">
        <w:rPr>
          <w:rStyle w:val="Italic"/>
        </w:rPr>
        <w:t>O desafio da eficiência</w:t>
      </w:r>
    </w:p>
    <w:p w14:paraId="71E55327" w14:textId="77777777" w:rsidR="00821291" w:rsidRPr="00266C09" w:rsidRDefault="00821291" w:rsidP="00821291">
      <w:pPr>
        <w:pStyle w:val="NormalHanging12a"/>
      </w:pPr>
      <w:r w:rsidRPr="00266C09">
        <w:t>8.</w:t>
      </w:r>
      <w:r w:rsidRPr="00266C09">
        <w:tab/>
        <w:t>Sublinha que, para aumentar a eficiência de uma União alargada, se deveria adaptar a composição das instituições da UE, torná</w:t>
      </w:r>
      <w:r w:rsidRPr="00266C09">
        <w:noBreakHyphen/>
        <w:t>la mais eficiente e melhorar o seu funcionamento; propõe que os países candidatos participem de forma estreita e precoce no funcionamento das instituições da UE –– por exemplo, através do estatuto de observador ––, a fim de facilitar o processo de alargamento; observa que tal poderia ser alcançado com êxito de forma semelhante como aquando do alargamento de 2004; assinala, como um exemplo positivo dessa integração gradual, os esforços da Comissão para chamar os países candidatos a participar nos domínios da segurança e da defesa, em particular através das referências a estes no Livro Branco sobre o futuro da defesa da UE e na Estratégia de Segurança Interna;</w:t>
      </w:r>
    </w:p>
    <w:p w14:paraId="05B3EAEB" w14:textId="77777777" w:rsidR="00821291" w:rsidRPr="00266C09" w:rsidRDefault="00821291" w:rsidP="00821291">
      <w:pPr>
        <w:pStyle w:val="NormalHanging12a"/>
      </w:pPr>
      <w:r w:rsidRPr="00266C09">
        <w:t>9.</w:t>
      </w:r>
      <w:r w:rsidRPr="00266C09">
        <w:tab/>
        <w:t>Observa que as reformas institucionais pré</w:t>
      </w:r>
      <w:r w:rsidRPr="00266C09">
        <w:noBreakHyphen/>
        <w:t xml:space="preserve">alargamento devem atentar nas implicações do alargamento na composição do Parlamento; sublinha que, embora assegurando uma representatividade democrática adequada, o Parlamento deverá manter uma dimensão praticável; destaca a necessidade de dar prioridade à realização de um trabalho interno e interinstitucional que vise identificar um método permanente de repartição de lugares </w:t>
      </w:r>
      <w:r w:rsidRPr="00266C09">
        <w:lastRenderedPageBreak/>
        <w:t>suscetível de garantir uma representação demográfica e geográfica justa, transparente e sustentável, respeitando o princípio da proporcionalidade degressiva; recorda a sua posição de que a composição do Parlamento deve ser considerada em conjunto com o sistema de votação no Conselho;</w:t>
      </w:r>
    </w:p>
    <w:p w14:paraId="6247F4A3" w14:textId="2338FC2E" w:rsidR="00821291" w:rsidRPr="00266C09" w:rsidRDefault="00821291" w:rsidP="00821291">
      <w:pPr>
        <w:pStyle w:val="NormalHanging12a"/>
      </w:pPr>
      <w:r w:rsidRPr="00266C09">
        <w:t>10.</w:t>
      </w:r>
      <w:r w:rsidRPr="00266C09">
        <w:tab/>
        <w:t>Releva que a composição atual da Comissão deve ter em conta o alargamento; relembra, neste contexto, a flexibilidade prevista no Tratado de Lisboa; salienta que qualquer redução da dimensão do Colégio de Comissários, tal como previsto no artigo 17.º, n.º 5, do TUE, deve continuar a assegurar uma composição equilibrada da Comissão em termos geográficos, demográficos e de género;</w:t>
      </w:r>
    </w:p>
    <w:p w14:paraId="7D81050D" w14:textId="5C2F2A41" w:rsidR="00821291" w:rsidRPr="00266C09" w:rsidRDefault="00821291" w:rsidP="00821291">
      <w:pPr>
        <w:pStyle w:val="NormalHanging12a"/>
        <w:rPr>
          <w:bCs/>
          <w:iCs/>
        </w:rPr>
      </w:pPr>
      <w:r w:rsidRPr="00266C09">
        <w:t>11.</w:t>
      </w:r>
      <w:r w:rsidRPr="00266C09">
        <w:tab/>
        <w:t>Reconhece a necessidade de refletir sobre a revisão do funcionamento e do processo de tomada de decisão do Conselho na perspetiva do alargamento; observa que é necessário redefinir a maioria qualificada para melhorar o equilíbrio entre os países maiores e aqueles mais pequenos e para manter limiares mais elevados para as decisões de maior importância e sensibilidade política; relembra, a este respeito, a sua Resolução, de 22 de novembro de 2023, sobre projetos do Parlamento Europeu de revisão dos Tratados, em particular sobre as maiorias de votação no Conselho; pede a máxima transparência e integridade do processo de tomada de decisão do Conselho no contexto do alargamento;</w:t>
      </w:r>
    </w:p>
    <w:p w14:paraId="59ABBCE1" w14:textId="77777777" w:rsidR="00821291" w:rsidRPr="00266C09" w:rsidRDefault="00821291" w:rsidP="00821291">
      <w:pPr>
        <w:pStyle w:val="NormalHanging12a"/>
      </w:pPr>
      <w:bookmarkStart w:id="8" w:name="_Hlk208310878"/>
      <w:r w:rsidRPr="00266C09">
        <w:t>12.</w:t>
      </w:r>
      <w:r w:rsidRPr="00266C09">
        <w:tab/>
        <w:t>Propõe reforçar e reformar o procedimento previsto no artigo 7.º do TUE, pondo termo à unanimidade nas decisões do Conselho Europeu, estabelecendo um calendário claro e conferindo ao Tribunal de Justiça da União Europeia a função de árbitro das violações;</w:t>
      </w:r>
      <w:bookmarkEnd w:id="8"/>
    </w:p>
    <w:p w14:paraId="2C79F901" w14:textId="77777777" w:rsidR="00821291" w:rsidRPr="00266C09" w:rsidRDefault="00821291" w:rsidP="00821291">
      <w:pPr>
        <w:pStyle w:val="Normal12a24b"/>
      </w:pPr>
      <w:r w:rsidRPr="00266C09">
        <w:rPr>
          <w:rStyle w:val="Italic"/>
        </w:rPr>
        <w:t>O desafio do poder e dos recursos</w:t>
      </w:r>
    </w:p>
    <w:p w14:paraId="5E52591A" w14:textId="77777777" w:rsidR="00821291" w:rsidRPr="00266C09" w:rsidRDefault="00821291" w:rsidP="00821291">
      <w:pPr>
        <w:pStyle w:val="NormalHanging12a"/>
      </w:pPr>
      <w:r w:rsidRPr="00266C09">
        <w:t>13.</w:t>
      </w:r>
      <w:r w:rsidRPr="00266C09">
        <w:tab/>
        <w:t>Solicita, mais uma vez, uma revisão da governação do QFP, nomeadamente conferindo plenos poderes colegislativos, do lado das despesas do orçamento da UE, incluindo a adoção do QFP;</w:t>
      </w:r>
    </w:p>
    <w:p w14:paraId="18312E10" w14:textId="77777777" w:rsidR="00821291" w:rsidRPr="00266C09" w:rsidRDefault="00821291" w:rsidP="00821291">
      <w:pPr>
        <w:pStyle w:val="NormalHanging12a"/>
        <w:rPr>
          <w:bCs/>
          <w:iCs/>
        </w:rPr>
      </w:pPr>
      <w:r w:rsidRPr="00266C09">
        <w:t>14.</w:t>
      </w:r>
      <w:r w:rsidRPr="00266C09">
        <w:tab/>
        <w:t>Está convencido da necessidade de manter no próximo QFP a cláusula de revisão obrigatória atualmente aplicável em caso de alargamento e que as dotações nacionais não devem ser afetadas; sublinha que o próximo QFP também vai ter de pôr em prática medidas transitórias e de introdução progressiva adequadas para domínios de despesas fundamentais, como a coesão e a agricultura, com base numa avaliação cuidadosa dos impactos nos vários setores;</w:t>
      </w:r>
    </w:p>
    <w:p w14:paraId="31C0D9B4" w14:textId="77777777" w:rsidR="00821291" w:rsidRPr="00266C09" w:rsidRDefault="00821291" w:rsidP="00821291">
      <w:pPr>
        <w:pStyle w:val="NormalHanging12a"/>
        <w:rPr>
          <w:bCs/>
          <w:iCs/>
        </w:rPr>
      </w:pPr>
      <w:r w:rsidRPr="00266C09">
        <w:t>15.</w:t>
      </w:r>
      <w:r w:rsidRPr="00266C09">
        <w:tab/>
        <w:t>Considera que o próximo QFP vai ser crucial para preparar a UE para o alargamento e os países candidatos para a adesão;</w:t>
      </w:r>
    </w:p>
    <w:p w14:paraId="4E6CA994" w14:textId="77777777" w:rsidR="00821291" w:rsidRPr="00266C09" w:rsidRDefault="00821291" w:rsidP="00821291">
      <w:pPr>
        <w:pStyle w:val="NormalHanging12a"/>
      </w:pPr>
      <w:r w:rsidRPr="00266C09">
        <w:t>16.</w:t>
      </w:r>
      <w:r w:rsidRPr="00266C09">
        <w:tab/>
        <w:t>Recorda a posição do Parlamento expressa na sua resolução, de 7 de maio de 2025, sobre um orçamento de longo prazo melhorado para a União num mundo em mudança</w:t>
      </w:r>
      <w:r w:rsidRPr="00266C09">
        <w:rPr>
          <w:rStyle w:val="FootnoteReference"/>
        </w:rPr>
        <w:footnoteReference w:id="7"/>
      </w:r>
      <w:r w:rsidRPr="00266C09">
        <w:t>, segundo a qual o orçamento de longo prazo da UE deve afastar</w:t>
      </w:r>
      <w:r w:rsidRPr="00266C09">
        <w:noBreakHyphen/>
        <w:t xml:space="preserve">se do nível historicamente restritivo e autoimposto de 1 % do rendimento nacional bruto agregado; salienta que os relatórios </w:t>
      </w:r>
      <w:proofErr w:type="spellStart"/>
      <w:r w:rsidRPr="00266C09">
        <w:t>Draghi</w:t>
      </w:r>
      <w:proofErr w:type="spellEnd"/>
      <w:r w:rsidRPr="00266C09">
        <w:t xml:space="preserve"> e </w:t>
      </w:r>
      <w:proofErr w:type="spellStart"/>
      <w:r w:rsidRPr="00266C09">
        <w:t>Letta</w:t>
      </w:r>
      <w:proofErr w:type="spellEnd"/>
      <w:r w:rsidRPr="00266C09">
        <w:t xml:space="preserve"> demonstraram que são necessários recursos orçamentais adicionais significativos para que a UE se torne mais competitiva, conclua a transição justa e ecológica e esteja em condições de se defender autonomamente da agressão russa até 2030;</w:t>
      </w:r>
    </w:p>
    <w:p w14:paraId="39B26EC7" w14:textId="77777777" w:rsidR="00821291" w:rsidRPr="00266C09" w:rsidRDefault="00821291" w:rsidP="00821291">
      <w:pPr>
        <w:pStyle w:val="NormalHanging12a"/>
      </w:pPr>
      <w:r w:rsidRPr="00266C09">
        <w:lastRenderedPageBreak/>
        <w:t>17.</w:t>
      </w:r>
      <w:r w:rsidRPr="00266C09">
        <w:tab/>
        <w:t>Sublinha que o QFP pós</w:t>
      </w:r>
      <w:r w:rsidRPr="00266C09">
        <w:noBreakHyphen/>
        <w:t xml:space="preserve">2027 e um orçamento mais eficaz, contemplando novos recursos próprios, deverão permitir à UE avançar de forma decisiva para o alargamento, salvaguardando simultaneamente as políticas, os programas e as prioridades atuais; </w:t>
      </w:r>
    </w:p>
    <w:p w14:paraId="0D50A43C" w14:textId="77777777" w:rsidR="00821291" w:rsidRPr="00266C09" w:rsidRDefault="00821291" w:rsidP="00821291">
      <w:pPr>
        <w:pStyle w:val="Normal12a24b"/>
      </w:pPr>
      <w:r w:rsidRPr="00266C09">
        <w:rPr>
          <w:rStyle w:val="Italic"/>
        </w:rPr>
        <w:t>O desafio da democracia</w:t>
      </w:r>
    </w:p>
    <w:p w14:paraId="69B94066" w14:textId="77777777" w:rsidR="00821291" w:rsidRPr="00266C09" w:rsidRDefault="00821291" w:rsidP="00821291">
      <w:pPr>
        <w:pStyle w:val="NormalHanging12a"/>
      </w:pPr>
      <w:r w:rsidRPr="00266C09">
        <w:t>18.</w:t>
      </w:r>
      <w:r w:rsidRPr="00266C09">
        <w:tab/>
        <w:t>Sublinha a importância de fortalecer a legitimidade democrática das políticas da UE reforçando os direitos de tomada de decisão e de controlo, nomeadamente um sólido direito de inquérito, do Parlamento Europeu, enquanto única instituição eleita por sufrágio direto que representa os cidadãos da UE;</w:t>
      </w:r>
    </w:p>
    <w:p w14:paraId="02E88883" w14:textId="77777777" w:rsidR="00821291" w:rsidRPr="00266C09" w:rsidRDefault="00821291" w:rsidP="00821291">
      <w:pPr>
        <w:pStyle w:val="NormalHanging12a"/>
        <w:rPr>
          <w:bCs/>
          <w:iCs/>
        </w:rPr>
      </w:pPr>
      <w:r w:rsidRPr="00266C09">
        <w:t>19.</w:t>
      </w:r>
      <w:r w:rsidRPr="00266C09">
        <w:tab/>
        <w:t>Sublinha o papel fundamental que os parlamentos dos países candidatos à adesão à UE desempenham neste processo de adesão, em particular na adoção de legislação relacionada com a adesão, e salienta a importância da cooperação parlamentar e da criação de consensos sobre questões relacionadas com a adesão à UE a esse respeito; reitera a disponibilidade do Parlamento Europeu para utilizar os seus recursos políticos e técnicos para ajudar os parlamentos dos países candidatos a fazer avançar a agenda de reformas relacionadas com a UE, nomeadamente através de atividades de apoio à democracia; congratula</w:t>
      </w:r>
      <w:r w:rsidRPr="00266C09">
        <w:noBreakHyphen/>
        <w:t>se com os progressos realizados em vários países candidatos, nomeadamente através de atividades de mediação e do processo de Diálogo Jean Monnet;</w:t>
      </w:r>
    </w:p>
    <w:p w14:paraId="2DC9BBF1" w14:textId="77777777" w:rsidR="00821291" w:rsidRPr="00266C09" w:rsidRDefault="00821291" w:rsidP="00821291">
      <w:pPr>
        <w:pStyle w:val="NormalHanging12a"/>
      </w:pPr>
      <w:r w:rsidRPr="00266C09">
        <w:t>20.</w:t>
      </w:r>
      <w:r w:rsidRPr="00266C09">
        <w:tab/>
        <w:t>Salienta que a reforma dos processos decisórios da UE exige a capacitação do Parlamento, colocando</w:t>
      </w:r>
      <w:r w:rsidRPr="00266C09">
        <w:noBreakHyphen/>
        <w:t>o em pé de igualdade com o Conselho; solicita, mais uma vez,  que seja cometido ao Parlamento o direito pleno de iniciativa legislativa — o poder de introduzir, alterar ou revogar o direito da União; está profundamente convicto de que um direito de iniciativa geral e direto reforçaria ainda mais a legitimidade democrática da União e daria mais poder aos seus cidadãos;</w:t>
      </w:r>
    </w:p>
    <w:p w14:paraId="2F3BE8CB" w14:textId="77777777" w:rsidR="00821291" w:rsidRPr="00266C09" w:rsidRDefault="00821291" w:rsidP="00821291">
      <w:pPr>
        <w:pStyle w:val="NormalHanging12a"/>
        <w:rPr>
          <w:bCs/>
          <w:iCs/>
        </w:rPr>
      </w:pPr>
      <w:r w:rsidRPr="00266C09">
        <w:t>21.</w:t>
      </w:r>
      <w:r w:rsidRPr="00266C09">
        <w:tab/>
        <w:t>Reconhece que os direitos de iniciativa diretos do Parlamento estão longe de ser suficientes para permitir que represente os cidadãos da União, a sociedade civil e os parceiros sociais nas instituições europeias, deixando efetivamente à Comissão o monopólio da iniciativa legislativa;</w:t>
      </w:r>
    </w:p>
    <w:p w14:paraId="285E6EDE" w14:textId="77777777" w:rsidR="00821291" w:rsidRPr="00266C09" w:rsidRDefault="00821291" w:rsidP="00821291">
      <w:pPr>
        <w:pStyle w:val="NormalHanging12a"/>
        <w:rPr>
          <w:bCs/>
          <w:iCs/>
        </w:rPr>
      </w:pPr>
      <w:r w:rsidRPr="00266C09">
        <w:t>22.</w:t>
      </w:r>
      <w:r w:rsidRPr="00266C09">
        <w:tab/>
        <w:t>Sublinha que o Tratado de Lisboa já confere direitos de iniciativa diretos ao Parlamento, reconhecendo a sua competência para se auto</w:t>
      </w:r>
      <w:r w:rsidRPr="00266C09">
        <w:noBreakHyphen/>
        <w:t>organizar, a sua função de controlo e a sua legitimidade democrática enquanto única instituição da UE diretamente eleita;</w:t>
      </w:r>
    </w:p>
    <w:p w14:paraId="49CFFA30" w14:textId="1874ECA3" w:rsidR="00821291" w:rsidRPr="00266C09" w:rsidRDefault="00821291" w:rsidP="00821291">
      <w:pPr>
        <w:pStyle w:val="NormalHanging12a"/>
      </w:pPr>
      <w:r w:rsidRPr="00266C09">
        <w:t>23.</w:t>
      </w:r>
      <w:r w:rsidRPr="00266C09">
        <w:tab/>
        <w:t>Considera essencial aumentar a transparência e a responsabilização democrática do Parlamento, reforçando a dimensão europeia das eleições e estabelecendo regras eleitorais uniformes em toda a UE; insta os restantes Estados</w:t>
      </w:r>
      <w:r w:rsidRPr="00266C09">
        <w:noBreakHyphen/>
        <w:t>Membros a ratificarem a Decisão 2018/994</w:t>
      </w:r>
      <w:r w:rsidRPr="00266C09">
        <w:rPr>
          <w:rStyle w:val="FootnoteReference"/>
        </w:rPr>
        <w:footnoteReference w:id="8"/>
      </w:r>
      <w:r w:rsidRPr="00266C09">
        <w:t xml:space="preserve"> do Conselho; convida o Conselho a estudar as propostas </w:t>
      </w:r>
      <w:r w:rsidRPr="00266C09">
        <w:lastRenderedPageBreak/>
        <w:t>apresentadas na posição do Parlamento de 3 de maio de 2022</w:t>
      </w:r>
      <w:r w:rsidRPr="00266C09">
        <w:rPr>
          <w:vertAlign w:val="superscript"/>
        </w:rPr>
        <w:footnoteReference w:id="9"/>
      </w:r>
      <w:r w:rsidRPr="00266C09">
        <w:t xml:space="preserve">; pede, uma vez mais, ao Parlamento e ao Conselho que realizem progressos nos debates sobre a introdução de um mecanismo permanente de distribuição dos lugares no Parlamento Europeu; </w:t>
      </w:r>
    </w:p>
    <w:p w14:paraId="4ABDDE7A" w14:textId="77777777" w:rsidR="00821291" w:rsidRPr="00266C09" w:rsidRDefault="00821291" w:rsidP="00821291">
      <w:pPr>
        <w:pStyle w:val="Normal12a24b"/>
      </w:pPr>
      <w:r w:rsidRPr="00266C09">
        <w:rPr>
          <w:rStyle w:val="BoldItalic"/>
        </w:rPr>
        <w:t>Formas de aplicar as reformas institucionais antes do alargamento</w:t>
      </w:r>
    </w:p>
    <w:p w14:paraId="710CBC65" w14:textId="77777777" w:rsidR="00821291" w:rsidRPr="00266C09" w:rsidRDefault="00821291" w:rsidP="00821291">
      <w:pPr>
        <w:pStyle w:val="NormalHanging12a"/>
      </w:pPr>
      <w:r w:rsidRPr="00266C09">
        <w:t>24.</w:t>
      </w:r>
      <w:r w:rsidRPr="00266C09">
        <w:tab/>
        <w:t>Considera que os objetivos acima referidos das reformas institucionais pré</w:t>
      </w:r>
      <w:r w:rsidRPr="00266C09">
        <w:noBreakHyphen/>
        <w:t>alargamento podem ser concretizados de várias maneiras, nomeadamente através da ativação da flexibilidade proporcionada pelos Tratados em vigor, através de uma ou várias alterações específicas aos Tratados;</w:t>
      </w:r>
    </w:p>
    <w:p w14:paraId="10A452E0" w14:textId="77777777" w:rsidR="00821291" w:rsidRPr="00266C09" w:rsidRDefault="00821291" w:rsidP="00821291">
      <w:pPr>
        <w:pStyle w:val="NormalHanging12a"/>
      </w:pPr>
      <w:r w:rsidRPr="00266C09">
        <w:t>25.</w:t>
      </w:r>
      <w:r w:rsidRPr="00266C09">
        <w:tab/>
        <w:t>Recorda que, ao abrigo do atual quadro jurídico da UE, já é possível recorrer a um conjunto de instrumentos de flexibilidade, como as cláusulas</w:t>
      </w:r>
      <w:r w:rsidRPr="00266C09">
        <w:noBreakHyphen/>
        <w:t>ponte, a cooperação reforçada, a abstenção construtiva, a cooperação estruturada permanente e os mecanismos de autoexclusão, como o comprova de forma evidente a experiência com o Espaço Schengen –– uma das maiores conquistas da União –– e com a área do euro; relembra que as soluções de introdução progressiva, as derrogações temporárias e os períodos de transição podem ser negociados para determinados domínios de intervenção no contexto dos procedimentos de adesão;</w:t>
      </w:r>
    </w:p>
    <w:p w14:paraId="0B0C094F" w14:textId="77777777" w:rsidR="00821291" w:rsidRPr="00266C09" w:rsidRDefault="00821291" w:rsidP="00821291">
      <w:pPr>
        <w:pStyle w:val="NormalHanging12a"/>
        <w:rPr>
          <w:bCs/>
          <w:iCs/>
        </w:rPr>
      </w:pPr>
      <w:r w:rsidRPr="00266C09">
        <w:t>26.</w:t>
      </w:r>
      <w:r w:rsidRPr="00266C09">
        <w:tab/>
        <w:t>Reitera a sua posição de que uma integração diferenciada deve ocorrer sempre no âmbito dos Tratados, deve manter a unidade das instituições da UE e não deve conduzir à criação de acordos institucionais paralelos ou acordos que sejam indiretamente contrários ao espírito e aos princípios fundamentais da legislação da UE, devendo antes permitir a criação de órgãos específicos, sempre que adequado, sem prejuízo das competências e do papel das instituições da União;</w:t>
      </w:r>
    </w:p>
    <w:p w14:paraId="67CDDC6F" w14:textId="77777777" w:rsidR="00821291" w:rsidRPr="00266C09" w:rsidRDefault="00821291" w:rsidP="00821291">
      <w:pPr>
        <w:pStyle w:val="NormalHanging12a"/>
        <w:tabs>
          <w:tab w:val="left" w:pos="709"/>
        </w:tabs>
      </w:pPr>
      <w:r w:rsidRPr="00266C09">
        <w:t>27.</w:t>
      </w:r>
      <w:r w:rsidRPr="00266C09">
        <w:tab/>
        <w:t>Frisa que a flexibilidade prevista nos Tratados em vigor permite fazer mais para avançar rumo a uma União Europeia da Defesa, sem exigir um processo abrangente de reforma dos Tratados; sublinha que a criação de uma União Europeia da Defesa permanente vai exigir, em última análise, uma decisão unânime, em conformidade com o artigo 42.º, n.º 2;</w:t>
      </w:r>
    </w:p>
    <w:p w14:paraId="5F8E8C21" w14:textId="77777777" w:rsidR="00821291" w:rsidRPr="00266C09" w:rsidRDefault="00821291" w:rsidP="00821291">
      <w:pPr>
        <w:pStyle w:val="NormalHanging12a"/>
      </w:pPr>
      <w:r w:rsidRPr="00266C09">
        <w:t>28.</w:t>
      </w:r>
      <w:r w:rsidRPr="00266C09">
        <w:tab/>
        <w:t>Salienta que, no domínio da defesa, a cooperação estruturada permanente (anterior artigo 46.º do TUE) cria as condições para que um grupo de Estados</w:t>
      </w:r>
      <w:r w:rsidRPr="00266C09">
        <w:noBreakHyphen/>
        <w:t>Membros avance para a criação do sistema de defesa europeu; releva que, não obstante o facto de a cooperação estruturada permanente ter sido usada sobretudo para projetos industriais no setor da defesa, este instrumento tem um potencial mais amplo para possibilitar aos Estados</w:t>
      </w:r>
      <w:r w:rsidRPr="00266C09">
        <w:noBreakHyphen/>
        <w:t>Membros institucionalizar a defesa comum de imediato, mesmo na ausência de unanimidade no Conselho Europeu;</w:t>
      </w:r>
    </w:p>
    <w:p w14:paraId="7AA2A6DA" w14:textId="77777777" w:rsidR="00821291" w:rsidRPr="00266C09" w:rsidRDefault="00821291" w:rsidP="00821291">
      <w:pPr>
        <w:pStyle w:val="NormalHanging12a"/>
      </w:pPr>
      <w:r w:rsidRPr="00266C09">
        <w:t>29.</w:t>
      </w:r>
      <w:r w:rsidRPr="00266C09">
        <w:tab/>
        <w:t>Sublinha que, em conformidade com as disposições vigentes do Tratado, uma decisão adotada por maioria qualificada permitiria a criação de um sistema de defesa europeu nos termos do artigo 42.º, n.º 6, do TUE e do artigo 1.º, alínea b), do Protocolo 10, deixando ao mesmo tempo em aberto a possibilidade de outros Estados</w:t>
      </w:r>
      <w:r w:rsidRPr="00266C09">
        <w:noBreakHyphen/>
        <w:t xml:space="preserve">Membros aderirem ao sistema de defesa europeu numa fase posterior, como sucedeu com a união </w:t>
      </w:r>
      <w:r w:rsidRPr="00266C09">
        <w:lastRenderedPageBreak/>
        <w:t>económica e monetária; solicita, neste sentido, à Comissão e aos Estados</w:t>
      </w:r>
      <w:r w:rsidRPr="00266C09">
        <w:noBreakHyphen/>
        <w:t>Membros interessados que ativem sem demora as disposições da cooperação estruturada permanente para este efeito;</w:t>
      </w:r>
    </w:p>
    <w:p w14:paraId="770A75D2" w14:textId="1B8232FF" w:rsidR="00821291" w:rsidRPr="00266C09" w:rsidRDefault="00280AF0" w:rsidP="00821291">
      <w:pPr>
        <w:pStyle w:val="NormalHanging12a"/>
        <w:rPr>
          <w:bCs/>
          <w:iCs/>
        </w:rPr>
      </w:pPr>
      <w:r w:rsidRPr="00266C09">
        <w:t>30</w:t>
      </w:r>
      <w:r w:rsidR="00821291" w:rsidRPr="00266C09">
        <w:t>.</w:t>
      </w:r>
      <w:r w:rsidR="00821291" w:rsidRPr="00266C09">
        <w:tab/>
        <w:t>Insta a Comissão e o Conselho a comunicarem claramente as conclusões das revisões das políticas e a desenvolverem, em cooperação com o Parlamento, um roteiro realista e sequenciado para a execução das reformas institucionais necessárias, em conjunto com o processo de alargamento;</w:t>
      </w:r>
    </w:p>
    <w:p w14:paraId="6756EFF9" w14:textId="77777777" w:rsidR="00821291" w:rsidRPr="00266C09" w:rsidRDefault="00821291" w:rsidP="00821291">
      <w:pPr>
        <w:pStyle w:val="NormalHanging12a"/>
        <w:jc w:val="center"/>
        <w:rPr>
          <w:bCs/>
          <w:iCs/>
        </w:rPr>
      </w:pPr>
      <w:r w:rsidRPr="00266C09">
        <w:t>°</w:t>
      </w:r>
    </w:p>
    <w:p w14:paraId="0D4118E0" w14:textId="77777777" w:rsidR="00821291" w:rsidRPr="00266C09" w:rsidRDefault="00821291" w:rsidP="00821291">
      <w:pPr>
        <w:pStyle w:val="NormalHanging12a"/>
        <w:jc w:val="center"/>
        <w:rPr>
          <w:bCs/>
          <w:iCs/>
        </w:rPr>
      </w:pPr>
      <w:r w:rsidRPr="00266C09">
        <w:t>°</w:t>
      </w:r>
      <w:r w:rsidRPr="00266C09">
        <w:tab/>
        <w:t>°</w:t>
      </w:r>
    </w:p>
    <w:p w14:paraId="1563EEB1" w14:textId="6CEB0F17" w:rsidR="004E34DE" w:rsidRPr="00266C09" w:rsidRDefault="00280AF0" w:rsidP="004E34DE">
      <w:pPr>
        <w:pStyle w:val="NormalHanging12a"/>
      </w:pPr>
      <w:r w:rsidRPr="00266C09">
        <w:t>31</w:t>
      </w:r>
      <w:r w:rsidR="00821291" w:rsidRPr="00266C09">
        <w:t>.</w:t>
      </w:r>
      <w:r w:rsidR="00821291" w:rsidRPr="00266C09">
        <w:tab/>
        <w:t>Encarrega a sua Presidente de transmitir a presente resolução ao Conselho e à Comissão.</w:t>
      </w:r>
    </w:p>
    <w:sectPr w:rsidR="004E34DE" w:rsidRPr="00266C09" w:rsidSect="004E34D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C7965" w14:textId="77777777" w:rsidR="00D74B1D" w:rsidRPr="004E34DE" w:rsidRDefault="00D74B1D">
      <w:r w:rsidRPr="004E34DE">
        <w:separator/>
      </w:r>
    </w:p>
  </w:endnote>
  <w:endnote w:type="continuationSeparator" w:id="0">
    <w:p w14:paraId="0A6ED1D7" w14:textId="77777777" w:rsidR="00D74B1D" w:rsidRPr="004E34DE" w:rsidRDefault="00D74B1D">
      <w:r w:rsidRPr="004E34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89C59" w14:textId="77777777" w:rsidR="00D74B1D" w:rsidRPr="004E34DE" w:rsidRDefault="00D74B1D">
      <w:r w:rsidRPr="004E34DE">
        <w:separator/>
      </w:r>
    </w:p>
  </w:footnote>
  <w:footnote w:type="continuationSeparator" w:id="0">
    <w:p w14:paraId="5B575DE0" w14:textId="77777777" w:rsidR="00D74B1D" w:rsidRPr="004E34DE" w:rsidRDefault="00D74B1D">
      <w:r w:rsidRPr="004E34DE">
        <w:continuationSeparator/>
      </w:r>
    </w:p>
  </w:footnote>
  <w:footnote w:id="1">
    <w:p w14:paraId="0F02458A" w14:textId="2C37B965" w:rsidR="00821291" w:rsidRPr="00280AF0" w:rsidRDefault="00821291" w:rsidP="004E34DE">
      <w:pPr>
        <w:pStyle w:val="FootnoteText"/>
        <w:ind w:left="567" w:hanging="567"/>
        <w:rPr>
          <w:sz w:val="24"/>
          <w:lang w:val="fi-FI"/>
        </w:rPr>
      </w:pPr>
      <w:r w:rsidRPr="004E34DE">
        <w:rPr>
          <w:rStyle w:val="FootnoteReference"/>
          <w:sz w:val="24"/>
          <w:lang w:val="pt-PT"/>
        </w:rPr>
        <w:footnoteRef/>
      </w:r>
      <w:r w:rsidR="004E34DE" w:rsidRPr="00280AF0">
        <w:rPr>
          <w:sz w:val="24"/>
          <w:lang w:val="fi-FI"/>
        </w:rPr>
        <w:t xml:space="preserve"> </w:t>
      </w:r>
      <w:r w:rsidR="004E34DE" w:rsidRPr="00280AF0">
        <w:rPr>
          <w:sz w:val="24"/>
          <w:lang w:val="fi-FI"/>
        </w:rPr>
        <w:tab/>
      </w:r>
      <w:r w:rsidRPr="00280AF0">
        <w:rPr>
          <w:sz w:val="24"/>
          <w:lang w:val="fi-FI"/>
        </w:rPr>
        <w:t>JO C 252 de 18.7.2018, p. 215.</w:t>
      </w:r>
    </w:p>
  </w:footnote>
  <w:footnote w:id="2">
    <w:p w14:paraId="65327202" w14:textId="5D33DAF8" w:rsidR="00821291" w:rsidRPr="00B420E0" w:rsidRDefault="00821291" w:rsidP="004E34DE">
      <w:pPr>
        <w:pStyle w:val="FootnoteText"/>
        <w:ind w:left="567" w:hanging="567"/>
        <w:rPr>
          <w:sz w:val="24"/>
          <w:lang w:val="fi-FI"/>
        </w:rPr>
      </w:pPr>
      <w:r w:rsidRPr="004E34DE">
        <w:rPr>
          <w:rStyle w:val="FootnoteReference"/>
          <w:sz w:val="24"/>
          <w:lang w:val="pt-PT"/>
        </w:rPr>
        <w:footnoteRef/>
      </w:r>
      <w:r w:rsidR="004E34DE" w:rsidRPr="00B420E0">
        <w:rPr>
          <w:sz w:val="24"/>
          <w:lang w:val="fi-FI"/>
        </w:rPr>
        <w:t xml:space="preserve"> </w:t>
      </w:r>
      <w:r w:rsidR="004E34DE" w:rsidRPr="00B420E0">
        <w:rPr>
          <w:sz w:val="24"/>
          <w:lang w:val="fi-FI"/>
        </w:rPr>
        <w:tab/>
      </w:r>
      <w:r w:rsidRPr="00B420E0">
        <w:rPr>
          <w:sz w:val="24"/>
          <w:lang w:val="fi-FI"/>
        </w:rPr>
        <w:t xml:space="preserve">JO C, C/2024/3996, 17.7.2024, ELI: </w:t>
      </w:r>
      <w:hyperlink r:id="rId1" w:history="1">
        <w:r w:rsidRPr="00B420E0">
          <w:rPr>
            <w:rStyle w:val="Hyperlink"/>
            <w:sz w:val="24"/>
            <w:lang w:val="fi-FI"/>
          </w:rPr>
          <w:t>http://data.europa.eu/eli/C/2024/3996/oj</w:t>
        </w:r>
      </w:hyperlink>
      <w:r w:rsidRPr="00B420E0">
        <w:rPr>
          <w:sz w:val="24"/>
          <w:lang w:val="fi-FI"/>
        </w:rPr>
        <w:t>.</w:t>
      </w:r>
    </w:p>
  </w:footnote>
  <w:footnote w:id="3">
    <w:p w14:paraId="5B4C9D61" w14:textId="128B4780" w:rsidR="00821291" w:rsidRPr="00B420E0" w:rsidRDefault="00821291" w:rsidP="004E34DE">
      <w:pPr>
        <w:pStyle w:val="FootnoteText"/>
        <w:ind w:left="567" w:hanging="567"/>
        <w:rPr>
          <w:sz w:val="24"/>
          <w:lang w:val="da-DK"/>
        </w:rPr>
      </w:pPr>
      <w:r w:rsidRPr="004E34DE">
        <w:rPr>
          <w:rStyle w:val="FootnoteReference"/>
          <w:sz w:val="24"/>
          <w:lang w:val="pt-PT"/>
        </w:rPr>
        <w:footnoteRef/>
      </w:r>
      <w:r w:rsidR="004E34DE" w:rsidRPr="00B420E0">
        <w:rPr>
          <w:sz w:val="24"/>
          <w:lang w:val="da-DK"/>
        </w:rPr>
        <w:t xml:space="preserve"> </w:t>
      </w:r>
      <w:r w:rsidR="004E34DE" w:rsidRPr="00B420E0">
        <w:rPr>
          <w:sz w:val="24"/>
          <w:lang w:val="da-DK"/>
        </w:rPr>
        <w:tab/>
      </w:r>
      <w:r w:rsidRPr="00B420E0">
        <w:rPr>
          <w:sz w:val="24"/>
          <w:lang w:val="da-DK"/>
        </w:rPr>
        <w:t>JO C 465 de 6.12.2022, p. 109.</w:t>
      </w:r>
    </w:p>
  </w:footnote>
  <w:footnote w:id="4">
    <w:p w14:paraId="253E663C" w14:textId="0DCA5ACC" w:rsidR="00821291" w:rsidRPr="00B420E0" w:rsidRDefault="00821291" w:rsidP="004E34DE">
      <w:pPr>
        <w:pStyle w:val="FootnoteText"/>
        <w:ind w:left="567" w:hanging="567"/>
        <w:rPr>
          <w:sz w:val="24"/>
          <w:lang w:val="da-DK"/>
        </w:rPr>
      </w:pPr>
      <w:r w:rsidRPr="004E34DE">
        <w:rPr>
          <w:rStyle w:val="FootnoteReference"/>
          <w:sz w:val="24"/>
          <w:lang w:val="pt-PT"/>
        </w:rPr>
        <w:footnoteRef/>
      </w:r>
      <w:r w:rsidR="004E34DE" w:rsidRPr="00B420E0">
        <w:rPr>
          <w:sz w:val="24"/>
          <w:lang w:val="da-DK"/>
        </w:rPr>
        <w:t xml:space="preserve"> </w:t>
      </w:r>
      <w:r w:rsidR="004E34DE" w:rsidRPr="00B420E0">
        <w:rPr>
          <w:sz w:val="24"/>
          <w:lang w:val="da-DK"/>
        </w:rPr>
        <w:tab/>
      </w:r>
      <w:r w:rsidRPr="00B420E0">
        <w:rPr>
          <w:sz w:val="24"/>
          <w:lang w:val="da-DK"/>
        </w:rPr>
        <w:t>JO C 493 de 27.12.2022, p. 130.</w:t>
      </w:r>
    </w:p>
  </w:footnote>
  <w:footnote w:id="5">
    <w:p w14:paraId="65E4D706" w14:textId="445E9B10" w:rsidR="00821291" w:rsidRPr="00B420E0" w:rsidRDefault="00821291" w:rsidP="004E34DE">
      <w:pPr>
        <w:pStyle w:val="FootnoteText"/>
        <w:ind w:left="567" w:hanging="567"/>
        <w:rPr>
          <w:sz w:val="24"/>
          <w:lang w:val="fi-FI"/>
        </w:rPr>
      </w:pPr>
      <w:r w:rsidRPr="004E34DE">
        <w:rPr>
          <w:rStyle w:val="FootnoteReference"/>
          <w:sz w:val="24"/>
          <w:lang w:val="pt-PT"/>
        </w:rPr>
        <w:footnoteRef/>
      </w:r>
      <w:r w:rsidR="004E34DE" w:rsidRPr="00B420E0">
        <w:rPr>
          <w:sz w:val="24"/>
          <w:lang w:val="fi-FI"/>
        </w:rPr>
        <w:t xml:space="preserve"> </w:t>
      </w:r>
      <w:r w:rsidR="004E34DE" w:rsidRPr="00B420E0">
        <w:rPr>
          <w:sz w:val="24"/>
          <w:lang w:val="fi-FI"/>
        </w:rPr>
        <w:tab/>
      </w:r>
      <w:r w:rsidRPr="00B420E0">
        <w:rPr>
          <w:sz w:val="24"/>
          <w:lang w:val="fi-FI"/>
        </w:rPr>
        <w:t xml:space="preserve">JO C, C/2024/4216, 24.7.2024, ELI: </w:t>
      </w:r>
      <w:hyperlink r:id="rId2" w:history="1">
        <w:r w:rsidRPr="00B420E0">
          <w:rPr>
            <w:rStyle w:val="Hyperlink"/>
            <w:sz w:val="24"/>
            <w:lang w:val="fi-FI"/>
          </w:rPr>
          <w:t>http://data.europa.eu/eli/C/2024/4216/oj</w:t>
        </w:r>
      </w:hyperlink>
      <w:r w:rsidRPr="00B420E0">
        <w:rPr>
          <w:sz w:val="24"/>
          <w:lang w:val="fi-FI"/>
        </w:rPr>
        <w:t>.</w:t>
      </w:r>
    </w:p>
  </w:footnote>
  <w:footnote w:id="6">
    <w:p w14:paraId="1719E91C" w14:textId="4491DC38" w:rsidR="00821291" w:rsidRPr="00B420E0" w:rsidRDefault="00821291" w:rsidP="004E34DE">
      <w:pPr>
        <w:pStyle w:val="FootnoteText"/>
        <w:ind w:left="567" w:hanging="567"/>
        <w:rPr>
          <w:sz w:val="24"/>
          <w:lang w:val="fi-FI"/>
        </w:rPr>
      </w:pPr>
      <w:r w:rsidRPr="004E34DE">
        <w:rPr>
          <w:rStyle w:val="FootnoteReference"/>
          <w:sz w:val="24"/>
          <w:lang w:val="pt-PT"/>
        </w:rPr>
        <w:footnoteRef/>
      </w:r>
      <w:r w:rsidR="004E34DE" w:rsidRPr="00B420E0">
        <w:rPr>
          <w:sz w:val="24"/>
          <w:lang w:val="fi-FI"/>
        </w:rPr>
        <w:t xml:space="preserve"> </w:t>
      </w:r>
      <w:r w:rsidR="004E34DE" w:rsidRPr="00B420E0">
        <w:rPr>
          <w:sz w:val="24"/>
          <w:lang w:val="fi-FI"/>
        </w:rPr>
        <w:tab/>
      </w:r>
      <w:r w:rsidRPr="00B420E0">
        <w:rPr>
          <w:sz w:val="24"/>
          <w:lang w:val="fi-FI"/>
        </w:rPr>
        <w:t xml:space="preserve">JO C, C/2024/6746, 26.11.2024, ELI: </w:t>
      </w:r>
      <w:hyperlink r:id="rId3" w:history="1">
        <w:r w:rsidRPr="00B420E0">
          <w:rPr>
            <w:rStyle w:val="Hyperlink"/>
            <w:sz w:val="24"/>
            <w:lang w:val="fi-FI"/>
          </w:rPr>
          <w:t>http://data.europa.eu/eli/C/2024/6746/oj</w:t>
        </w:r>
      </w:hyperlink>
      <w:r w:rsidRPr="00B420E0">
        <w:rPr>
          <w:sz w:val="24"/>
          <w:lang w:val="fi-FI"/>
        </w:rPr>
        <w:t>.</w:t>
      </w:r>
    </w:p>
  </w:footnote>
  <w:footnote w:id="7">
    <w:p w14:paraId="5810882D" w14:textId="4B640D04" w:rsidR="00821291" w:rsidRPr="004E34DE" w:rsidRDefault="00821291" w:rsidP="004E34DE">
      <w:pPr>
        <w:pStyle w:val="FootnoteText"/>
        <w:ind w:left="567" w:hanging="567"/>
        <w:rPr>
          <w:sz w:val="24"/>
          <w:lang w:val="pt-PT"/>
        </w:rPr>
      </w:pPr>
      <w:r w:rsidRPr="004E34DE">
        <w:rPr>
          <w:rStyle w:val="FootnoteReference"/>
          <w:sz w:val="24"/>
          <w:lang w:val="pt-PT"/>
        </w:rPr>
        <w:footnoteRef/>
      </w:r>
      <w:r w:rsidR="004E34DE" w:rsidRPr="004E34DE">
        <w:rPr>
          <w:sz w:val="24"/>
          <w:lang w:val="pt-PT"/>
        </w:rPr>
        <w:t xml:space="preserve"> </w:t>
      </w:r>
      <w:r w:rsidR="004E34DE" w:rsidRPr="004E34DE">
        <w:rPr>
          <w:sz w:val="24"/>
          <w:lang w:val="pt-PT"/>
        </w:rPr>
        <w:tab/>
      </w:r>
      <w:r w:rsidRPr="004E34DE">
        <w:rPr>
          <w:sz w:val="24"/>
          <w:lang w:val="pt-PT"/>
        </w:rPr>
        <w:t>Textos Aprovados, P10_TA(2025)0090.</w:t>
      </w:r>
    </w:p>
  </w:footnote>
  <w:footnote w:id="8">
    <w:p w14:paraId="0D44F83F" w14:textId="1613D0F7" w:rsidR="00821291" w:rsidRPr="004E34DE" w:rsidRDefault="00821291" w:rsidP="004E34DE">
      <w:pPr>
        <w:pStyle w:val="FootnoteText"/>
        <w:ind w:left="567" w:hanging="567"/>
        <w:rPr>
          <w:sz w:val="24"/>
          <w:lang w:val="pt-PT"/>
        </w:rPr>
      </w:pPr>
      <w:r w:rsidRPr="004E34DE">
        <w:rPr>
          <w:rStyle w:val="FootnoteReference"/>
          <w:sz w:val="24"/>
          <w:lang w:val="pt-PT"/>
        </w:rPr>
        <w:footnoteRef/>
      </w:r>
      <w:r w:rsidR="004E34DE" w:rsidRPr="004E34DE">
        <w:rPr>
          <w:sz w:val="24"/>
          <w:lang w:val="pt-PT"/>
        </w:rPr>
        <w:t xml:space="preserve"> </w:t>
      </w:r>
      <w:r w:rsidR="004E34DE" w:rsidRPr="004E34DE">
        <w:rPr>
          <w:sz w:val="24"/>
          <w:lang w:val="pt-PT"/>
        </w:rPr>
        <w:tab/>
      </w:r>
      <w:r w:rsidRPr="004E34DE">
        <w:rPr>
          <w:sz w:val="24"/>
          <w:lang w:val="pt-PT"/>
        </w:rPr>
        <w:t>Decisão (UE, Euratom) 2018/994 do Conselho, de 13 de julho de 2018, que altera o Ato relativo à eleição dos membros do Parlamento Europeu por sufrágio universal direto, anexo à Decisão 76/787/CECA, CEE, Euratom do Conselho de 20 de setembro de 1976 (JO L 178 de 16.7.2018, p. 1, ELI: </w:t>
      </w:r>
      <w:hyperlink r:id="rId4" w:history="1">
        <w:r w:rsidR="00653B84" w:rsidRPr="00653B84">
          <w:rPr>
            <w:rStyle w:val="Hyperlink"/>
            <w:sz w:val="24"/>
            <w:lang w:val="pt-PT"/>
          </w:rPr>
          <w:t>http://data.europa.eu/eli/dec/2018/994/oj</w:t>
        </w:r>
      </w:hyperlink>
      <w:r w:rsidR="00653B84">
        <w:rPr>
          <w:sz w:val="24"/>
          <w:lang w:val="pt-PT"/>
        </w:rPr>
        <w:t>).</w:t>
      </w:r>
    </w:p>
  </w:footnote>
  <w:footnote w:id="9">
    <w:p w14:paraId="29F450D2" w14:textId="10A19970" w:rsidR="00821291" w:rsidRPr="004E34DE" w:rsidRDefault="00821291" w:rsidP="004E34DE">
      <w:pPr>
        <w:pStyle w:val="FootnoteText"/>
        <w:ind w:left="567" w:hanging="567"/>
        <w:rPr>
          <w:sz w:val="24"/>
          <w:lang w:val="pt-PT"/>
        </w:rPr>
      </w:pPr>
      <w:r w:rsidRPr="004E34DE">
        <w:rPr>
          <w:rStyle w:val="FootnoteReference"/>
          <w:sz w:val="24"/>
          <w:lang w:val="pt-PT"/>
        </w:rPr>
        <w:footnoteRef/>
      </w:r>
      <w:r w:rsidR="004E34DE" w:rsidRPr="004E34DE">
        <w:rPr>
          <w:sz w:val="24"/>
          <w:lang w:val="pt-PT"/>
        </w:rPr>
        <w:t xml:space="preserve"> </w:t>
      </w:r>
      <w:r w:rsidR="004E34DE" w:rsidRPr="004E34DE">
        <w:rPr>
          <w:sz w:val="24"/>
          <w:lang w:val="pt-PT"/>
        </w:rPr>
        <w:tab/>
      </w:r>
      <w:r w:rsidRPr="004E34DE">
        <w:rPr>
          <w:sz w:val="24"/>
          <w:lang w:val="pt-PT"/>
        </w:rPr>
        <w:t>Resolução legislativa do Parlamento Europeu, de 3 de maio de 2022, sobre a proposta de regulamento do Conselho relativo à eleição dos deputados ao Parlamento Europeu por sufrágio universal direto, que revoga a Decisão (76/787/CECA, CEE, Euratom) do Conselho e o Ato relativo à eleição dos deputados ao Parlamento Europeu por sufrágio universal direto anexado a essa decisão (JO C 465</w:t>
      </w:r>
      <w:r w:rsidR="00831D6C">
        <w:rPr>
          <w:sz w:val="24"/>
          <w:lang w:val="pt-PT"/>
        </w:rPr>
        <w:t xml:space="preserve"> </w:t>
      </w:r>
      <w:r w:rsidR="00831D6C">
        <w:rPr>
          <w:sz w:val="24"/>
          <w:lang w:val="pt-PT"/>
        </w:rPr>
        <w:t>de</w:t>
      </w:r>
      <w:r w:rsidRPr="004E34DE">
        <w:rPr>
          <w:sz w:val="24"/>
          <w:lang w:val="pt-PT"/>
        </w:rPr>
        <w:t xml:space="preserve"> 6.12.2022, p. 171).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2317934">
    <w:abstractNumId w:val="9"/>
  </w:num>
  <w:num w:numId="2" w16cid:durableId="781072216">
    <w:abstractNumId w:val="9"/>
  </w:num>
  <w:num w:numId="3" w16cid:durableId="1660575180">
    <w:abstractNumId w:val="7"/>
  </w:num>
  <w:num w:numId="4" w16cid:durableId="1237932965">
    <w:abstractNumId w:val="7"/>
  </w:num>
  <w:num w:numId="5" w16cid:durableId="171923210">
    <w:abstractNumId w:val="6"/>
  </w:num>
  <w:num w:numId="6" w16cid:durableId="70465324">
    <w:abstractNumId w:val="6"/>
  </w:num>
  <w:num w:numId="7" w16cid:durableId="2017416002">
    <w:abstractNumId w:val="5"/>
  </w:num>
  <w:num w:numId="8" w16cid:durableId="595596359">
    <w:abstractNumId w:val="5"/>
  </w:num>
  <w:num w:numId="9" w16cid:durableId="2036228332">
    <w:abstractNumId w:val="4"/>
  </w:num>
  <w:num w:numId="10" w16cid:durableId="2011521453">
    <w:abstractNumId w:val="4"/>
  </w:num>
  <w:num w:numId="11" w16cid:durableId="1667704921">
    <w:abstractNumId w:val="8"/>
  </w:num>
  <w:num w:numId="12" w16cid:durableId="714112702">
    <w:abstractNumId w:val="8"/>
  </w:num>
  <w:num w:numId="13" w16cid:durableId="1068695574">
    <w:abstractNumId w:val="3"/>
  </w:num>
  <w:num w:numId="14" w16cid:durableId="1171481047">
    <w:abstractNumId w:val="3"/>
  </w:num>
  <w:num w:numId="15" w16cid:durableId="1215896947">
    <w:abstractNumId w:val="2"/>
  </w:num>
  <w:num w:numId="16" w16cid:durableId="1002587555">
    <w:abstractNumId w:val="2"/>
  </w:num>
  <w:num w:numId="17" w16cid:durableId="286621253">
    <w:abstractNumId w:val="1"/>
  </w:num>
  <w:num w:numId="18" w16cid:durableId="1287859470">
    <w:abstractNumId w:val="1"/>
  </w:num>
  <w:num w:numId="19" w16cid:durableId="1817409170">
    <w:abstractNumId w:val="0"/>
  </w:num>
  <w:num w:numId="20" w16cid:durableId="1030298257">
    <w:abstractNumId w:val="0"/>
  </w:num>
  <w:num w:numId="21" w16cid:durableId="988704766">
    <w:abstractNumId w:val="9"/>
  </w:num>
  <w:num w:numId="22" w16cid:durableId="1552380899">
    <w:abstractNumId w:val="7"/>
  </w:num>
  <w:num w:numId="23" w16cid:durableId="1356541196">
    <w:abstractNumId w:val="6"/>
  </w:num>
  <w:num w:numId="24" w16cid:durableId="1069114122">
    <w:abstractNumId w:val="5"/>
  </w:num>
  <w:num w:numId="25" w16cid:durableId="1180318912">
    <w:abstractNumId w:val="4"/>
  </w:num>
  <w:num w:numId="26" w16cid:durableId="1285576926">
    <w:abstractNumId w:val="8"/>
  </w:num>
  <w:num w:numId="27" w16cid:durableId="1773939397">
    <w:abstractNumId w:val="3"/>
  </w:num>
  <w:num w:numId="28" w16cid:durableId="1267036076">
    <w:abstractNumId w:val="2"/>
  </w:num>
  <w:num w:numId="29" w16cid:durableId="1270968068">
    <w:abstractNumId w:val="1"/>
  </w:num>
  <w:num w:numId="30" w16cid:durableId="1292861311">
    <w:abstractNumId w:val="0"/>
  </w:num>
  <w:num w:numId="31" w16cid:durableId="2126805078">
    <w:abstractNumId w:val="9"/>
  </w:num>
  <w:num w:numId="32" w16cid:durableId="289674327">
    <w:abstractNumId w:val="7"/>
  </w:num>
  <w:num w:numId="33" w16cid:durableId="456988754">
    <w:abstractNumId w:val="6"/>
  </w:num>
  <w:num w:numId="34" w16cid:durableId="1220673659">
    <w:abstractNumId w:val="5"/>
  </w:num>
  <w:num w:numId="35" w16cid:durableId="6445994">
    <w:abstractNumId w:val="4"/>
  </w:num>
  <w:num w:numId="36" w16cid:durableId="1456292533">
    <w:abstractNumId w:val="8"/>
  </w:num>
  <w:num w:numId="37" w16cid:durableId="2060396686">
    <w:abstractNumId w:val="3"/>
  </w:num>
  <w:num w:numId="38" w16cid:durableId="204030065">
    <w:abstractNumId w:val="2"/>
  </w:num>
  <w:num w:numId="39" w16cid:durableId="1775782496">
    <w:abstractNumId w:val="1"/>
  </w:num>
  <w:num w:numId="40" w16cid:durableId="1191264678">
    <w:abstractNumId w:val="0"/>
  </w:num>
  <w:num w:numId="41" w16cid:durableId="494760513">
    <w:abstractNumId w:val="10"/>
  </w:num>
  <w:num w:numId="42" w16cid:durableId="944073697">
    <w:abstractNumId w:val="10"/>
  </w:num>
  <w:num w:numId="43" w16cid:durableId="79638633">
    <w:abstractNumId w:val="10"/>
  </w:num>
  <w:num w:numId="44" w16cid:durableId="18882256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7/2025"/>
    <w:docVar w:name="dvlangue" w:val="PT"/>
    <w:docVar w:name="dvnumam" w:val="0"/>
    <w:docVar w:name="dvpe" w:val="774.293"/>
    <w:docVar w:name="dvrapporteur" w:val="Relator: "/>
    <w:docVar w:name="dvtitre" w:val="Resolução do Parlamento Europeu, de ... de ... de 2025,_x000d__x000a_ «Consequências institucionais das negociações sobre o alargamento da UE»(2025/2041(INI))"/>
  </w:docVars>
  <w:rsids>
    <w:rsidRoot w:val="00D74B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6C09"/>
    <w:rsid w:val="002767FF"/>
    <w:rsid w:val="00280AF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6EC4"/>
    <w:rsid w:val="00471C19"/>
    <w:rsid w:val="004867E3"/>
    <w:rsid w:val="00494A28"/>
    <w:rsid w:val="004C0004"/>
    <w:rsid w:val="004C5D52"/>
    <w:rsid w:val="004E34DE"/>
    <w:rsid w:val="0050519A"/>
    <w:rsid w:val="005072A1"/>
    <w:rsid w:val="00514517"/>
    <w:rsid w:val="00545827"/>
    <w:rsid w:val="00560270"/>
    <w:rsid w:val="005C2568"/>
    <w:rsid w:val="005E429B"/>
    <w:rsid w:val="005F0FB1"/>
    <w:rsid w:val="005F1B17"/>
    <w:rsid w:val="006037C0"/>
    <w:rsid w:val="00653B84"/>
    <w:rsid w:val="006631B6"/>
    <w:rsid w:val="00680577"/>
    <w:rsid w:val="006870E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291"/>
    <w:rsid w:val="00831D6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0E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1DD"/>
    <w:rsid w:val="00D53A88"/>
    <w:rsid w:val="00D56C11"/>
    <w:rsid w:val="00D570A6"/>
    <w:rsid w:val="00D74B1D"/>
    <w:rsid w:val="00D834A0"/>
    <w:rsid w:val="00D872DF"/>
    <w:rsid w:val="00D91E21"/>
    <w:rsid w:val="00DA7FCD"/>
    <w:rsid w:val="00E21C7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872423"/>
  <w15:chartTrackingRefBased/>
  <w15:docId w15:val="{683C5872-E502-4B1E-BC5D-D2D981928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1291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821291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821291"/>
    <w:rPr>
      <w:b/>
      <w:i/>
      <w:u w:val="none"/>
    </w:rPr>
  </w:style>
  <w:style w:type="character" w:customStyle="1" w:styleId="Italic">
    <w:name w:val="Italic"/>
    <w:uiPriority w:val="1"/>
    <w:rsid w:val="00821291"/>
    <w:rPr>
      <w:i/>
    </w:rPr>
  </w:style>
  <w:style w:type="paragraph" w:customStyle="1" w:styleId="Normal12a24b">
    <w:name w:val="Normal12a24b"/>
    <w:basedOn w:val="Normal"/>
    <w:rsid w:val="00821291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821291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821291"/>
    <w:rPr>
      <w:snapToGrid w:val="0"/>
      <w:sz w:val="24"/>
      <w:lang w:val="pt-PT" w:eastAsia="en-US"/>
    </w:rPr>
  </w:style>
  <w:style w:type="paragraph" w:styleId="Revision">
    <w:name w:val="Revision"/>
    <w:hidden/>
    <w:uiPriority w:val="99"/>
    <w:semiHidden/>
    <w:rsid w:val="00D53A88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5F0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6/oj" TargetMode="External"/><Relationship Id="rId2" Type="http://schemas.openxmlformats.org/officeDocument/2006/relationships/hyperlink" Target="http://data.europa.eu/eli/C/2024/4216/oj" TargetMode="External"/><Relationship Id="rId1" Type="http://schemas.openxmlformats.org/officeDocument/2006/relationships/hyperlink" Target="http://data.europa.eu/eli/C/2024/3996/oj" TargetMode="External"/><Relationship Id="rId4" Type="http://schemas.openxmlformats.org/officeDocument/2006/relationships/hyperlink" Target="http://data.europa.eu/eli/dec/2018/9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4307</Words>
  <Characters>23446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SILVA Carla Marina</cp:lastModifiedBy>
  <cp:revision>2</cp:revision>
  <cp:lastPrinted>2004-11-19T15:42:00Z</cp:lastPrinted>
  <dcterms:created xsi:type="dcterms:W3CDTF">2025-11-27T16:22:00Z</dcterms:created>
  <dcterms:modified xsi:type="dcterms:W3CDTF">2025-11-27T16:22:00Z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A10-0177/2025</vt:lpwstr>
  </property>
  <property fmtid="{D5CDD505-2E9C-101B-9397-08002B2CF9AE}" pid="4" name="&lt;Type&gt;">
    <vt:lpwstr>RR</vt:lpwstr>
  </property>
</Properties>
</file>