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4124D" w14:paraId="12D945A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947839" w14:textId="54882BCF" w:rsidR="00751A4A" w:rsidRPr="0024124D" w:rsidRDefault="007E13A8" w:rsidP="0010095E">
            <w:pPr>
              <w:pStyle w:val="EPName"/>
            </w:pPr>
            <w:r w:rsidRPr="0024124D">
              <w:t>Parlament Europejski</w:t>
            </w:r>
          </w:p>
          <w:p w14:paraId="7AD4EA43" w14:textId="77777777" w:rsidR="00751A4A" w:rsidRPr="0024124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4124D">
              <w:t>2024</w:t>
            </w:r>
            <w:r w:rsidR="00817416" w:rsidRPr="0024124D">
              <w:t>-202</w:t>
            </w:r>
            <w:r w:rsidRPr="0024124D">
              <w:t>9</w:t>
            </w:r>
          </w:p>
        </w:tc>
        <w:tc>
          <w:tcPr>
            <w:tcW w:w="2268" w:type="dxa"/>
            <w:shd w:val="clear" w:color="auto" w:fill="auto"/>
          </w:tcPr>
          <w:p w14:paraId="552BF816" w14:textId="77777777" w:rsidR="00751A4A" w:rsidRPr="0024124D" w:rsidRDefault="00187494" w:rsidP="0010095E">
            <w:pPr>
              <w:pStyle w:val="EPLogo"/>
            </w:pPr>
            <w:r w:rsidRPr="0024124D">
              <w:rPr>
                <w:noProof/>
                <w:lang w:eastAsia="ja-JP"/>
              </w:rPr>
              <w:drawing>
                <wp:inline distT="0" distB="0" distL="0" distR="0" wp14:anchorId="7A80B418" wp14:editId="3689ED3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50D89A" w14:textId="77777777" w:rsidR="00D058B8" w:rsidRPr="0024124D" w:rsidRDefault="00D058B8" w:rsidP="004C5D52">
      <w:pPr>
        <w:pStyle w:val="LineTop"/>
      </w:pPr>
    </w:p>
    <w:p w14:paraId="1C925EBE" w14:textId="7B1CBC25" w:rsidR="00680577" w:rsidRPr="0024124D" w:rsidRDefault="007E13A8" w:rsidP="00680577">
      <w:pPr>
        <w:pStyle w:val="EPBodyTA1"/>
      </w:pPr>
      <w:r w:rsidRPr="0024124D">
        <w:t>TEKSTY PRZYJĘTE</w:t>
      </w:r>
    </w:p>
    <w:p w14:paraId="36496DD9" w14:textId="77777777" w:rsidR="00D058B8" w:rsidRPr="0024124D" w:rsidRDefault="00D058B8" w:rsidP="00D058B8">
      <w:pPr>
        <w:pStyle w:val="LineBottom"/>
      </w:pPr>
    </w:p>
    <w:p w14:paraId="5BE99355" w14:textId="26F98AFF" w:rsidR="007E13A8" w:rsidRPr="0024124D" w:rsidRDefault="007E13A8" w:rsidP="007E13A8">
      <w:pPr>
        <w:pStyle w:val="ATHeading1"/>
      </w:pPr>
      <w:bookmarkStart w:id="0" w:name="TANumber"/>
      <w:r w:rsidRPr="0024124D">
        <w:t>P10_</w:t>
      </w:r>
      <w:proofErr w:type="gramStart"/>
      <w:r w:rsidRPr="0024124D">
        <w:t>TA(</w:t>
      </w:r>
      <w:proofErr w:type="gramEnd"/>
      <w:r w:rsidRPr="0024124D">
        <w:t>2025)0</w:t>
      </w:r>
      <w:bookmarkEnd w:id="0"/>
      <w:r w:rsidR="00DD30BC">
        <w:t>248</w:t>
      </w:r>
    </w:p>
    <w:p w14:paraId="56878A0F" w14:textId="3DA6543D" w:rsidR="007E13A8" w:rsidRPr="00FA7281" w:rsidRDefault="00FA7281" w:rsidP="007E13A8">
      <w:pPr>
        <w:pStyle w:val="ATHeading2"/>
      </w:pPr>
      <w:r w:rsidRPr="00FA7281">
        <w:rPr>
          <w:bCs/>
        </w:rPr>
        <w:t>Zaostrzenie represji i polaryzacja w Serbii rok po tragedii w Nowym Sadzie</w:t>
      </w:r>
    </w:p>
    <w:p w14:paraId="23441005" w14:textId="4F769A7C" w:rsidR="007E13A8" w:rsidRPr="0024124D" w:rsidRDefault="007E13A8" w:rsidP="007E13A8">
      <w:pPr>
        <w:rPr>
          <w:i/>
          <w:vanish/>
        </w:rPr>
      </w:pPr>
      <w:r w:rsidRPr="0024124D">
        <w:rPr>
          <w:i/>
        </w:rPr>
        <w:fldChar w:fldCharType="begin"/>
      </w:r>
      <w:r w:rsidRPr="0024124D">
        <w:rPr>
          <w:i/>
        </w:rPr>
        <w:instrText xml:space="preserve"> TC"(</w:instrText>
      </w:r>
      <w:bookmarkStart w:id="1" w:name="DocNumber"/>
      <w:r w:rsidRPr="0024124D">
        <w:rPr>
          <w:i/>
        </w:rPr>
        <w:instrText>B10-0459</w:instrText>
      </w:r>
      <w:r w:rsidR="00FA7281">
        <w:rPr>
          <w:i/>
        </w:rPr>
        <w:instrText>, 0463, 0465, 0466 oraz 0468</w:instrText>
      </w:r>
      <w:r w:rsidRPr="0024124D">
        <w:rPr>
          <w:i/>
        </w:rPr>
        <w:instrText>/2025</w:instrText>
      </w:r>
      <w:bookmarkEnd w:id="1"/>
      <w:r w:rsidRPr="0024124D">
        <w:rPr>
          <w:i/>
        </w:rPr>
        <w:instrText xml:space="preserve">)"\l3 \n&gt; \* MERGEFORMAT </w:instrText>
      </w:r>
      <w:r w:rsidRPr="0024124D">
        <w:rPr>
          <w:i/>
        </w:rPr>
        <w:fldChar w:fldCharType="end"/>
      </w:r>
    </w:p>
    <w:p w14:paraId="64945A28" w14:textId="77777777" w:rsidR="007E13A8" w:rsidRPr="0024124D" w:rsidRDefault="007E13A8" w:rsidP="007E13A8">
      <w:pPr>
        <w:rPr>
          <w:vanish/>
        </w:rPr>
      </w:pPr>
      <w:bookmarkStart w:id="2" w:name="PE"/>
      <w:r w:rsidRPr="0024124D">
        <w:rPr>
          <w:vanish/>
        </w:rPr>
        <w:t>PE778.780</w:t>
      </w:r>
      <w:bookmarkEnd w:id="2"/>
    </w:p>
    <w:p w14:paraId="1EF350D7" w14:textId="2DD02DBA" w:rsidR="007E13A8" w:rsidRPr="0024124D" w:rsidRDefault="007E13A8" w:rsidP="00FA7281">
      <w:pPr>
        <w:pStyle w:val="ATHeading3"/>
      </w:pPr>
      <w:bookmarkStart w:id="3" w:name="Sujet"/>
      <w:r w:rsidRPr="0024124D">
        <w:t xml:space="preserve">Rezolucja Parlamentu Europejskiego z dnia </w:t>
      </w:r>
      <w:r w:rsidR="00FA7281">
        <w:t>22 października</w:t>
      </w:r>
      <w:r w:rsidRPr="0024124D">
        <w:t xml:space="preserve"> 2025 r. w sprawie polaryzacji i zaostrzenia represji w Serbii rok po tragedii w Nowym Sadzie</w:t>
      </w:r>
      <w:bookmarkEnd w:id="3"/>
      <w:r w:rsidRPr="0024124D">
        <w:t xml:space="preserve"> </w:t>
      </w:r>
      <w:bookmarkStart w:id="4" w:name="References"/>
      <w:r w:rsidRPr="0024124D">
        <w:t>(2025/2917(RSP))</w:t>
      </w:r>
      <w:bookmarkEnd w:id="4"/>
    </w:p>
    <w:p w14:paraId="171432F6" w14:textId="77777777" w:rsidR="00EF77F1" w:rsidRPr="0024124D" w:rsidRDefault="00EF77F1" w:rsidP="00EF77F1">
      <w:pPr>
        <w:pStyle w:val="EPComma"/>
      </w:pPr>
      <w:bookmarkStart w:id="5" w:name="TextBodyBegin"/>
      <w:bookmarkEnd w:id="5"/>
      <w:r w:rsidRPr="0024124D">
        <w:rPr>
          <w:i/>
        </w:rPr>
        <w:t>Parlament Europejski</w:t>
      </w:r>
      <w:r w:rsidRPr="0024124D">
        <w:t>,</w:t>
      </w:r>
    </w:p>
    <w:p w14:paraId="7CF3B7E8" w14:textId="77777777" w:rsidR="00EF77F1" w:rsidRPr="0024124D" w:rsidRDefault="00EF77F1" w:rsidP="00EF77F1">
      <w:pPr>
        <w:pStyle w:val="NormalHanging12a"/>
      </w:pPr>
      <w:r w:rsidRPr="0024124D">
        <w:t>–</w:t>
      </w:r>
      <w:r w:rsidRPr="0024124D">
        <w:tab/>
        <w:t>uwzględniając Traktat o Unii Europejskiej, w szczególności jego art. 2 i 6,</w:t>
      </w:r>
    </w:p>
    <w:p w14:paraId="2CE34B36" w14:textId="77777777" w:rsidR="00EF77F1" w:rsidRPr="0024124D" w:rsidRDefault="00EF77F1" w:rsidP="00EF77F1">
      <w:pPr>
        <w:pStyle w:val="NormalHanging12a"/>
      </w:pPr>
      <w:r w:rsidRPr="0024124D">
        <w:t>–</w:t>
      </w:r>
      <w:r w:rsidRPr="0024124D">
        <w:tab/>
        <w:t>uwzględniając swoje poprzednie rezolucje w sprawie Serbii, w szczególności rezolucję z 8 lutego 2024 r. w sprawie sytuacji w Serbii po wyborach</w:t>
      </w:r>
      <w:r w:rsidRPr="0024124D">
        <w:rPr>
          <w:rStyle w:val="FootnoteReference"/>
        </w:rPr>
        <w:footnoteReference w:id="1"/>
      </w:r>
      <w:r w:rsidRPr="0024124D">
        <w:t xml:space="preserve"> oraz z 7 maja 2025 r. w sprawie sprawozdań Komisji dotyczących Serbii za lata 2023 i 2024</w:t>
      </w:r>
      <w:r w:rsidRPr="0024124D">
        <w:rPr>
          <w:rStyle w:val="FootnoteReference"/>
        </w:rPr>
        <w:footnoteReference w:id="2"/>
      </w:r>
      <w:r w:rsidRPr="0024124D">
        <w:t>,</w:t>
      </w:r>
    </w:p>
    <w:p w14:paraId="26C92585" w14:textId="77777777" w:rsidR="00EF77F1" w:rsidRPr="0024124D" w:rsidRDefault="00EF77F1" w:rsidP="00EF77F1">
      <w:pPr>
        <w:pStyle w:val="NormalHanging12a"/>
      </w:pPr>
      <w:r w:rsidRPr="0024124D">
        <w:t>–</w:t>
      </w:r>
      <w:r w:rsidRPr="0024124D">
        <w:tab/>
        <w:t>uwzględniając dokument roboczy służb Komisji z 30 października 2024 r. pt. „Sprawozdanie za rok 2024 dotyczące Serbii” (</w:t>
      </w:r>
      <w:proofErr w:type="gramStart"/>
      <w:r w:rsidRPr="0024124D">
        <w:t>SWD(</w:t>
      </w:r>
      <w:proofErr w:type="gramEnd"/>
      <w:r w:rsidRPr="0024124D">
        <w:t>2024)0695), towarzyszący komunikatowi Komisji z 30 października 2024 r. pt. „Komunikat z 2024 r. w sprawie polityki rozszerzenia UE” (COM(2024)0690),</w:t>
      </w:r>
    </w:p>
    <w:p w14:paraId="0DB11D10" w14:textId="77777777" w:rsidR="00EF77F1" w:rsidRPr="0024124D" w:rsidRDefault="00EF77F1" w:rsidP="00EF77F1">
      <w:pPr>
        <w:pStyle w:val="NormalHanging12a"/>
        <w:rPr>
          <w:bCs/>
          <w:iCs/>
        </w:rPr>
      </w:pPr>
      <w:r w:rsidRPr="0024124D">
        <w:t>–</w:t>
      </w:r>
      <w:r w:rsidRPr="0024124D">
        <w:tab/>
        <w:t>uwzględniając wcześniejsze oświadczenia UE w sprawie Serbii, zwłaszcza list otwarty komisarz ds. rozszerzenia Marty Kos w sprawie Serbii z 5 lutego 2025 r. oraz wizytę, którą odbyła w Serbii w kwietniu 2025 r.,</w:t>
      </w:r>
    </w:p>
    <w:p w14:paraId="5EB495B3" w14:textId="77777777" w:rsidR="00EF77F1" w:rsidRPr="0024124D" w:rsidRDefault="00EF77F1" w:rsidP="00EF77F1">
      <w:pPr>
        <w:pStyle w:val="NormalHanging12a"/>
        <w:rPr>
          <w:bCs/>
          <w:iCs/>
        </w:rPr>
      </w:pPr>
      <w:r w:rsidRPr="0024124D">
        <w:t>–</w:t>
      </w:r>
      <w:r w:rsidRPr="0024124D">
        <w:tab/>
        <w:t>uwzględniając środek tymczasowy Europejskiego Trybunału Praw Człowieka z 29 kwietnia 2025 r., zobowiązujący Serbię do powstrzymania się od stosowania urządzeń sonicznych do kontroli tłumu,</w:t>
      </w:r>
    </w:p>
    <w:p w14:paraId="50DFD848" w14:textId="77777777" w:rsidR="00EF77F1" w:rsidRPr="0024124D" w:rsidRDefault="00EF77F1" w:rsidP="00EF77F1">
      <w:pPr>
        <w:pStyle w:val="NormalHanging12a"/>
      </w:pPr>
      <w:r w:rsidRPr="0024124D">
        <w:t>–</w:t>
      </w:r>
      <w:r w:rsidRPr="0024124D">
        <w:tab/>
        <w:t>uwzględniając oświadczenie kilkorga specjalnych sprawozdawców ONZ z 4 sierpnia 2025 r., w którym potępili oni tłumienie ruchu studenckiego przemocą przez rząd Serbii,</w:t>
      </w:r>
    </w:p>
    <w:p w14:paraId="36791D58" w14:textId="77777777" w:rsidR="00EF77F1" w:rsidRPr="0024124D" w:rsidRDefault="00EF77F1" w:rsidP="00EF77F1">
      <w:pPr>
        <w:pStyle w:val="NormalHanging12a"/>
      </w:pPr>
      <w:r w:rsidRPr="0024124D">
        <w:t>–</w:t>
      </w:r>
      <w:r w:rsidRPr="0024124D">
        <w:tab/>
        <w:t>uwzględniając liczne sprawozdania i oświadczenia krajowych i międzynarodowych organizacji praw człowieka, niezależnych mediów i grup obywatelskich dokumentujące systemowe nadużycia w Serbii,</w:t>
      </w:r>
    </w:p>
    <w:p w14:paraId="5F6794FB" w14:textId="77777777" w:rsidR="00EF77F1" w:rsidRPr="0024124D" w:rsidRDefault="00EF77F1" w:rsidP="00EF77F1">
      <w:pPr>
        <w:pStyle w:val="NormalHanging12a"/>
      </w:pPr>
      <w:r w:rsidRPr="0024124D">
        <w:lastRenderedPageBreak/>
        <w:t>–</w:t>
      </w:r>
      <w:r w:rsidRPr="0024124D">
        <w:tab/>
        <w:t>uwzględniając europejską konwencję praw człowieka,</w:t>
      </w:r>
    </w:p>
    <w:p w14:paraId="23CB3D1F" w14:textId="77777777" w:rsidR="00EF77F1" w:rsidRPr="0024124D" w:rsidRDefault="00EF77F1" w:rsidP="00EF77F1">
      <w:pPr>
        <w:pStyle w:val="NormalHanging12a"/>
      </w:pPr>
      <w:r w:rsidRPr="0024124D">
        <w:t>–</w:t>
      </w:r>
      <w:r w:rsidRPr="0024124D">
        <w:tab/>
        <w:t>uwzględniając Kartę praw podstawowych Unii Europejskiej,</w:t>
      </w:r>
    </w:p>
    <w:p w14:paraId="46F4A33B" w14:textId="77777777" w:rsidR="00EF77F1" w:rsidRPr="0024124D" w:rsidRDefault="00EF77F1" w:rsidP="00EF77F1">
      <w:pPr>
        <w:pStyle w:val="NormalHanging12a"/>
      </w:pPr>
      <w:r w:rsidRPr="0024124D">
        <w:t>–</w:t>
      </w:r>
      <w:r w:rsidRPr="0024124D">
        <w:tab/>
        <w:t>uwzględniając Powszechną deklarację praw człowieka,</w:t>
      </w:r>
    </w:p>
    <w:p w14:paraId="3226E786" w14:textId="77777777" w:rsidR="00EF77F1" w:rsidRPr="0024124D" w:rsidRDefault="00EF77F1" w:rsidP="00EF77F1">
      <w:pPr>
        <w:pStyle w:val="NormalHanging12a"/>
      </w:pPr>
      <w:bookmarkStart w:id="6" w:name="_Hlk211600081"/>
      <w:r w:rsidRPr="0024124D">
        <w:t>–</w:t>
      </w:r>
      <w:r w:rsidRPr="0024124D">
        <w:tab/>
        <w:t>uwzględniając wniosek Serbii o członkostwo w UE złożony 22 grudnia 2009 r.,</w:t>
      </w:r>
      <w:bookmarkEnd w:id="6"/>
    </w:p>
    <w:p w14:paraId="198CD866" w14:textId="77777777" w:rsidR="00EF77F1" w:rsidRPr="0024124D" w:rsidRDefault="00EF77F1" w:rsidP="00EF77F1">
      <w:pPr>
        <w:pStyle w:val="NormalHanging12a"/>
      </w:pPr>
      <w:r w:rsidRPr="0024124D">
        <w:t>–</w:t>
      </w:r>
      <w:r w:rsidRPr="0024124D">
        <w:tab/>
        <w:t>uwzględniając Układ o stabilizacji i stowarzyszeniu między Wspólnotami Europejskimi i ich państwami członkowskimi, z jednej strony, a Republiką Serbii, z drugiej strony</w:t>
      </w:r>
      <w:r w:rsidRPr="0024124D">
        <w:rPr>
          <w:rStyle w:val="FootnoteReference"/>
        </w:rPr>
        <w:footnoteReference w:id="3"/>
      </w:r>
      <w:r w:rsidRPr="0024124D">
        <w:t>, który wszedł w życie 1 września 2013 r.,</w:t>
      </w:r>
    </w:p>
    <w:p w14:paraId="4B5676EE" w14:textId="77777777" w:rsidR="00EF77F1" w:rsidRPr="0024124D" w:rsidRDefault="00EF77F1" w:rsidP="00EF77F1">
      <w:pPr>
        <w:pStyle w:val="NormalHanging12a"/>
      </w:pPr>
      <w:r w:rsidRPr="0024124D">
        <w:t>–</w:t>
      </w:r>
      <w:r w:rsidRPr="0024124D">
        <w:tab/>
        <w:t>uwzględniając konkluzje Rady Europejskiej z grudnia 2006 r., konkluzje Rady z marca 2020 r. oraz konkluzje prezydencji Rady Europejskiej, zwane również „kryteriami kopenhaskimi”, przyjęte na posiedzeniu, które odbyło się w Kopenhadze 21 i 22 czerwca 1993 r.,</w:t>
      </w:r>
    </w:p>
    <w:p w14:paraId="4F1D52F0" w14:textId="77777777" w:rsidR="00EF77F1" w:rsidRPr="0024124D" w:rsidRDefault="00EF77F1" w:rsidP="00EF77F1">
      <w:pPr>
        <w:pStyle w:val="NormalHanging12a"/>
      </w:pPr>
      <w:r w:rsidRPr="0024124D">
        <w:t>–</w:t>
      </w:r>
      <w:r w:rsidRPr="0024124D">
        <w:tab/>
        <w:t>uwzględniając komunikat Komisji z 12 października 2011 r. na temat wniosku Serbii o członkostwo w Unii Europejskiej (</w:t>
      </w:r>
      <w:proofErr w:type="gramStart"/>
      <w:r w:rsidRPr="0024124D">
        <w:t>COM(</w:t>
      </w:r>
      <w:proofErr w:type="gramEnd"/>
      <w:r w:rsidRPr="0024124D">
        <w:t>2011)0668), decyzję Rady Europejskiej z 1 marca 2012 r. o przyznaniu Serbii statusu kraju kandydującego oraz decyzję Rady Europejskiej z posiedzenia z 27 i 28 czerwca 2013 r. o otwarciu negocjacji akcesyjnych z Serbią,</w:t>
      </w:r>
    </w:p>
    <w:p w14:paraId="3303B028" w14:textId="77777777" w:rsidR="00EF77F1" w:rsidRPr="0024124D" w:rsidRDefault="00EF77F1" w:rsidP="00EF77F1">
      <w:pPr>
        <w:pStyle w:val="NormalHanging12a"/>
      </w:pPr>
      <w:r w:rsidRPr="0024124D">
        <w:t>–</w:t>
      </w:r>
      <w:r w:rsidRPr="0024124D">
        <w:tab/>
        <w:t>uwzględniając Konwencję Narodów Zjednoczonych przeciwko korupcji (UNCAC) z 31 października 2003 r., której Serbia jest sygnatariuszem,</w:t>
      </w:r>
    </w:p>
    <w:p w14:paraId="2F89C8BF" w14:textId="77777777" w:rsidR="00EF77F1" w:rsidRPr="0024124D" w:rsidRDefault="00EF77F1" w:rsidP="00EF77F1">
      <w:pPr>
        <w:pStyle w:val="NormalHanging12a"/>
      </w:pPr>
      <w:r w:rsidRPr="0024124D">
        <w:t>–</w:t>
      </w:r>
      <w:r w:rsidRPr="0024124D">
        <w:tab/>
        <w:t>uwzględniając art. 136 ust. 2 i 4 Regulaminu,</w:t>
      </w:r>
    </w:p>
    <w:p w14:paraId="53E71589" w14:textId="77777777" w:rsidR="00EF77F1" w:rsidRPr="0024124D" w:rsidRDefault="00EF77F1" w:rsidP="00EF77F1">
      <w:pPr>
        <w:pStyle w:val="NormalHanging12a"/>
      </w:pPr>
      <w:r w:rsidRPr="0024124D">
        <w:t>A.</w:t>
      </w:r>
      <w:r w:rsidRPr="0024124D">
        <w:tab/>
        <w:t>mając na uwadze, że 1 listopada 2024 r. na stacji kolejowej w Nowym Sadzie zawaliło się odnowione właśnie betonowe zadaszenie, w wyniku czego zginęło 16 osób, a kolejne odniosły obrażenia; mając na uwadze, że minął już rok od tej tragedii, a w śledztwie nie ma postępów;</w:t>
      </w:r>
    </w:p>
    <w:p w14:paraId="633213EA" w14:textId="77777777" w:rsidR="00EF77F1" w:rsidRPr="0024124D" w:rsidRDefault="00EF77F1" w:rsidP="00EF77F1">
      <w:pPr>
        <w:pStyle w:val="NormalHanging12a"/>
      </w:pPr>
      <w:r w:rsidRPr="0024124D">
        <w:t>B.</w:t>
      </w:r>
      <w:r w:rsidRPr="0024124D">
        <w:tab/>
        <w:t>mając na uwadze, że w ostatnich latach w związku z szeroko zakrojonymi inwestycjami w infrastrukturę znacznie wzrosła obecność Chin i wpływy tego państwa w Serbii, co budzi obawy dotyczące przejrzystości oraz przestrzegania unijnych norm i przepisów ochrony środowiska; mając na uwadze, że projekt tego dworca był elementem linii kolei dużych prędkości z Belgradu do Budapesztu i został zrealizowany przez dwie spółki chińskie na podstawie serbsko-chińskiej umowy międzyrządowej, poza zwykłymi ramami prawnymi UE o zamówieniach publicznych</w:t>
      </w:r>
      <w:r w:rsidRPr="0024124D">
        <w:rPr>
          <w:rStyle w:val="FootnoteReference"/>
        </w:rPr>
        <w:footnoteReference w:id="4"/>
      </w:r>
      <w:r w:rsidRPr="0024124D">
        <w:t>; mając na uwadze, że już w sprawozdaniu Komisji z 2024 r. dotyczącym Serbii ostrzegano przed obchodzeniem przepisów o zamówieniach publicznych za pomocą takich umów; mając na uwadze, że w marcu 2025 r. Prokuratura Europejska wszczęła dochodzenie w sprawie potencjalnie niewłaściwego wykorzystania funduszy UE na remont dworca kolejowego w Nowym Sadzie;</w:t>
      </w:r>
    </w:p>
    <w:p w14:paraId="1332EE79" w14:textId="77777777" w:rsidR="00EF77F1" w:rsidRPr="0024124D" w:rsidRDefault="00EF77F1" w:rsidP="00EF77F1">
      <w:pPr>
        <w:pStyle w:val="NormalHanging12a"/>
      </w:pPr>
      <w:r w:rsidRPr="0024124D">
        <w:lastRenderedPageBreak/>
        <w:t>C.</w:t>
      </w:r>
      <w:r w:rsidRPr="0024124D">
        <w:tab/>
        <w:t>mając na uwadze, że zawalenie się zadaszenia dworca wywołało bezprecedensowe ogólnokrajowe protesty prowadzone przez studentów domagających się sprawiedliwości, rozliczenia instytucji, przejrzystości, przedterminowych i uczciwych wyborów, poszanowania swobód obywatelskich, podziału władzy, wolności mediów, położenia kresu systemowej korupcji oraz inwestycji w edukację; mając na uwadze, że do protestów tych dołączyło następnie całe społeczeństwo serbskie;</w:t>
      </w:r>
    </w:p>
    <w:p w14:paraId="23F3521A" w14:textId="77777777" w:rsidR="00EF77F1" w:rsidRPr="0024124D" w:rsidRDefault="00EF77F1" w:rsidP="00EF77F1">
      <w:pPr>
        <w:pStyle w:val="NormalHanging12a"/>
      </w:pPr>
      <w:r w:rsidRPr="0024124D">
        <w:t>D.</w:t>
      </w:r>
      <w:r w:rsidRPr="0024124D">
        <w:tab/>
        <w:t>mając na uwadze, że od lutego do końca września 2025 r. w ponad 630 gminach i 1 200 zgromadzeniach społeczności lokalnych odbyło się ponad 10 700 protestów, w tym największa (15 marca 2025 r.) i druga co do liczebności demonstracja w historii Serbii (28 czerwca 2025 r.), jest to zatem największy ruch oddolny od dziesięcioleci;</w:t>
      </w:r>
    </w:p>
    <w:p w14:paraId="48A1877C" w14:textId="77777777" w:rsidR="00EF77F1" w:rsidRPr="0024124D" w:rsidRDefault="00EF77F1" w:rsidP="00EF77F1">
      <w:pPr>
        <w:pStyle w:val="NormalHanging12a"/>
      </w:pPr>
      <w:r w:rsidRPr="0024124D">
        <w:t>E.</w:t>
      </w:r>
      <w:r w:rsidRPr="0024124D">
        <w:tab/>
        <w:t>mając na uwadze, że protesty zorganizowane przez ruch studencki były w przeważającej mierze pokojowe, chociaż latem 2025 r. odnotowano niestety kilka incydentów z użyciem przemocy;</w:t>
      </w:r>
    </w:p>
    <w:p w14:paraId="77D78A4B" w14:textId="77777777" w:rsidR="00EF77F1" w:rsidRPr="0024124D" w:rsidRDefault="00EF77F1" w:rsidP="00EF77F1">
      <w:pPr>
        <w:pStyle w:val="NormalHanging12a"/>
      </w:pPr>
      <w:r w:rsidRPr="0024124D">
        <w:t>F.</w:t>
      </w:r>
      <w:r w:rsidRPr="0024124D">
        <w:tab/>
        <w:t>mając na uwadze, że podczas masowych protestów odnotowano odosobnione przypadki eksponowania symboli ruchów radykalnych oraz stosowania retoryki skrajnie nacjonalistycznej, prorosyjskiej i szowinistycznej retoryki, co spotkało się z silną krytyką za granicą i w samej Serbii;</w:t>
      </w:r>
    </w:p>
    <w:p w14:paraId="22E14ED1" w14:textId="77777777" w:rsidR="00EF77F1" w:rsidRPr="0024124D" w:rsidRDefault="00EF77F1" w:rsidP="00EF77F1">
      <w:pPr>
        <w:pStyle w:val="NormalHanging12a"/>
      </w:pPr>
      <w:r w:rsidRPr="0024124D">
        <w:t>G.</w:t>
      </w:r>
      <w:r w:rsidRPr="0024124D">
        <w:tab/>
        <w:t xml:space="preserve">mając na uwadze, że poprzednie wybory, naznaczone presją na wyborców, kupowaniem głosów i zorganizowanym dowożeniem wyborców w Serbii i z zagranicy, przeprowadzono na nieuczciwych warunkach, a decydujący udział prezydenta i systemowa przewaga partii rządzącej podważyły cały proces wyborczy; mając na uwadze, że niezależni obserwatorzy poinformowali, iż niedawne wybory lokalne w </w:t>
      </w:r>
      <w:proofErr w:type="spellStart"/>
      <w:r w:rsidRPr="0024124D">
        <w:t>Zaječarze</w:t>
      </w:r>
      <w:proofErr w:type="spellEnd"/>
      <w:r w:rsidRPr="0024124D">
        <w:t xml:space="preserve"> i </w:t>
      </w:r>
      <w:proofErr w:type="spellStart"/>
      <w:r w:rsidRPr="0024124D">
        <w:t>Kosjericiu</w:t>
      </w:r>
      <w:proofErr w:type="spellEnd"/>
      <w:r w:rsidRPr="0024124D">
        <w:t xml:space="preserve"> nie były ani wolne, ani uczciwe;</w:t>
      </w:r>
    </w:p>
    <w:p w14:paraId="38996D3C" w14:textId="77777777" w:rsidR="00EF77F1" w:rsidRPr="0024124D" w:rsidRDefault="00EF77F1" w:rsidP="00EF77F1">
      <w:pPr>
        <w:pStyle w:val="NormalHanging12a"/>
      </w:pPr>
      <w:r w:rsidRPr="0024124D">
        <w:t>H.</w:t>
      </w:r>
      <w:r w:rsidRPr="0024124D">
        <w:tab/>
        <w:t>mając na uwadze, że władze serbskie stosują przemoc wobec przeciwników politycznych i nadużywają siły wobec demonstrantów w całym kraju; mając na uwadze nasilenie się represji do początku 2025 r.;</w:t>
      </w:r>
    </w:p>
    <w:p w14:paraId="7100714F" w14:textId="77777777" w:rsidR="00EF77F1" w:rsidRPr="0024124D" w:rsidRDefault="00EF77F1" w:rsidP="00EF77F1">
      <w:pPr>
        <w:pStyle w:val="NormalHanging12a"/>
      </w:pPr>
      <w:r w:rsidRPr="0024124D">
        <w:t>I.</w:t>
      </w:r>
      <w:r w:rsidRPr="0024124D">
        <w:tab/>
        <w:t>mając na uwadze, że według niezależnych źródeł w marcu 2025 r., podczas największego protestu w historii Serbii, demonstrantów zaatakowano z użyciem broni sonicznej, co budzi poważne zastrzeżenia co do tego, czy użycie siły jest współmierne i uprawnione; mając na uwadze, że pomimo oficjalnych zaprzeczeń ze strony władz organizacje obrońców praw człowieka zebrały świadectwa od 3 400 uczestników, którzy ucierpieli w wyniku incydentu; mając na uwadze, że rząd serbski zwrócił się o zbadanie tego incydentu do rosyjskiej Federalnej Służby Bezpieczeństwa (FSB); mając na uwadze, że oficjalne dochodzenie w sprawie incydentu, obejmujące ponad 170 zeznań świadków, jest nadal na wczesnym etapie i nikomu nie postawiono zarzutów;</w:t>
      </w:r>
    </w:p>
    <w:p w14:paraId="3907CDB9" w14:textId="77777777" w:rsidR="00EF77F1" w:rsidRPr="0024124D" w:rsidRDefault="00EF77F1" w:rsidP="00EF77F1">
      <w:pPr>
        <w:pStyle w:val="NormalHanging12a"/>
      </w:pPr>
      <w:r w:rsidRPr="0024124D">
        <w:t>J.</w:t>
      </w:r>
      <w:r w:rsidRPr="0024124D">
        <w:tab/>
        <w:t>mając na uwadze, że od końca 2024 r. protestujący są narażeni na represje, w tym pobicia, arbitralne aresztowania, wykorzystywanie gazu łzawiącego, umotywowane politycznie zatrzymania, deportacje i masową inwigilację; mając na uwadze, że odnotowano ponad 1 028 aresztowań i co najmniej 340 przypadków przemocy, z których część doprowadziła do poważnych obrażeń i dotyczyła uczniów szkół średnich, a niezależni obserwatorzy podkreślają, że nie jest to pełna liczba;</w:t>
      </w:r>
    </w:p>
    <w:p w14:paraId="7B6C0CF1" w14:textId="77777777" w:rsidR="00EF77F1" w:rsidRPr="0024124D" w:rsidRDefault="00EF77F1" w:rsidP="00EF77F1">
      <w:pPr>
        <w:pStyle w:val="NormalHanging12a"/>
        <w:rPr>
          <w:bCs/>
          <w:iCs/>
        </w:rPr>
      </w:pPr>
      <w:r w:rsidRPr="0024124D">
        <w:t>K.</w:t>
      </w:r>
      <w:r w:rsidRPr="0024124D">
        <w:tab/>
        <w:t xml:space="preserve">mając na uwadze, że od sierpnia 2025 r. jeszcze bardziej nasila się przemoc, w tym brutalność policji, tortury i przemoc seksualna wobec studentów, groźby ze strony </w:t>
      </w:r>
      <w:r w:rsidRPr="0024124D">
        <w:lastRenderedPageBreak/>
        <w:t>policyjnych jednostek ochrony JZO, politycznie umotywowane procesy prowadzone przez Wyższą Prokuraturę Generalną oraz kampanie oszczerstw prowadzone przez prorządowe media;</w:t>
      </w:r>
    </w:p>
    <w:p w14:paraId="7B39787A" w14:textId="77777777" w:rsidR="00EF77F1" w:rsidRPr="0024124D" w:rsidRDefault="00EF77F1" w:rsidP="00EF77F1">
      <w:pPr>
        <w:pStyle w:val="NormalHanging12a"/>
        <w:rPr>
          <w:bCs/>
          <w:iCs/>
        </w:rPr>
      </w:pPr>
      <w:r w:rsidRPr="0024124D">
        <w:t>L.</w:t>
      </w:r>
      <w:r w:rsidRPr="0024124D">
        <w:tab/>
        <w:t>mając na uwadze, że agencje bezpieczeństwa bezprawnie rejestrowały i emitowały w telewizji rozmowy prywatne, z których część wykorzystano następnie do oskarżenia studentów i działaczy o przygotowywanie zamachu na porządek konstytucyjny i bezpieczeństwo Serbii, a do odpierania starć w kraju wysłano elitarne oddziały wojskowe Kobry, które w jednym przypadku użyły nawet ostrej amunicji;</w:t>
      </w:r>
    </w:p>
    <w:p w14:paraId="66CFD522" w14:textId="77777777" w:rsidR="00EF77F1" w:rsidRPr="0024124D" w:rsidRDefault="00EF77F1" w:rsidP="00EF77F1">
      <w:pPr>
        <w:pStyle w:val="NormalHanging12a"/>
        <w:rPr>
          <w:bCs/>
          <w:iCs/>
        </w:rPr>
      </w:pPr>
      <w:r w:rsidRPr="0024124D">
        <w:t>M.</w:t>
      </w:r>
      <w:r w:rsidRPr="0024124D">
        <w:tab/>
        <w:t>mając na uwadze, że policja chroniła prorządowe tłumy i byłych więźniów uczestniczących w brutalnych kontrdemonstracjach, a nieumundurowani funkcjonariusze bili i uprowadzali opozycjonistów, studentów i posłów do parlamentu serbskiego;</w:t>
      </w:r>
    </w:p>
    <w:p w14:paraId="4E305A15" w14:textId="77777777" w:rsidR="00EF77F1" w:rsidRPr="0024124D" w:rsidRDefault="00EF77F1" w:rsidP="00EF77F1">
      <w:pPr>
        <w:pStyle w:val="NormalHanging12a"/>
        <w:rPr>
          <w:bCs/>
          <w:iCs/>
        </w:rPr>
      </w:pPr>
      <w:r w:rsidRPr="0024124D">
        <w:t>N.</w:t>
      </w:r>
      <w:r w:rsidRPr="0024124D">
        <w:tab/>
        <w:t>mając na uwadze, że od lipca do sierpnia 2025 r. Komisarz Praw Człowieka Rady Europy i Biuro Wysokiego Komisarza Narodów Zjednoczonych ds. Praw Człowieka wezwały władze Serbii do powściągliwości, zaprzestania represji wobec ruchu studenckiego oraz poszanowania praw człowieka i wolności akademickiej;</w:t>
      </w:r>
    </w:p>
    <w:p w14:paraId="2FFCC493" w14:textId="77777777" w:rsidR="00EF77F1" w:rsidRPr="0024124D" w:rsidRDefault="00EF77F1" w:rsidP="00EF77F1">
      <w:pPr>
        <w:pStyle w:val="NormalHanging12a"/>
        <w:rPr>
          <w:iCs/>
        </w:rPr>
      </w:pPr>
      <w:r w:rsidRPr="0024124D">
        <w:t>O.</w:t>
      </w:r>
      <w:r w:rsidRPr="0024124D">
        <w:tab/>
        <w:t>mając na uwadze, że organizacje społeczeństwa obywatelskiego wyraziły zastrzeżenia co do projektu ustawy o zmianach w kodeksie karnym, kodeksie postępowania karnego i ustawie z 2005 r. o nieletnich przestępcach i ochronie karnej nieletnich, wprowadzającego nowe rodzaje przestępstw i surowsze kary, mogące nieproporcjonalnie ograniczać wolność wypowiedzi i zgromadzeń; mając na uwadze, że przepisy te mogą kryminalizować różne formy pokojowych protestów lub codziennych działań obywatelskich, które nie zagrażają bezpieczeństwu publicznemu ani porządkowi konstytucyjnemu;</w:t>
      </w:r>
    </w:p>
    <w:p w14:paraId="0F0E194A" w14:textId="77777777" w:rsidR="00EF77F1" w:rsidRPr="0024124D" w:rsidRDefault="00EF77F1" w:rsidP="00EF77F1">
      <w:pPr>
        <w:pStyle w:val="NormalHanging12a"/>
        <w:rPr>
          <w:bCs/>
          <w:iCs/>
        </w:rPr>
      </w:pPr>
      <w:r w:rsidRPr="0024124D">
        <w:t>P.</w:t>
      </w:r>
      <w:r w:rsidRPr="0024124D">
        <w:tab/>
        <w:t xml:space="preserve">mając na uwadze, że prezydent </w:t>
      </w:r>
      <w:proofErr w:type="spellStart"/>
      <w:r w:rsidRPr="0024124D">
        <w:t>Vučić</w:t>
      </w:r>
      <w:proofErr w:type="spellEnd"/>
      <w:r w:rsidRPr="0024124D">
        <w:t>, który zgodnie z konstytucją Serbii nie ma formalnie uprawnień w dziedzinie utrzymywania porządku publicznego, prezentuje protesty jako „kolorową rewolucję” zorganizowaną i finansowaną przez zagraniczne tajne służby państw zachodnich oraz podaje taki przekaz w mediach prorządowych; mając na uwadze, że rosyjskie służby wywiadu zagranicznego (SWR) poparły tę narrację i oskarżyły UE o „działalność wywrotową” służącą podsycaniu protestów; mając na uwadze, że wielu dziennikarzy atakowano lub odmawiano im ochrony podczas relacjonowania protestów;</w:t>
      </w:r>
    </w:p>
    <w:p w14:paraId="2AECF637" w14:textId="77777777" w:rsidR="00EF77F1" w:rsidRPr="0024124D" w:rsidRDefault="00EF77F1" w:rsidP="00EF77F1">
      <w:pPr>
        <w:pStyle w:val="NormalHanging12a"/>
        <w:rPr>
          <w:iCs/>
        </w:rPr>
      </w:pPr>
      <w:r w:rsidRPr="0024124D">
        <w:t>Q.</w:t>
      </w:r>
      <w:r w:rsidRPr="0024124D">
        <w:tab/>
        <w:t xml:space="preserve">mając na uwadze, że prezydent </w:t>
      </w:r>
      <w:proofErr w:type="spellStart"/>
      <w:r w:rsidRPr="0024124D">
        <w:t>Vučić</w:t>
      </w:r>
      <w:proofErr w:type="spellEnd"/>
      <w:r w:rsidRPr="0024124D">
        <w:t xml:space="preserve"> używa też dehumanizującego języka, mówiąc o politykach UE, w tym o posłach do Parlamentu Europejskiego, którzy poparli protestujących;</w:t>
      </w:r>
    </w:p>
    <w:p w14:paraId="5FAE56A6" w14:textId="77777777" w:rsidR="00EF77F1" w:rsidRDefault="00EF77F1" w:rsidP="00EF77F1">
      <w:pPr>
        <w:pStyle w:val="NormalHanging12a"/>
      </w:pPr>
      <w:r w:rsidRPr="0024124D">
        <w:t>R.</w:t>
      </w:r>
      <w:r w:rsidRPr="0024124D">
        <w:tab/>
        <w:t>mając na uwadze, że rząd i elita rządząca znormalizowały represje, ułaskawiając zwolenników rządu, którzy dopuszczali się brutalnych ataków, zawieszając transport publiczny, by zablokować protesty, wydalając cudzoziemców z powodów politycznych oraz umożliwiając okupację centrum Belgradu przez prorządowych demonstrantów;</w:t>
      </w:r>
    </w:p>
    <w:p w14:paraId="3C59FC52" w14:textId="7BB39DF9" w:rsidR="00DD30BC" w:rsidRDefault="0083062C" w:rsidP="00EF77F1">
      <w:pPr>
        <w:pStyle w:val="NormalHanging12a"/>
        <w:rPr>
          <w:bCs/>
          <w:iCs/>
        </w:rPr>
      </w:pPr>
      <w:r>
        <w:rPr>
          <w:bCs/>
          <w:iCs/>
        </w:rPr>
        <w:t>S</w:t>
      </w:r>
      <w:r w:rsidR="00DD30BC" w:rsidRPr="00232E6E">
        <w:rPr>
          <w:bCs/>
          <w:iCs/>
        </w:rPr>
        <w:t xml:space="preserve">. </w:t>
      </w:r>
      <w:r w:rsidR="00DD30BC" w:rsidRPr="00232E6E">
        <w:rPr>
          <w:bCs/>
          <w:iCs/>
        </w:rPr>
        <w:tab/>
        <w:t xml:space="preserve">mając na uwadze, że ponad 150 cudzoziemców o prorosyjskich skłonnościach przeszło w Serbii szkolenie strzeleckie, by mogli posłużyć do podżegania do zamieszek przed wyborami parlamentarnymi w Mołdawii w 2025 r.; mając na uwadze, że sprawcy tego przestępstwa, z których jeden był powiązany z wysokim rangą serbskim urzędnikiem, </w:t>
      </w:r>
      <w:r w:rsidR="00DD30BC" w:rsidRPr="00232E6E">
        <w:rPr>
          <w:bCs/>
          <w:iCs/>
        </w:rPr>
        <w:lastRenderedPageBreak/>
        <w:t>zostali aresztowani dopiero pod presją mediów; mając na uwadze, że rząd serbski wywierał bezpośrednie naciski w czasie wyborów parlamentarnych w Kosowie w 2025 r.;</w:t>
      </w:r>
    </w:p>
    <w:p w14:paraId="1EC3E382" w14:textId="66B45786" w:rsidR="00DD30BC" w:rsidRPr="00DD30BC" w:rsidRDefault="0083062C" w:rsidP="00EF77F1">
      <w:pPr>
        <w:pStyle w:val="NormalHanging12a"/>
        <w:rPr>
          <w:bCs/>
          <w:iCs/>
        </w:rPr>
      </w:pPr>
      <w:r>
        <w:rPr>
          <w:bCs/>
          <w:iCs/>
        </w:rPr>
        <w:t>T</w:t>
      </w:r>
      <w:r w:rsidR="00DD30BC" w:rsidRPr="00232E6E">
        <w:rPr>
          <w:bCs/>
          <w:iCs/>
        </w:rPr>
        <w:t>.</w:t>
      </w:r>
      <w:r w:rsidR="00DD30BC" w:rsidRPr="00232E6E">
        <w:rPr>
          <w:bCs/>
          <w:iCs/>
        </w:rPr>
        <w:tab/>
        <w:t>mając na uwadze, że grupa obywateli serbskich, aresztowanych później przez serbskie organy ścigania na wniosek zagranicznych władz krajowych, popełniała przestępstwa z nienawiści wśród różnych grup etnicznych i religijnych we Francji i w Niemczech z zamiarem podsycania strachu i podżegania do przemocy;</w:t>
      </w:r>
    </w:p>
    <w:p w14:paraId="3E3F00C3" w14:textId="47764A85" w:rsidR="00EF77F1" w:rsidRPr="0024124D" w:rsidRDefault="0083062C" w:rsidP="00EF77F1">
      <w:pPr>
        <w:pStyle w:val="NormalHanging12a"/>
        <w:rPr>
          <w:bCs/>
          <w:iCs/>
        </w:rPr>
      </w:pPr>
      <w:r>
        <w:t>U</w:t>
      </w:r>
      <w:r w:rsidR="00EF77F1" w:rsidRPr="0024124D">
        <w:t>.</w:t>
      </w:r>
      <w:r w:rsidR="00EF77F1" w:rsidRPr="0024124D">
        <w:tab/>
        <w:t>mając na uwadze, że władze Serbii wielokrotnie oświadczały, iż kraj ten nadal chce przystąpić do UE i wdrożyć niezbędne reformy, jednak w kluczowych obszarach, takich jak praworządność, wolność mediów, niezawisłość sądów i walka z korupcją, nie można mówić o postępach, a raczej o regresie;</w:t>
      </w:r>
    </w:p>
    <w:p w14:paraId="120D063E" w14:textId="2015B5B2" w:rsidR="00EF77F1" w:rsidRDefault="0083062C" w:rsidP="00EF77F1">
      <w:pPr>
        <w:pStyle w:val="NormalHanging12a"/>
      </w:pPr>
      <w:r>
        <w:t>V</w:t>
      </w:r>
      <w:r w:rsidR="00EF77F1" w:rsidRPr="0024124D">
        <w:t>.</w:t>
      </w:r>
      <w:r w:rsidR="00EF77F1" w:rsidRPr="0024124D">
        <w:tab/>
        <w:t xml:space="preserve">mając na uwadze, że 15 października 2025 r. Serbię odwiedziła przewodnicząca Komisji </w:t>
      </w:r>
      <w:proofErr w:type="spellStart"/>
      <w:r w:rsidR="00EF77F1" w:rsidRPr="0024124D">
        <w:t>Ursula</w:t>
      </w:r>
      <w:proofErr w:type="spellEnd"/>
      <w:r w:rsidR="00EF77F1" w:rsidRPr="0024124D">
        <w:t xml:space="preserve"> von der </w:t>
      </w:r>
      <w:proofErr w:type="spellStart"/>
      <w:r w:rsidR="00EF77F1" w:rsidRPr="0024124D">
        <w:t>Leyen</w:t>
      </w:r>
      <w:proofErr w:type="spellEnd"/>
      <w:r w:rsidR="00EF77F1" w:rsidRPr="0024124D">
        <w:t>;</w:t>
      </w:r>
    </w:p>
    <w:p w14:paraId="2BC275F3" w14:textId="11FAD1F7" w:rsidR="00DD30BC" w:rsidRPr="00DD30BC" w:rsidRDefault="0083062C" w:rsidP="00EF77F1">
      <w:pPr>
        <w:pStyle w:val="NormalHanging12a"/>
        <w:rPr>
          <w:bCs/>
          <w:iCs/>
        </w:rPr>
      </w:pPr>
      <w:r>
        <w:rPr>
          <w:bCs/>
          <w:iCs/>
        </w:rPr>
        <w:t>W</w:t>
      </w:r>
      <w:r w:rsidR="00DD30BC" w:rsidRPr="00232E6E">
        <w:rPr>
          <w:bCs/>
          <w:iCs/>
        </w:rPr>
        <w:t>.</w:t>
      </w:r>
      <w:r w:rsidR="00DD30BC" w:rsidRPr="00232E6E">
        <w:rPr>
          <w:bCs/>
          <w:iCs/>
        </w:rPr>
        <w:tab/>
        <w:t>mając na uwadze, że w czerwcu 2025 r. Komisja ogłosiła na podstawie rozporządzenia (UE) 2024/1252</w:t>
      </w:r>
      <w:r w:rsidR="00DD30BC">
        <w:rPr>
          <w:rStyle w:val="FootnoteReference"/>
          <w:bCs/>
          <w:iCs/>
        </w:rPr>
        <w:footnoteReference w:id="5"/>
      </w:r>
      <w:r w:rsidR="00DD30BC" w:rsidRPr="00232E6E">
        <w:rPr>
          <w:bCs/>
          <w:iCs/>
        </w:rPr>
        <w:t xml:space="preserve">, że włącza realizowany przez spółkę Rio Tinto projekt wydobycia litu i boru w dolinie rzeki </w:t>
      </w:r>
      <w:proofErr w:type="spellStart"/>
      <w:r w:rsidR="00DD30BC" w:rsidRPr="00232E6E">
        <w:rPr>
          <w:bCs/>
          <w:iCs/>
        </w:rPr>
        <w:t>Jadar</w:t>
      </w:r>
      <w:proofErr w:type="spellEnd"/>
      <w:r w:rsidR="00DD30BC" w:rsidRPr="00232E6E">
        <w:rPr>
          <w:bCs/>
          <w:iCs/>
        </w:rPr>
        <w:t xml:space="preserve"> do wykazu projektów strategicznych zlokalizowanych w państwach trzecich;</w:t>
      </w:r>
    </w:p>
    <w:p w14:paraId="18B5445B" w14:textId="77777777" w:rsidR="00EF77F1" w:rsidRPr="0024124D" w:rsidRDefault="00EF77F1" w:rsidP="00EF77F1">
      <w:pPr>
        <w:pStyle w:val="NormalHanging12a"/>
      </w:pPr>
      <w:r w:rsidRPr="0024124D">
        <w:t>1.</w:t>
      </w:r>
      <w:r w:rsidRPr="0024124D">
        <w:tab/>
        <w:t>w rok po tragedii oddaje hołd 16 ofiarom, które straciły życie, gdy 1 listopada 2024 r. zawaliło się zadaszenie dworca kolejowego w Nowym Sadzie, i wyraża solidarność z rannymi; ponawia apel o to, by po przeprowadzeniu dochodzenia przez władze wszczęto pełne i przejrzyste postępowanie sądowe z myślą o postawieniu odpowiedzialnych przed wymiarem sprawiedliwości zgodnie z zasadami praworządności; wzywa do przeprowadzenia niezależnej ekspertyzy technicznej wad konstrukcyjnych, całościowego przeglądu pozwoleń na budowę i procedur nadzoru oraz pełnej oceny potencjalnej korupcji lub zaniedbań; wzywa władze serbskie, by zagwarantowały rodzinom ofiar realny dostęp do wymiaru sprawiedliwości i odpowiednie odszkodowania; podkreśla, że trzeba dokładniej zbadać, na ile to korupcja doprowadziła do obniżenia standardów bezpieczeństwa i przyczyniła się do tragedii;</w:t>
      </w:r>
    </w:p>
    <w:p w14:paraId="7D0C03A3" w14:textId="77777777" w:rsidR="00EF77F1" w:rsidRDefault="00EF77F1" w:rsidP="00EF77F1">
      <w:pPr>
        <w:pStyle w:val="NormalHanging12a"/>
      </w:pPr>
      <w:r w:rsidRPr="0024124D">
        <w:t>2.</w:t>
      </w:r>
      <w:r w:rsidRPr="0024124D">
        <w:tab/>
        <w:t xml:space="preserve">popiera prawo serbskich studentów i obywateli do pokojowych protestów, w których domagają się oni rozliczalności i reform demokratycznych bezpośrednio związanych z praworządnością, czego również UE oczekuje od Serbii; podkreśla znaczenie odwagi obywatelskiej, zaangażowania na rzecz niestosowania przemocy i udziału młodzieży w postępach na drodze Serbii do Europy; zauważa, że studenci serbscy znaleźli się na krótkiej liście finalistów Nagrody im. Sacharowa za wolność myśli za 2025 r.; popiera autentyczne starania o nawiązanie dialogu o tym, jak rząd może spełnić oczekiwania studentów; jest głęboko zaniepokojony tym, że sytuacja w Serbii jest wciąż napięta, a napięcia te i polaryzacja społeczeństwa może łatwo doprowadzić do przemocy będącej bezpośrednim skutkiem mowy nienawiści, propagowania przemocy, kampanii oszczerstw przeciwko oponentom oraz </w:t>
      </w:r>
      <w:proofErr w:type="spellStart"/>
      <w:r w:rsidRPr="0024124D">
        <w:t>antyunijnej</w:t>
      </w:r>
      <w:proofErr w:type="spellEnd"/>
      <w:r w:rsidRPr="0024124D">
        <w:t xml:space="preserve"> i prorosyjskiej propagandy szeroko </w:t>
      </w:r>
      <w:r w:rsidRPr="0024124D">
        <w:lastRenderedPageBreak/>
        <w:t xml:space="preserve">rozpowszechnianej w kontrolowanych przez rząd mediach i przez urzędników rządowych, a także rażącej nieudolności władz w konfrontacji z przeszłością Serbii i uporaniu się z nią; apeluje do wszystkich podmiotów politycznych i społecznych w Serbii, by powstrzymały się od takiej retoryki, a pracowały nad stworzeniem klimatu wzajemnego szacunku, dialogu demokratycznego i deeskalacji; wzywa rząd serbski do promowania </w:t>
      </w:r>
      <w:proofErr w:type="spellStart"/>
      <w:r w:rsidRPr="0024124D">
        <w:t>inkluzywności</w:t>
      </w:r>
      <w:proofErr w:type="spellEnd"/>
      <w:r w:rsidRPr="0024124D">
        <w:t xml:space="preserve"> życia politycznego i do zagwarantowania równego dostępu do mediów wszystkim partiom politycznym i kandydatom; podkreśla znaczenie depolaryzacji dyskursu publicznego i wspierania kultury politycznej zakorzenionej w tolerancji, kompromisie i poszanowaniu instytucji demokratycznych; wzywa społeczeństwo obywatelskie, media i instytucje edukacyjne do aktywnego udziału w likwidacji podziałów społecznych i wspieraniu demokracji odpornej na zagrożenia;</w:t>
      </w:r>
    </w:p>
    <w:p w14:paraId="7B327790" w14:textId="2E5D9AFD" w:rsidR="00DD30BC" w:rsidRPr="00DD30BC" w:rsidRDefault="0083062C" w:rsidP="00EF77F1">
      <w:pPr>
        <w:pStyle w:val="NormalHanging12a"/>
        <w:rPr>
          <w:bCs/>
          <w:iCs/>
        </w:rPr>
      </w:pPr>
      <w:r>
        <w:rPr>
          <w:bCs/>
          <w:iCs/>
        </w:rPr>
        <w:t>3</w:t>
      </w:r>
      <w:r w:rsidR="00DD30BC" w:rsidRPr="00232E6E">
        <w:rPr>
          <w:bCs/>
          <w:iCs/>
        </w:rPr>
        <w:t>.</w:t>
      </w:r>
      <w:r w:rsidR="00DD30BC" w:rsidRPr="00232E6E">
        <w:rPr>
          <w:bCs/>
          <w:iCs/>
        </w:rPr>
        <w:tab/>
        <w:t>wyraża zaniepokojenie coraz głębszą polaryzacją polityczną w Serbii; wzywa wszystkie podmioty polityczne, przedstawicieli społeczeństwa obywatelskiego i odpowiednie zainteresowane strony w Serbii do zaangażowania się w konstruktywny dialog, wolny od nacisków lub ingerencji z zewnątrz, aby zmniejszyć polaryzację polityczną i społeczną, zbudować zaufanie między instytucjami i znaleźć zrównoważoną ścieżkę rozwoju dla kraju; podkreśla, że suwerenność i trajektoria polityczna Serbii powinny odzwierciedlać aspiracje jej obywateli;</w:t>
      </w:r>
    </w:p>
    <w:p w14:paraId="50F48757" w14:textId="734BA884" w:rsidR="00EF77F1" w:rsidRPr="0024124D" w:rsidRDefault="0083062C" w:rsidP="00EF77F1">
      <w:pPr>
        <w:pStyle w:val="NormalHanging12a"/>
      </w:pPr>
      <w:r>
        <w:t>4</w:t>
      </w:r>
      <w:r w:rsidR="00EF77F1" w:rsidRPr="0024124D">
        <w:t>.</w:t>
      </w:r>
      <w:r w:rsidR="00EF77F1" w:rsidRPr="0024124D">
        <w:tab/>
        <w:t xml:space="preserve">z całą stanowczością potępia falę przemocy, do której doszło pod wpływem państwa, zastraszanie i masowe aresztowania pokojowych demonstrantów, dziennikarzy, przedstawicieli organizacji społeczeństwa obywatelskiego i opozycji w Serbii; potępia kampanie oszczerstw, zastraszanie mediów i stanowiące nadużycie wykorzystywanie danych osobowych do dyskredytowania demonstrantów oraz wzywa władze serbskie do zapewnienia wolności mediów; wzywa wysokich rangą urzędników do zaprzestania retoryki nagonki, podżegającej do wrogości i przemocy; potępia bezprawną inwigilację demonstrantów, z użyciem np. systemów </w:t>
      </w:r>
      <w:proofErr w:type="spellStart"/>
      <w:r w:rsidR="00EF77F1" w:rsidRPr="0024124D">
        <w:t>Pegasus</w:t>
      </w:r>
      <w:proofErr w:type="spellEnd"/>
      <w:r w:rsidR="00EF77F1" w:rsidRPr="0024124D">
        <w:t xml:space="preserve">, </w:t>
      </w:r>
      <w:proofErr w:type="spellStart"/>
      <w:r w:rsidR="00EF77F1" w:rsidRPr="0024124D">
        <w:t>Cellebrite</w:t>
      </w:r>
      <w:proofErr w:type="spellEnd"/>
      <w:r w:rsidR="00EF77F1" w:rsidRPr="0024124D">
        <w:t xml:space="preserve"> i </w:t>
      </w:r>
      <w:proofErr w:type="spellStart"/>
      <w:r w:rsidR="00EF77F1" w:rsidRPr="0024124D">
        <w:t>NoviSpy</w:t>
      </w:r>
      <w:proofErr w:type="spellEnd"/>
      <w:r w:rsidR="00EF77F1" w:rsidRPr="0024124D">
        <w:t>; wyraża szczególne zaniepokojenie zastosowaniem urządzeń dźwiękowych dalekiego zasięgu i powszechnym użyciem gazu łzawiącego przeciwko ludności cywilnej; apeluje o przyjęcie i stosowanie klarownych protokołów użycia dozwolonych prawem technologii kontroli tłumu oraz niezależnych mechanizmów nadzoru; wzywa rząd Serbii do pełnego zagwarantowania i poszanowania wolności zgromadzeń i wolności słowa w społeczeństwie serbskim, zgodnie z konstytucją Serbii, powszechną deklaracją praw człowieka i europejską konwencją praw człowieka; potępia ponadto wszelkie formy nawoływania do nienawiści i podburzania do niej, zwłaszcza wobec mniejszości narodowych;</w:t>
      </w:r>
    </w:p>
    <w:p w14:paraId="4FF8E9A6" w14:textId="388CCAE9" w:rsidR="00EF77F1" w:rsidRPr="0024124D" w:rsidRDefault="0083062C" w:rsidP="00EF77F1">
      <w:pPr>
        <w:pStyle w:val="NormalHanging12a"/>
      </w:pPr>
      <w:r>
        <w:t>5</w:t>
      </w:r>
      <w:r w:rsidR="00EF77F1" w:rsidRPr="0024124D">
        <w:t>.</w:t>
      </w:r>
      <w:r w:rsidR="00EF77F1" w:rsidRPr="0024124D">
        <w:tab/>
        <w:t>uważa, że władze Serbii ponoszą odpowiedzialność polityczną za eskalację represji, normalizację przemocy i osłabienie instytucji demokratycznych; ubolewa, że najwyżsi urzędnicy państwowi aktywnie rozpowszechniają teorie spiskowe, zgodnie z którymi zadaszenie dworca kolejowego miało jakoby runąć w wyniku aktu sabotażu lub zamachu terrorystycznego; jest zaniepokojony brakiem reakcji instytucji państwowych, w tym organów ścigania i wymiaru sprawiedliwości, na te bezpodstawne zarzuty;</w:t>
      </w:r>
    </w:p>
    <w:p w14:paraId="1B28655E" w14:textId="0C512956" w:rsidR="00EF77F1" w:rsidRPr="0024124D" w:rsidRDefault="0083062C" w:rsidP="00EF77F1">
      <w:pPr>
        <w:pStyle w:val="NormalHanging12a"/>
      </w:pPr>
      <w:r>
        <w:t>6</w:t>
      </w:r>
      <w:r w:rsidR="00EF77F1" w:rsidRPr="0024124D">
        <w:t>.</w:t>
      </w:r>
      <w:r w:rsidR="00EF77F1" w:rsidRPr="0024124D">
        <w:tab/>
        <w:t xml:space="preserve">ostrzega przed nadużywaniem prawa karnego do tłumienia aktywności obywatelskiej; podkreśla, że zmiany w kodeksie karnym, kodeksie postępowania karnego i ustawie z 2005 r. o nieletnich przestępcach i ochronie karnej nieletnich nie mogą prowadzić do kryminalizacji pokojowych </w:t>
      </w:r>
      <w:proofErr w:type="spellStart"/>
      <w:r w:rsidR="00EF77F1" w:rsidRPr="0024124D">
        <w:t>zachowań</w:t>
      </w:r>
      <w:proofErr w:type="spellEnd"/>
      <w:r w:rsidR="00EF77F1" w:rsidRPr="0024124D">
        <w:t xml:space="preserve"> lub pozbawionych przemocy form protestu; przypomina, że proporcjonalne stosowanie sankcji karnych jest podstawą praworządności i zobowiązań Serbii wynikających z europejskiej konwencji praw </w:t>
      </w:r>
      <w:r w:rsidR="00EF77F1" w:rsidRPr="0024124D">
        <w:lastRenderedPageBreak/>
        <w:t>człowieka;</w:t>
      </w:r>
    </w:p>
    <w:p w14:paraId="77C57560" w14:textId="20AB6FCE" w:rsidR="00EF77F1" w:rsidRPr="0024124D" w:rsidRDefault="0083062C" w:rsidP="00EF77F1">
      <w:pPr>
        <w:pStyle w:val="NormalHanging12a"/>
      </w:pPr>
      <w:r>
        <w:t>7</w:t>
      </w:r>
      <w:r w:rsidR="00EF77F1" w:rsidRPr="0024124D">
        <w:t>.</w:t>
      </w:r>
      <w:r w:rsidR="00EF77F1" w:rsidRPr="0024124D">
        <w:tab/>
        <w:t>wyraża zaniepokojenie z powodu nielegalnych aresztowań przeprowadzonych przed protestami z 15 marca i 28 czerwca 2025 r., które poprzedziło ujawnienie w prorządowych mediach rozmów osób podejrzanych; zauważa, że na tej podstawie aresztowano kilku działaczy politycznych i członków opozycyjnego Ruchu Wolnych Obywateli (PSG), a niektórzy z nich nadal przebywają w areszcie domowym lub na wygnaniu; apeluje o ich natychmiastowe uwolnienie;</w:t>
      </w:r>
    </w:p>
    <w:p w14:paraId="6D34E6D9" w14:textId="6BED0813" w:rsidR="00EF77F1" w:rsidRPr="0024124D" w:rsidRDefault="0083062C" w:rsidP="00EF77F1">
      <w:pPr>
        <w:pStyle w:val="NormalHanging12a"/>
      </w:pPr>
      <w:r>
        <w:t>8</w:t>
      </w:r>
      <w:r w:rsidR="00EF77F1" w:rsidRPr="0024124D">
        <w:t>.</w:t>
      </w:r>
      <w:r w:rsidR="00EF77F1" w:rsidRPr="0024124D">
        <w:tab/>
        <w:t xml:space="preserve">apeluje o pilne, bezstronne i przejrzyste dochodzenia w sprawie wszystkich zarzutów dotyczących niepotrzebnego i nieproporcjonalnego użycia siły, arbitralnych aresztowań, zatrzymań, tortur, przemocy seksualnej wobec zatrzymanych, politycznie umotywowanych procesów i innych poważnych naruszeń praw człowieka, obejmujących bezprawne przetrzymywanie, bicie zatrzymanych, werbalne poniżanie i grożenie śmiercią; wzywa władze do starannego zbadania zarzutów, jakoby naruszeń tych dopuszczali się wysocy rangą oficerowie JZO, zwłaszcza ich dowódca Marko </w:t>
      </w:r>
      <w:proofErr w:type="spellStart"/>
      <w:r w:rsidR="00EF77F1" w:rsidRPr="0024124D">
        <w:t>Kričak</w:t>
      </w:r>
      <w:proofErr w:type="spellEnd"/>
      <w:r w:rsidR="00EF77F1" w:rsidRPr="0024124D">
        <w:t>; przypomina, że czyny takie mogą stanowić nieludzkie i poniżające traktowanie zakazane na mocy prawa międzynarodowego i protokołów działań policyjnych;</w:t>
      </w:r>
    </w:p>
    <w:p w14:paraId="21890028" w14:textId="7F5BC3B9" w:rsidR="00EF77F1" w:rsidRPr="0024124D" w:rsidRDefault="0083062C" w:rsidP="00EF77F1">
      <w:pPr>
        <w:pStyle w:val="NormalHanging12a"/>
      </w:pPr>
      <w:r>
        <w:t>9</w:t>
      </w:r>
      <w:r w:rsidR="00EF77F1" w:rsidRPr="0024124D">
        <w:t>.</w:t>
      </w:r>
      <w:r w:rsidR="00EF77F1" w:rsidRPr="0024124D">
        <w:tab/>
        <w:t xml:space="preserve">odnotowuje dymisję premiera </w:t>
      </w:r>
      <w:proofErr w:type="spellStart"/>
      <w:r w:rsidR="00EF77F1" w:rsidRPr="0024124D">
        <w:t>Miloša</w:t>
      </w:r>
      <w:proofErr w:type="spellEnd"/>
      <w:r w:rsidR="00EF77F1" w:rsidRPr="0024124D">
        <w:t xml:space="preserve"> </w:t>
      </w:r>
      <w:proofErr w:type="spellStart"/>
      <w:r w:rsidR="00EF77F1" w:rsidRPr="0024124D">
        <w:t>Vučevicia</w:t>
      </w:r>
      <w:proofErr w:type="spellEnd"/>
      <w:r w:rsidR="00EF77F1" w:rsidRPr="0024124D">
        <w:t xml:space="preserve">, którą Zgromadzenie Narodowe potwierdziło 19 marca 2025 r., a następnie, 16 kwietnia 2025 r., powołanie nowego rządu pod przewodnictwem </w:t>
      </w:r>
      <w:proofErr w:type="spellStart"/>
      <w:r w:rsidR="00EF77F1" w:rsidRPr="0024124D">
        <w:t>Đura</w:t>
      </w:r>
      <w:proofErr w:type="spellEnd"/>
      <w:r w:rsidR="00EF77F1" w:rsidRPr="0024124D">
        <w:t xml:space="preserve"> </w:t>
      </w:r>
      <w:proofErr w:type="spellStart"/>
      <w:r w:rsidR="00EF77F1" w:rsidRPr="0024124D">
        <w:t>Macuta</w:t>
      </w:r>
      <w:proofErr w:type="spellEnd"/>
      <w:r w:rsidR="00EF77F1" w:rsidRPr="0024124D">
        <w:t>;</w:t>
      </w:r>
    </w:p>
    <w:p w14:paraId="1FD7B29C" w14:textId="7E70961A" w:rsidR="00EF77F1" w:rsidRPr="0024124D" w:rsidRDefault="0083062C" w:rsidP="00EF77F1">
      <w:pPr>
        <w:pStyle w:val="NormalHanging12a"/>
      </w:pPr>
      <w:r>
        <w:t>10</w:t>
      </w:r>
      <w:r w:rsidR="00EF77F1" w:rsidRPr="0024124D">
        <w:t>.</w:t>
      </w:r>
      <w:r w:rsidR="00EF77F1" w:rsidRPr="0024124D">
        <w:tab/>
        <w:t xml:space="preserve">odnotowuje, że w sierpniu 2025 r. aresztowano, a następnie uwolniono byłych ministrów </w:t>
      </w:r>
      <w:proofErr w:type="spellStart"/>
      <w:r w:rsidR="00EF77F1" w:rsidRPr="0024124D">
        <w:t>Tomislava</w:t>
      </w:r>
      <w:proofErr w:type="spellEnd"/>
      <w:r w:rsidR="00EF77F1" w:rsidRPr="0024124D">
        <w:t xml:space="preserve"> </w:t>
      </w:r>
      <w:proofErr w:type="spellStart"/>
      <w:r w:rsidR="00EF77F1" w:rsidRPr="0024124D">
        <w:t>Momirovicia</w:t>
      </w:r>
      <w:proofErr w:type="spellEnd"/>
      <w:r w:rsidR="00EF77F1" w:rsidRPr="0024124D">
        <w:t xml:space="preserve"> i Gorana </w:t>
      </w:r>
      <w:proofErr w:type="spellStart"/>
      <w:r w:rsidR="00EF77F1" w:rsidRPr="0024124D">
        <w:t>Vesicia</w:t>
      </w:r>
      <w:proofErr w:type="spellEnd"/>
      <w:r w:rsidR="00EF77F1" w:rsidRPr="0024124D">
        <w:t>, którym zarzucano nadużycie władzy i wobec których wysunięto podejrzenia działania na szkodę budżetu państwa na kwotę co najmniej 115 mln USD w związku z przebudową linii kolejowej z Belgradu do Budapesztu, w tym stacji kolejowej w Nowym Sadzie, gdzie zawaliło się zadaszenie; wyraża głębokie ubolewanie z powodu utrudniania działań wymiaru sprawiedliwości, które uniemożliwiło postawienie przed sądem osób odpowiedzialnych za tę katastrofę budowlaną; potępia rozpowszechniane kanałami prorządowymi kampanie oszczerstw wobec sędziów i prokuratorów chcących egzekwować zasady praworządności;</w:t>
      </w:r>
    </w:p>
    <w:p w14:paraId="30EBC75D" w14:textId="403B5410" w:rsidR="00EF77F1" w:rsidRPr="0024124D" w:rsidRDefault="00EF77F1" w:rsidP="00EF77F1">
      <w:pPr>
        <w:pStyle w:val="NormalHanging12a"/>
      </w:pPr>
      <w:r w:rsidRPr="0024124D">
        <w:t>1</w:t>
      </w:r>
      <w:r w:rsidR="0083062C">
        <w:t>1</w:t>
      </w:r>
      <w:r w:rsidRPr="0024124D">
        <w:t>.</w:t>
      </w:r>
      <w:r w:rsidRPr="0024124D">
        <w:tab/>
        <w:t>zdecydowanie potępia działania odwetowe rządu wobec pracowników edukacji i sektora kultury, którzy poparli protesty, w tym zwalnianie z pracy, cięcia płacowe, obecność policji na kampusach oraz odebranie finansowania uczelniom publicznym;</w:t>
      </w:r>
    </w:p>
    <w:p w14:paraId="604C1991" w14:textId="3F14C3F4" w:rsidR="00EF77F1" w:rsidRPr="0024124D" w:rsidRDefault="00EF77F1" w:rsidP="00EF77F1">
      <w:pPr>
        <w:pStyle w:val="NormalHanging12a"/>
      </w:pPr>
      <w:r w:rsidRPr="0024124D">
        <w:t>1</w:t>
      </w:r>
      <w:r w:rsidR="0083062C">
        <w:t>2</w:t>
      </w:r>
      <w:r w:rsidRPr="0024124D">
        <w:t>.</w:t>
      </w:r>
      <w:r w:rsidRPr="0024124D">
        <w:tab/>
        <w:t>wzywa władze serbskie, by niezwłocznie przywróciły finansowanie uczelni; wzywa właściwe instytucje do zapewnienia niezakłóconego udziału środowiska akademickiego i badawczego w projektach finansowanych przez UE;</w:t>
      </w:r>
    </w:p>
    <w:p w14:paraId="627DC742" w14:textId="27471D8F" w:rsidR="00EF77F1" w:rsidRPr="0024124D" w:rsidRDefault="00EF77F1" w:rsidP="00EF77F1">
      <w:pPr>
        <w:pStyle w:val="NormalHanging12a"/>
      </w:pPr>
      <w:r w:rsidRPr="0024124D">
        <w:t>1</w:t>
      </w:r>
      <w:r w:rsidR="0083062C">
        <w:t>3</w:t>
      </w:r>
      <w:r w:rsidRPr="0024124D">
        <w:t>.</w:t>
      </w:r>
      <w:r w:rsidRPr="0024124D">
        <w:tab/>
        <w:t xml:space="preserve">potępia działania członków partii rządzącej polegające na zorganizowaniu nielegalnego obozowiska w parku Pionierów (park </w:t>
      </w:r>
      <w:proofErr w:type="spellStart"/>
      <w:r w:rsidRPr="0024124D">
        <w:t>Pionirski</w:t>
      </w:r>
      <w:proofErr w:type="spellEnd"/>
      <w:r w:rsidRPr="0024124D">
        <w:t>) przed siedzibą prezydenta, a następnie na rozszerzeniu go na plac dominujący nad budynkiem Zgromadzenia Narodowego; jest poważnie zaniepokojony licznymi doniesieniami o tym, że do walki z protestującymi partia rządząca wykorzystuje osoby o przestępczej przeszłości, które atakują demonstrantów materiałami pirotechnicznymi, co dodatkowo potęguje napięcia, przemoc i polaryzację w kraju; potępia ataki na członków mniejszości narodowych</w:t>
      </w:r>
      <w:r w:rsidR="00DD30BC" w:rsidRPr="00232E6E">
        <w:t xml:space="preserve">, w tym Słowaków z miejscowości </w:t>
      </w:r>
      <w:proofErr w:type="spellStart"/>
      <w:r w:rsidR="00DD30BC" w:rsidRPr="00232E6E">
        <w:t>Bački</w:t>
      </w:r>
      <w:proofErr w:type="spellEnd"/>
      <w:r w:rsidR="00DD30BC" w:rsidRPr="00232E6E">
        <w:t xml:space="preserve"> </w:t>
      </w:r>
      <w:proofErr w:type="spellStart"/>
      <w:r w:rsidR="00DD30BC" w:rsidRPr="00232E6E">
        <w:t>Petrovac</w:t>
      </w:r>
      <w:proofErr w:type="spellEnd"/>
      <w:r w:rsidR="00DD30BC" w:rsidRPr="00232E6E">
        <w:t>, Rumunów, Bułgarów i Chorwatów,</w:t>
      </w:r>
      <w:r w:rsidR="00DD30BC" w:rsidRPr="00DD30BC">
        <w:t xml:space="preserve"> </w:t>
      </w:r>
      <w:r w:rsidRPr="0024124D">
        <w:t>oraz używanie w prorządowych mediach obelg o charakterze etnicznym;</w:t>
      </w:r>
    </w:p>
    <w:p w14:paraId="0E522B49" w14:textId="6E45C6AC" w:rsidR="00EF77F1" w:rsidRPr="0024124D" w:rsidRDefault="00EF77F1" w:rsidP="00EF77F1">
      <w:pPr>
        <w:pStyle w:val="NormalHanging12a"/>
      </w:pPr>
      <w:r w:rsidRPr="0024124D">
        <w:lastRenderedPageBreak/>
        <w:t>1</w:t>
      </w:r>
      <w:r w:rsidR="0083062C">
        <w:t>4</w:t>
      </w:r>
      <w:r w:rsidRPr="0024124D">
        <w:t>.</w:t>
      </w:r>
      <w:r w:rsidRPr="0024124D">
        <w:tab/>
        <w:t>potępia arbitralne stosowanie ułaskawienia prezydenckiego w stosunku do osób skazanych lub ściganych za przemoc wobec studentów i innych uczestników pokojowych protestów oraz uznaje takie działania za bezpośrednią ingerencję w wymiar sprawiedliwości i poważne naruszenie praworządności;</w:t>
      </w:r>
    </w:p>
    <w:p w14:paraId="0153501D" w14:textId="05E39884" w:rsidR="00EF77F1" w:rsidRPr="0024124D" w:rsidRDefault="00EF77F1" w:rsidP="00EF77F1">
      <w:pPr>
        <w:pStyle w:val="NormalHanging12a"/>
      </w:pPr>
      <w:r w:rsidRPr="0024124D">
        <w:t>1</w:t>
      </w:r>
      <w:r w:rsidR="0083062C">
        <w:t>5</w:t>
      </w:r>
      <w:r w:rsidRPr="0024124D">
        <w:t>.</w:t>
      </w:r>
      <w:r w:rsidRPr="0024124D">
        <w:tab/>
        <w:t>wzywa władze serbskie, by umożliwiły bezpieczny powrót wszystkim obywatelom, którzy uciekli z kraju w wyniku represji politycznych, zastraszania lub obawy przed prześladowaniem, oraz by zagwarantowały im pełną ochronę i reintegrację zgodnie z prawem i zobowiązaniami międzynarodowymi Serbii;</w:t>
      </w:r>
    </w:p>
    <w:p w14:paraId="74350BAC" w14:textId="075EC651" w:rsidR="00EF77F1" w:rsidRPr="0024124D" w:rsidRDefault="00EF77F1" w:rsidP="00EF77F1">
      <w:pPr>
        <w:pStyle w:val="NormalHanging12a"/>
      </w:pPr>
      <w:r w:rsidRPr="0024124D">
        <w:t>1</w:t>
      </w:r>
      <w:r w:rsidR="0083062C">
        <w:t>6</w:t>
      </w:r>
      <w:r w:rsidRPr="0024124D">
        <w:t>.</w:t>
      </w:r>
      <w:r w:rsidRPr="0024124D">
        <w:tab/>
        <w:t>zdecydowanie potępia bezprawne aresztowania i wydalanie obywateli UE, którzy wydali oświadczenia popierające protesty studentów, oraz publiczne ujawnianie danych osobowych obywateli UE przez osoby skazane za popełnienie zbrodni wojennych; wyraża zaniepokojenie rosnącą liczbą przypadków zatrzymań obywateli UE na granicach Serbii;</w:t>
      </w:r>
    </w:p>
    <w:p w14:paraId="320DCCF5" w14:textId="59EAB40B" w:rsidR="00EF77F1" w:rsidRPr="0024124D" w:rsidRDefault="00EF77F1" w:rsidP="00EF77F1">
      <w:pPr>
        <w:pStyle w:val="NormalHanging12a"/>
      </w:pPr>
      <w:r w:rsidRPr="0024124D">
        <w:t>1</w:t>
      </w:r>
      <w:r w:rsidR="0083062C">
        <w:t>7</w:t>
      </w:r>
      <w:r w:rsidRPr="0024124D">
        <w:t>.</w:t>
      </w:r>
      <w:r w:rsidRPr="0024124D">
        <w:tab/>
        <w:t xml:space="preserve">z całą stanowczością potępia napaści werbalne najwyższych urzędników serbskich na posłów do Parlamentu Europejskiego, którzy wzięli udział w protestach studenckich lub wydawali oświadczenia na ich temat – najbardziej znany przypadek to atak prezydenta </w:t>
      </w:r>
      <w:proofErr w:type="spellStart"/>
      <w:r w:rsidRPr="0024124D">
        <w:t>Vučicia</w:t>
      </w:r>
      <w:proofErr w:type="spellEnd"/>
      <w:r w:rsidRPr="0024124D">
        <w:t xml:space="preserve"> na posłów do PE z grupy </w:t>
      </w:r>
      <w:proofErr w:type="spellStart"/>
      <w:r w:rsidRPr="0024124D">
        <w:t>Verts</w:t>
      </w:r>
      <w:proofErr w:type="spellEnd"/>
      <w:r w:rsidRPr="0024124D">
        <w:t>/ALE, do którego doszło 5 września 2025 r.;</w:t>
      </w:r>
    </w:p>
    <w:p w14:paraId="567CA19A" w14:textId="1C09E0B1" w:rsidR="00EF77F1" w:rsidRPr="0024124D" w:rsidRDefault="00EF77F1" w:rsidP="00EF77F1">
      <w:pPr>
        <w:pStyle w:val="NormalHanging12a"/>
      </w:pPr>
      <w:r w:rsidRPr="0024124D">
        <w:t>1</w:t>
      </w:r>
      <w:r w:rsidR="0083062C">
        <w:t>8</w:t>
      </w:r>
      <w:r w:rsidRPr="0024124D">
        <w:t>.</w:t>
      </w:r>
      <w:r w:rsidRPr="0024124D">
        <w:tab/>
        <w:t>potępia jawną ingerencję Federacji Rosyjskiej w protesty w Serbii, w postaci dezinformacji rozpowszechnianej przez urzędników rosyjskich, w tym przez Władimira Putina, twierdzących, że protesty to element popieranej przez Zachód „kolorowej rewolucji”; odrzuca zarzuty stawiane przez serbskich urzędników i media prorządowe, jakoby UE i niektóre jej państwa członkowskie miały uczestniczyć w organizacji protestów studenckich w celu wywołania „kolorowej rewolucji”; wzywa władze serbskie, by przeciwdziałały takiej wrogiej propagandzie w mediach krajowych zamiast uczestniczyć w jej rozpowszechnianiu; jest nadal zaniepokojony nacjonalistyczną narracją głoszoną przez niektórych uczestników ruchu protestu; ubolewa, że wciąż wykorzystuje się narracje nacjonalistyczne, np. koncepcje „Wielkiej Serbii” i „serbskiego świata”, które w przeszłości głosili niektórzy członkowie rządu serbskiego; przypomina, że taka retoryka nie ma miejsca w stosunkach UE–Serbia i podważa stabilność w regionie;</w:t>
      </w:r>
    </w:p>
    <w:p w14:paraId="06507F8B" w14:textId="41FD9FD9" w:rsidR="00EF77F1" w:rsidRPr="0024124D" w:rsidRDefault="00EF77F1" w:rsidP="00EF77F1">
      <w:pPr>
        <w:pStyle w:val="NormalHanging12a"/>
      </w:pPr>
      <w:r w:rsidRPr="0024124D">
        <w:t>1</w:t>
      </w:r>
      <w:r w:rsidR="0083062C">
        <w:t>9</w:t>
      </w:r>
      <w:r w:rsidRPr="0024124D">
        <w:t>.</w:t>
      </w:r>
      <w:r w:rsidRPr="0024124D">
        <w:tab/>
        <w:t xml:space="preserve">zauważa z zaniepokojeniem, że wydaje się, iż równolegle z trwającymi protestami rząd serbski prowadzi negocjacje z właścicielami przedsiębiorstwa United Media, by osłabić należące do niego niezależne media; ostrzega, że jeśli się to potwierdzi, będzie to poważny zamach na i tak już </w:t>
      </w:r>
      <w:bookmarkStart w:id="7" w:name="_Hlk211180769"/>
      <w:r w:rsidRPr="0024124D">
        <w:t>zagrożony pluralizm mediów w Serbii</w:t>
      </w:r>
      <w:bookmarkEnd w:id="7"/>
      <w:r w:rsidRPr="0024124D">
        <w:t>; wzywa Serbię, by dostosowała się do unijnej polityki przeciwdziałania obcej ingerencji i kampaniom dezinformacyjnym;</w:t>
      </w:r>
    </w:p>
    <w:p w14:paraId="5939AEDE" w14:textId="39EA0E7D" w:rsidR="00EF77F1" w:rsidRPr="0024124D" w:rsidRDefault="0083062C" w:rsidP="00EF77F1">
      <w:pPr>
        <w:pStyle w:val="NormalHanging12a"/>
      </w:pPr>
      <w:r>
        <w:t>20</w:t>
      </w:r>
      <w:r w:rsidR="00EF77F1" w:rsidRPr="0024124D">
        <w:t>.</w:t>
      </w:r>
      <w:r w:rsidR="00EF77F1" w:rsidRPr="0024124D">
        <w:tab/>
        <w:t>apeluje o natychmiastowe i pełne wykonanie wszystkich zaleceń międzynarodowych misji obserwacji wyborów Organizacji Bezpieczeństwa i Współpracy w Europie (OBWE/ODIHR), by zapewnić wolne i uczciwe wybory w Serbii, a zwłaszcza zaleceń dotyczących niezależnej kontroli rejestru wyborców, przejrzystego i pluralistycznego mianowania członków Urzędu Regulacji Mediów Elektronicznych (REM) oraz zapewnienia wszystkim podmiotom politycznym sprawiedliwego i równego dostępu do czasu antenowego w programach nadawcy publicznego;</w:t>
      </w:r>
    </w:p>
    <w:p w14:paraId="14F65D68" w14:textId="633AB643" w:rsidR="00EF77F1" w:rsidRPr="0024124D" w:rsidRDefault="00EF77F1" w:rsidP="00EF77F1">
      <w:pPr>
        <w:pStyle w:val="NormalHanging12a"/>
      </w:pPr>
      <w:r w:rsidRPr="0024124D">
        <w:t>2</w:t>
      </w:r>
      <w:r w:rsidR="0083062C">
        <w:t>1</w:t>
      </w:r>
      <w:r w:rsidRPr="0024124D">
        <w:t>.</w:t>
      </w:r>
      <w:r w:rsidRPr="0024124D">
        <w:tab/>
        <w:t xml:space="preserve">apeluje do władz serbskich o w pełni przejrzystą, całościową kontrolę bezpieczeństwa </w:t>
      </w:r>
      <w:r w:rsidRPr="0024124D">
        <w:lastRenderedPageBreak/>
        <w:t>technicznego wszystkich obiektów infrastruktury, w tym na linii kolejowej biegnącej z Belgradu przez Nowy Sad do granicy z Węgrami, mającą zapewnić ich integralność konstrukcyjną, bezpieczeństwo i zgodność z normami międzynarodowymi; apeluje do władz serbskich, by nie uruchamiały żadnych obiektów infrastruktury, które nie uzyskały zezwoleń i certyfikatów niezbędnych do bezpiecznego i nieprzerwanego użytkowania, a zwłaszcza obiektów należących do międzynarodowych i ważnych regionalnych korytarzy transportowych;</w:t>
      </w:r>
    </w:p>
    <w:p w14:paraId="4A6A21B1" w14:textId="5E6F14E9" w:rsidR="00EF77F1" w:rsidRPr="0024124D" w:rsidRDefault="00EF77F1" w:rsidP="00EF77F1">
      <w:pPr>
        <w:pStyle w:val="NormalHanging12a"/>
      </w:pPr>
      <w:r w:rsidRPr="0024124D">
        <w:t>2</w:t>
      </w:r>
      <w:r w:rsidR="0083062C">
        <w:t>2</w:t>
      </w:r>
      <w:r w:rsidRPr="0024124D">
        <w:t>.</w:t>
      </w:r>
      <w:r w:rsidRPr="0024124D">
        <w:tab/>
        <w:t>zachęca Serbię do zacieśnienia współpracy z Grupą Państw Przeciwko Korupcji (GRECO) oraz do pełnego wypełnienia zobowiązań wynikających z Konwencji Narodów Zjednoczonych przeciwko korupcji; apeluje o większą przejrzystość własności i finansowania w zamówieniach publicznych na projekty infrastrukturalne; podkreśla, że przy zatwierdzaniu takich projektów Serbia musi przestrzegać norm ochrony środowiska oraz praw społeczności lokalnych i mniejszości narodowych;</w:t>
      </w:r>
    </w:p>
    <w:p w14:paraId="649B6501" w14:textId="6682100D" w:rsidR="00EF77F1" w:rsidRPr="0024124D" w:rsidRDefault="00EF77F1" w:rsidP="00EF77F1">
      <w:pPr>
        <w:pStyle w:val="NormalHanging12a"/>
      </w:pPr>
      <w:r w:rsidRPr="0024124D">
        <w:t>2</w:t>
      </w:r>
      <w:r w:rsidR="0083062C">
        <w:t>3</w:t>
      </w:r>
      <w:r w:rsidRPr="0024124D">
        <w:t>.</w:t>
      </w:r>
      <w:r w:rsidRPr="0024124D">
        <w:tab/>
        <w:t>zwraca się do Komisji i państw członkowskich, by ściśle monitorowały realizację reform w procesie ubiegania się o członkostwo w UE oraz programu reform przyjętego w Instrumencie Wsparcia Reform i Wzrostu Gospodarczego; dostrzega postępy Serbii w niektórych obszarach, w tym w obszarze wzrostu gospodarczego, regionalnych połączeń infrastrukturalnych i współpracy z UE w zarządzaniu migracjami i zapewnianiu bezpieczeństwa energetycznego; z zadowoleniem przyjmuje udział Serbii w projektach finansowanych przez UE na podstawie planu wzrostu gospodarczego dla Bałkanów Zachodnich i Zielonego programu działań; zachęca Serbię do kontynuowania reform zgodnie ze standardami UE i potwierdza gotowość UE do wspierania narodu serbskiego w dążeniu do demokratycznej i dostatniej przyszłości wśród państw europejskich;</w:t>
      </w:r>
    </w:p>
    <w:p w14:paraId="387ED22C" w14:textId="26AEA1A9" w:rsidR="00EF77F1" w:rsidRPr="0024124D" w:rsidRDefault="00EF77F1" w:rsidP="00EF77F1">
      <w:pPr>
        <w:pStyle w:val="NormalHanging12a"/>
      </w:pPr>
      <w:r w:rsidRPr="0024124D">
        <w:t>2</w:t>
      </w:r>
      <w:r w:rsidR="0083062C">
        <w:t>4</w:t>
      </w:r>
      <w:r w:rsidRPr="0024124D">
        <w:t>.</w:t>
      </w:r>
      <w:r w:rsidRPr="0024124D">
        <w:tab/>
        <w:t>podkreśla, że od lat jest zaangażowany na rzecz europejskich perspektyw Serbii i jej przyszłego członkostwa w UE, a jednocześnie wyraźnie zaznacza, że postępy na drodze do przystąpienia zależą od pełnego poszanowania wartości UE, od procesu realnie opartego na osiągnięciach oraz od przestrzegania zasad demokracji, praworządności i praw podstawowych, co należy do kryteriów kopenhaskich;</w:t>
      </w:r>
    </w:p>
    <w:p w14:paraId="7451B0A8" w14:textId="147C8931" w:rsidR="00EF77F1" w:rsidRPr="0024124D" w:rsidRDefault="00EF77F1" w:rsidP="00EF77F1">
      <w:pPr>
        <w:pStyle w:val="NormalHanging12a"/>
      </w:pPr>
      <w:r w:rsidRPr="0024124D">
        <w:t>2</w:t>
      </w:r>
      <w:r w:rsidR="0083062C">
        <w:t>5</w:t>
      </w:r>
      <w:r w:rsidRPr="0024124D">
        <w:t>.</w:t>
      </w:r>
      <w:r w:rsidRPr="0024124D">
        <w:tab/>
        <w:t>przypomina, że negocjacje akcesyjne z Serbią mogą posunąć się do przodu tylko wtedy, gdy osiągnięte zostaną wymierne i trwałe postępy w klastrze „kwestie podstawowe”, a zwłaszcza w obszarze praworządności, walki z korupcją i przestępczością zorganizowaną, niezawisłości sądów, wolności mediów, reformy administracji publicznej, pełnej zbieżności z unijną wspólną polityką zagraniczną i bezpieczeństwa (</w:t>
      </w:r>
      <w:proofErr w:type="spellStart"/>
      <w:r w:rsidRPr="0024124D">
        <w:t>WPZiB</w:t>
      </w:r>
      <w:proofErr w:type="spellEnd"/>
      <w:r w:rsidRPr="0024124D">
        <w:t xml:space="preserve">) oraz sankcji wobec Rosji; przypomina, że w kwestii zbieżności z </w:t>
      </w:r>
      <w:proofErr w:type="spellStart"/>
      <w:r w:rsidRPr="0024124D">
        <w:t>WPZiB</w:t>
      </w:r>
      <w:proofErr w:type="spellEnd"/>
      <w:r w:rsidRPr="0024124D">
        <w:t xml:space="preserve"> Serbia jest na Bałkanach Zachodnich istotnym wyjątkiem; podkreśla, że stopniowe wypracowywanie zbieżności z </w:t>
      </w:r>
      <w:proofErr w:type="spellStart"/>
      <w:r w:rsidRPr="0024124D">
        <w:t>WPZiB</w:t>
      </w:r>
      <w:proofErr w:type="spellEnd"/>
      <w:r w:rsidRPr="0024124D">
        <w:t xml:space="preserve"> należy do najistotniejszych wymogów wobec wszystkich krajów kandydujących do UE; wzywa władze Serbii do sprzyjania opartej na faktach i otwartej dyskusji o przystąpieniu do UE;</w:t>
      </w:r>
    </w:p>
    <w:p w14:paraId="7CF31297" w14:textId="08A7EA81" w:rsidR="00EF77F1" w:rsidRPr="0024124D" w:rsidRDefault="00EF77F1" w:rsidP="00EF77F1">
      <w:pPr>
        <w:pStyle w:val="NormalHanging12a"/>
      </w:pPr>
      <w:r w:rsidRPr="0024124D">
        <w:t>2</w:t>
      </w:r>
      <w:r w:rsidR="0083062C">
        <w:t>6</w:t>
      </w:r>
      <w:r w:rsidRPr="0024124D">
        <w:t>.</w:t>
      </w:r>
      <w:r w:rsidRPr="0024124D">
        <w:tab/>
        <w:t xml:space="preserve">ponownie wyraża zdecydowane poparcie dla serbskich organizacji społeczeństwa obywatelskiego, obrońców praw człowieka i niezależnych działaczy dążących do umocnienia demokracji oraz przestrzegania zasad praworządności i praw podstawowych; wzywa Komisję, by zapewniła podmiotom społeczeństwa obywatelskiego wystarczające i dostępne finansowanie oraz skuteczne mechanizmy ochrony; potępia wszelkie formy zastraszania, nękania lub nacisków administracyjnych na organizacje i działaczy pozarządowych; podkreśla kluczową rolę społeczeństwa </w:t>
      </w:r>
      <w:r w:rsidRPr="0024124D">
        <w:lastRenderedPageBreak/>
        <w:t>obywatelskiego we wspieraniu przejrzystości, monitorowaniu standardów demokratycznych i rozliczaniu władz publicznych;</w:t>
      </w:r>
    </w:p>
    <w:p w14:paraId="141D2AE9" w14:textId="2CDC1834" w:rsidR="00EF77F1" w:rsidRPr="0024124D" w:rsidRDefault="00EF77F1" w:rsidP="00EF77F1">
      <w:pPr>
        <w:pStyle w:val="NormalHanging12a"/>
      </w:pPr>
      <w:r w:rsidRPr="0024124D">
        <w:t>2</w:t>
      </w:r>
      <w:r w:rsidR="0083062C">
        <w:t>7</w:t>
      </w:r>
      <w:r w:rsidRPr="0024124D">
        <w:t>.</w:t>
      </w:r>
      <w:r w:rsidRPr="0024124D">
        <w:tab/>
        <w:t>popiera szybkie wysłanie do Serbii unijnej misji informacyjnej ad hoc z udziałem Parlamentu Europejskiego, mającej ocenić na miejscu stan demokracji oraz bieżącą sytuację: trwające protesty, ataki na demonstrantów oraz represjonowanie studentów, pracowników akademickich, wychowawców i pracowników sektora publicznego;</w:t>
      </w:r>
    </w:p>
    <w:p w14:paraId="3E03F075" w14:textId="1299455B" w:rsidR="00EF77F1" w:rsidRPr="0024124D" w:rsidRDefault="00EF77F1" w:rsidP="00EF77F1">
      <w:pPr>
        <w:pStyle w:val="NormalHanging12a"/>
      </w:pPr>
      <w:r w:rsidRPr="0024124D">
        <w:t>2</w:t>
      </w:r>
      <w:r w:rsidR="0083062C">
        <w:t>8</w:t>
      </w:r>
      <w:r w:rsidRPr="0024124D">
        <w:t>.</w:t>
      </w:r>
      <w:r w:rsidRPr="0024124D">
        <w:tab/>
        <w:t>apeluje do najwyższych rangą urzędników UE, by nie składali nieuzasadnionych oświadczeń pozytywnie oceniających proces reform w Serbii; z zadowoleniem przyjmuje zmianę postawy przewodniczącej Komisji podczas niedawnej wizyty w Serbii, wskazującą na precyzyjniejszą ocenę podstawowych problemów Serbii i negatywnych wyników w przebiegu najważniejszych reform; odnotowuje zapowiedziane porozumienie w sprawie niezależnej weryfikacji rejestru wyborców i urzędu regulacji mediów REM, a jednocześnie podkreśla, że postępy ocenia się na podstawie realizacji reform;</w:t>
      </w:r>
    </w:p>
    <w:p w14:paraId="382C7ABE" w14:textId="1D066BF5" w:rsidR="00EF77F1" w:rsidRPr="0024124D" w:rsidRDefault="00EF77F1" w:rsidP="00EF77F1">
      <w:pPr>
        <w:pStyle w:val="NormalHanging12a"/>
      </w:pPr>
      <w:r w:rsidRPr="0024124D">
        <w:t>2</w:t>
      </w:r>
      <w:r w:rsidR="0083062C">
        <w:t>9</w:t>
      </w:r>
      <w:r w:rsidRPr="0024124D">
        <w:t>.</w:t>
      </w:r>
      <w:r w:rsidRPr="0024124D">
        <w:tab/>
        <w:t>zwraca się do Komisji o wystąpienie z inicjatywą nałożenia – zgodnie z globalnym systemem sankcji UE za naruszenia praw człowieka – ukierunkowanych sankcji indywidualnych na osoby odpowiedzialne za poważne naruszenia prawa i praw człowieka w Serbii;</w:t>
      </w:r>
    </w:p>
    <w:p w14:paraId="1D6D9461" w14:textId="1A685CD0" w:rsidR="00EF77F1" w:rsidRPr="0024124D" w:rsidRDefault="0083062C" w:rsidP="00EF77F1">
      <w:pPr>
        <w:pStyle w:val="NormalHanging12a"/>
      </w:pPr>
      <w:r>
        <w:t>30</w:t>
      </w:r>
      <w:r w:rsidR="00EF77F1" w:rsidRPr="0024124D">
        <w:t>.</w:t>
      </w:r>
      <w:r w:rsidR="00EF77F1" w:rsidRPr="0024124D">
        <w:tab/>
        <w:t>apeluje do państw członkowskich UE o więcej środków ochronnych dla osób zagrożonych, w tym o wizy nadzwyczajne i programy relokacji; wzywa misje dyplomatyczne UE i państw członkowskich do uważnego śledzenia toczących się procesów sądowych związanych z protestami; apeluje do państw członkowskich UE o wspólną reakcję na regres demokracji Serbii, w tym przez rozważenie ukierunkowanych sankcji wobec osób odpowiedzialnych za poważne naruszenia przepisów i praw człowieka w Serbii;</w:t>
      </w:r>
    </w:p>
    <w:p w14:paraId="0FE22069" w14:textId="30BD63FE" w:rsidR="00EF77F1" w:rsidRPr="0024124D" w:rsidRDefault="00EF77F1" w:rsidP="00EF77F1">
      <w:pPr>
        <w:pStyle w:val="NormalHanging12a"/>
      </w:pPr>
      <w:r w:rsidRPr="0024124D">
        <w:t>3</w:t>
      </w:r>
      <w:r w:rsidR="0083062C">
        <w:t>1</w:t>
      </w:r>
      <w:r w:rsidRPr="0024124D">
        <w:t>.</w:t>
      </w:r>
      <w:r w:rsidRPr="0024124D">
        <w:tab/>
        <w:t>wzywa wszystkie państwa uczestniczące w planowanej w Serbii wystawie Expo 2027, by wzięły pod uwagę poważne zastrzeżenia i dowody na powszechną korupcję wśród rządzących, a także doniesienia o niespełnianiu podstawowych norm budowlanych i wymogów prawnych przy organizacji wystawy i budowie obiektów, w których ma się ona odbyć;</w:t>
      </w:r>
    </w:p>
    <w:p w14:paraId="71022772" w14:textId="6CB1C53D" w:rsidR="0024124D" w:rsidRPr="0024124D" w:rsidRDefault="00EF77F1" w:rsidP="0024124D">
      <w:pPr>
        <w:pStyle w:val="NormalHanging12a"/>
      </w:pPr>
      <w:r w:rsidRPr="0024124D">
        <w:t>3</w:t>
      </w:r>
      <w:r w:rsidR="0083062C">
        <w:t>2</w:t>
      </w:r>
      <w:r w:rsidRPr="0024124D">
        <w:t>.</w:t>
      </w:r>
      <w:r w:rsidRPr="0024124D">
        <w:tab/>
        <w:t>zobowiązuje swoją przewodniczącą do przekazania niniejszej rezolucji przewodniczącemu Rady Europejskiej, Komisji, wiceprzewodniczącej Komisji / wysokiej przedstawicielce Unii do spraw zagranicznych i polityki bezpieczeństwa, rządom i parlamentom państw członkowskich, prezydentowi, rządowi i Zgromadzeniu Narodowemu Serbii, Biuru Instytucji Demokratycznych i Praw Człowieka OBWE, Zgromadzeniu Parlamentarnemu OBWE oraz Zgromadzeniu Parlamentarnemu Rady Europy.</w:t>
      </w:r>
    </w:p>
    <w:p w14:paraId="476FD245" w14:textId="0B6C282F" w:rsidR="00E365E1" w:rsidRPr="0024124D" w:rsidRDefault="00E365E1" w:rsidP="007E13A8"/>
    <w:sectPr w:rsidR="00E365E1" w:rsidRPr="0024124D" w:rsidSect="002412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EDD94" w14:textId="77777777" w:rsidR="007E13A8" w:rsidRPr="0024124D" w:rsidRDefault="007E13A8">
      <w:r w:rsidRPr="0024124D">
        <w:separator/>
      </w:r>
    </w:p>
  </w:endnote>
  <w:endnote w:type="continuationSeparator" w:id="0">
    <w:p w14:paraId="6E002A85" w14:textId="77777777" w:rsidR="007E13A8" w:rsidRPr="0024124D" w:rsidRDefault="007E13A8">
      <w:r w:rsidRPr="0024124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4EA04" w14:textId="77777777" w:rsidR="00064002" w:rsidRPr="0024124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2F99E" w14:textId="77777777" w:rsidR="00064002" w:rsidRPr="0024124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A0574" w14:textId="77777777" w:rsidR="00064002" w:rsidRPr="0024124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A6100" w14:textId="77777777" w:rsidR="007E13A8" w:rsidRPr="0024124D" w:rsidRDefault="007E13A8">
      <w:r w:rsidRPr="0024124D">
        <w:separator/>
      </w:r>
    </w:p>
  </w:footnote>
  <w:footnote w:type="continuationSeparator" w:id="0">
    <w:p w14:paraId="729A6415" w14:textId="77777777" w:rsidR="007E13A8" w:rsidRPr="0024124D" w:rsidRDefault="007E13A8">
      <w:r w:rsidRPr="0024124D">
        <w:continuationSeparator/>
      </w:r>
    </w:p>
  </w:footnote>
  <w:footnote w:id="1">
    <w:p w14:paraId="14446243" w14:textId="31DE359F" w:rsidR="00EF77F1" w:rsidRPr="00DD30BC" w:rsidRDefault="00EF77F1" w:rsidP="0024124D">
      <w:pPr>
        <w:pStyle w:val="FootnoteText"/>
        <w:ind w:left="567" w:hanging="567"/>
        <w:rPr>
          <w:sz w:val="24"/>
          <w:lang w:val="fi-FI"/>
        </w:rPr>
      </w:pPr>
      <w:r w:rsidRPr="0024124D">
        <w:rPr>
          <w:rStyle w:val="FootnoteReference"/>
          <w:sz w:val="24"/>
          <w:lang w:val="pl-PL"/>
        </w:rPr>
        <w:footnoteRef/>
      </w:r>
      <w:r w:rsidR="0024124D" w:rsidRPr="00DD30BC">
        <w:rPr>
          <w:sz w:val="24"/>
          <w:lang w:val="fi-FI"/>
        </w:rPr>
        <w:t xml:space="preserve"> </w:t>
      </w:r>
      <w:r w:rsidR="0024124D" w:rsidRPr="00DD30BC">
        <w:rPr>
          <w:sz w:val="24"/>
          <w:lang w:val="fi-FI"/>
        </w:rPr>
        <w:tab/>
      </w:r>
      <w:proofErr w:type="spellStart"/>
      <w:r w:rsidRPr="00DD30BC">
        <w:rPr>
          <w:sz w:val="24"/>
          <w:lang w:val="fi-FI"/>
        </w:rPr>
        <w:t>Dz.U</w:t>
      </w:r>
      <w:proofErr w:type="spellEnd"/>
      <w:r w:rsidRPr="00DD30BC">
        <w:rPr>
          <w:sz w:val="24"/>
          <w:lang w:val="fi-FI"/>
        </w:rPr>
        <w:t xml:space="preserve">. C, C/2024/6339, 7.11.2024, ELI: </w:t>
      </w:r>
      <w:hyperlink r:id="rId1" w:history="1">
        <w:r w:rsidRPr="00DD30BC">
          <w:rPr>
            <w:rStyle w:val="Hyperlink"/>
            <w:sz w:val="24"/>
            <w:lang w:val="fi-FI"/>
          </w:rPr>
          <w:t>http://data.europa.eu/eli/C/2024/6339/oj</w:t>
        </w:r>
      </w:hyperlink>
      <w:r w:rsidRPr="00DD30BC">
        <w:rPr>
          <w:sz w:val="24"/>
          <w:lang w:val="fi-FI"/>
        </w:rPr>
        <w:t>.</w:t>
      </w:r>
    </w:p>
  </w:footnote>
  <w:footnote w:id="2">
    <w:p w14:paraId="1E7A6FB8" w14:textId="293EB5CD" w:rsidR="00EF77F1" w:rsidRPr="0024124D" w:rsidRDefault="00EF77F1" w:rsidP="0024124D">
      <w:pPr>
        <w:pStyle w:val="FootnoteText"/>
        <w:ind w:left="567" w:hanging="567"/>
        <w:rPr>
          <w:sz w:val="24"/>
          <w:lang w:val="pl-PL"/>
        </w:rPr>
      </w:pPr>
      <w:r w:rsidRPr="0024124D">
        <w:rPr>
          <w:rStyle w:val="FootnoteReference"/>
          <w:sz w:val="24"/>
          <w:lang w:val="pl-PL"/>
        </w:rPr>
        <w:footnoteRef/>
      </w:r>
      <w:r w:rsidR="0024124D" w:rsidRPr="0024124D">
        <w:rPr>
          <w:sz w:val="24"/>
          <w:lang w:val="pl-PL"/>
        </w:rPr>
        <w:t xml:space="preserve"> </w:t>
      </w:r>
      <w:r w:rsidR="0024124D" w:rsidRPr="0024124D">
        <w:rPr>
          <w:sz w:val="24"/>
          <w:lang w:val="pl-PL"/>
        </w:rPr>
        <w:tab/>
      </w:r>
      <w:r w:rsidRPr="0024124D">
        <w:rPr>
          <w:sz w:val="24"/>
          <w:lang w:val="pl-PL"/>
        </w:rPr>
        <w:t>Teksty przyjęte, P10_</w:t>
      </w:r>
      <w:proofErr w:type="gramStart"/>
      <w:r w:rsidRPr="0024124D">
        <w:rPr>
          <w:sz w:val="24"/>
          <w:lang w:val="pl-PL"/>
        </w:rPr>
        <w:t>TA(</w:t>
      </w:r>
      <w:proofErr w:type="gramEnd"/>
      <w:r w:rsidRPr="0024124D">
        <w:rPr>
          <w:sz w:val="24"/>
          <w:lang w:val="pl-PL"/>
        </w:rPr>
        <w:t>2025)0093.</w:t>
      </w:r>
    </w:p>
  </w:footnote>
  <w:footnote w:id="3">
    <w:p w14:paraId="5A1CB557" w14:textId="3B9845CD" w:rsidR="00EF77F1" w:rsidRPr="0024124D" w:rsidRDefault="00EF77F1" w:rsidP="0024124D">
      <w:pPr>
        <w:pStyle w:val="FootnoteText"/>
        <w:ind w:left="567" w:hanging="567"/>
        <w:rPr>
          <w:sz w:val="24"/>
          <w:lang w:val="pl-PL"/>
        </w:rPr>
      </w:pPr>
      <w:r w:rsidRPr="0024124D">
        <w:rPr>
          <w:rStyle w:val="FootnoteReference"/>
          <w:sz w:val="24"/>
          <w:lang w:val="pl-PL"/>
        </w:rPr>
        <w:footnoteRef/>
      </w:r>
      <w:r w:rsidR="0024124D" w:rsidRPr="0024124D">
        <w:rPr>
          <w:sz w:val="24"/>
          <w:lang w:val="pl-PL"/>
        </w:rPr>
        <w:t xml:space="preserve"> </w:t>
      </w:r>
      <w:r w:rsidR="0024124D" w:rsidRPr="0024124D">
        <w:rPr>
          <w:sz w:val="24"/>
          <w:lang w:val="pl-PL"/>
        </w:rPr>
        <w:tab/>
      </w:r>
      <w:r w:rsidRPr="0024124D">
        <w:rPr>
          <w:sz w:val="24"/>
          <w:lang w:val="pl-PL"/>
        </w:rPr>
        <w:t>Dz.U. L 278</w:t>
      </w:r>
      <w:r w:rsidR="007325B5">
        <w:rPr>
          <w:sz w:val="24"/>
          <w:lang w:val="pl-PL"/>
        </w:rPr>
        <w:t xml:space="preserve"> z</w:t>
      </w:r>
      <w:r w:rsidRPr="0024124D">
        <w:rPr>
          <w:sz w:val="24"/>
          <w:lang w:val="pl-PL"/>
        </w:rPr>
        <w:t xml:space="preserve"> 18.10.20</w:t>
      </w:r>
      <w:r w:rsidR="00BC723F">
        <w:rPr>
          <w:sz w:val="24"/>
          <w:lang w:val="pl-PL"/>
        </w:rPr>
        <w:t>13</w:t>
      </w:r>
      <w:r w:rsidRPr="0024124D">
        <w:rPr>
          <w:sz w:val="24"/>
          <w:lang w:val="pl-PL"/>
        </w:rPr>
        <w:t>, s.</w:t>
      </w:r>
      <w:r w:rsidR="007325B5">
        <w:rPr>
          <w:sz w:val="24"/>
          <w:lang w:val="pl-PL"/>
        </w:rPr>
        <w:t xml:space="preserve"> </w:t>
      </w:r>
      <w:r w:rsidRPr="0024124D">
        <w:rPr>
          <w:sz w:val="24"/>
          <w:lang w:val="pl-PL"/>
        </w:rPr>
        <w:t xml:space="preserve">16, ELI: </w:t>
      </w:r>
      <w:hyperlink r:id="rId2" w:history="1">
        <w:r w:rsidRPr="0024124D">
          <w:rPr>
            <w:rStyle w:val="Hyperlink"/>
            <w:sz w:val="24"/>
            <w:lang w:val="pl-PL"/>
          </w:rPr>
          <w:t>http://data.europa.eu/eli/agree_internation/2013/490/oj</w:t>
        </w:r>
      </w:hyperlink>
      <w:r w:rsidRPr="0024124D">
        <w:rPr>
          <w:sz w:val="24"/>
          <w:lang w:val="pl-PL"/>
        </w:rPr>
        <w:t xml:space="preserve">. </w:t>
      </w:r>
    </w:p>
  </w:footnote>
  <w:footnote w:id="4">
    <w:p w14:paraId="1A65C018" w14:textId="3336B45E" w:rsidR="00EF77F1" w:rsidRPr="0024124D" w:rsidRDefault="00EF77F1" w:rsidP="0024124D">
      <w:pPr>
        <w:pStyle w:val="FootnoteText"/>
        <w:ind w:left="567" w:hanging="567"/>
        <w:rPr>
          <w:sz w:val="24"/>
          <w:lang w:val="pl-PL"/>
        </w:rPr>
      </w:pPr>
      <w:r w:rsidRPr="0024124D">
        <w:rPr>
          <w:rStyle w:val="FootnoteReference"/>
          <w:sz w:val="24"/>
          <w:lang w:val="pl-PL"/>
        </w:rPr>
        <w:footnoteRef/>
      </w:r>
      <w:r w:rsidR="0024124D" w:rsidRPr="0024124D">
        <w:rPr>
          <w:sz w:val="24"/>
          <w:lang w:val="pl-PL"/>
        </w:rPr>
        <w:t xml:space="preserve"> </w:t>
      </w:r>
      <w:r w:rsidR="0024124D" w:rsidRPr="0024124D">
        <w:rPr>
          <w:sz w:val="24"/>
          <w:lang w:val="pl-PL"/>
        </w:rPr>
        <w:tab/>
      </w:r>
      <w:r w:rsidRPr="0024124D">
        <w:rPr>
          <w:sz w:val="24"/>
          <w:lang w:val="pl-PL"/>
        </w:rPr>
        <w:t xml:space="preserve">Dyrektywa Parlamentu Europejskiego i Rady 2014/24/UE z dnia 26 lutego 2014 r. w sprawie zamówień publicznych, uchylająca dyrektywę 2004/18/WE (Dz.U. L 94 z </w:t>
      </w:r>
      <w:proofErr w:type="gramStart"/>
      <w:r w:rsidRPr="0024124D">
        <w:rPr>
          <w:sz w:val="24"/>
          <w:lang w:val="pl-PL"/>
        </w:rPr>
        <w:t>28.3.2014</w:t>
      </w:r>
      <w:proofErr w:type="gramEnd"/>
      <w:r w:rsidRPr="0024124D">
        <w:rPr>
          <w:sz w:val="24"/>
          <w:lang w:val="pl-PL"/>
        </w:rPr>
        <w:t xml:space="preserve">, s. 65, ELI: </w:t>
      </w:r>
      <w:hyperlink r:id="rId3" w:history="1">
        <w:r w:rsidRPr="0024124D">
          <w:rPr>
            <w:rStyle w:val="Hyperlink"/>
            <w:sz w:val="24"/>
            <w:lang w:val="pl-PL"/>
          </w:rPr>
          <w:t>http://data.europa.eu/eli/dir/2014/24/oj</w:t>
        </w:r>
      </w:hyperlink>
      <w:r w:rsidRPr="0024124D">
        <w:rPr>
          <w:sz w:val="24"/>
          <w:lang w:val="pl-PL"/>
        </w:rPr>
        <w:t xml:space="preserve">). </w:t>
      </w:r>
    </w:p>
  </w:footnote>
  <w:footnote w:id="5">
    <w:p w14:paraId="0E2FCF30" w14:textId="1499CF25" w:rsidR="00DD30BC" w:rsidRPr="00232E6E" w:rsidRDefault="00DD30BC" w:rsidP="00232E6E">
      <w:pPr>
        <w:pStyle w:val="FootnoteText"/>
        <w:ind w:left="567" w:hanging="567"/>
        <w:rPr>
          <w:sz w:val="24"/>
          <w:szCs w:val="24"/>
          <w:lang w:val="pl-PL"/>
        </w:rPr>
      </w:pPr>
      <w:r w:rsidRPr="00232E6E">
        <w:rPr>
          <w:rStyle w:val="FootnoteReference"/>
          <w:sz w:val="24"/>
          <w:szCs w:val="24"/>
        </w:rPr>
        <w:footnoteRef/>
      </w:r>
      <w:r w:rsidRPr="00232E6E">
        <w:rPr>
          <w:sz w:val="24"/>
          <w:szCs w:val="24"/>
          <w:lang w:val="pl-PL"/>
        </w:rPr>
        <w:t xml:space="preserve"> </w:t>
      </w:r>
      <w:r w:rsidRPr="00232E6E">
        <w:rPr>
          <w:sz w:val="24"/>
          <w:szCs w:val="24"/>
          <w:lang w:val="pl-PL"/>
        </w:rPr>
        <w:tab/>
        <w:t xml:space="preserve">Rozporządzenie Parlamentu Europejskiego i Rady (UE) 2024/1252 z dnia 11 kwietnia 2024 r. w sprawie ustanowienia ram na potrzeby zapewnienia bezpiecznych i zrównoważonych dostaw surowców krytycznych oraz zmiany rozporządzeń (UE) nr 168/2013, (UE) 2018/858, (UE) 2018/1724 i (UE) 2019/1020 (Dz.U. L, 2024/1252, </w:t>
      </w:r>
      <w:proofErr w:type="gramStart"/>
      <w:r w:rsidRPr="00232E6E">
        <w:rPr>
          <w:sz w:val="24"/>
          <w:szCs w:val="24"/>
          <w:lang w:val="pl-PL"/>
        </w:rPr>
        <w:t>3.5.2024</w:t>
      </w:r>
      <w:proofErr w:type="gramEnd"/>
      <w:r w:rsidRPr="00232E6E">
        <w:rPr>
          <w:sz w:val="24"/>
          <w:szCs w:val="24"/>
          <w:lang w:val="pl-PL"/>
        </w:rPr>
        <w:t>, ELI: </w:t>
      </w:r>
      <w:hyperlink r:id="rId4" w:tgtFrame="_blank" w:tooltip="Dokument dostępny przez ELI URI." w:history="1">
        <w:r w:rsidRPr="00232E6E">
          <w:rPr>
            <w:rStyle w:val="Hyperlink"/>
            <w:sz w:val="24"/>
            <w:szCs w:val="24"/>
            <w:lang w:val="pl-PL"/>
          </w:rPr>
          <w:t>http://data.europa.eu/eli/reg/2024/1252/oj</w:t>
        </w:r>
      </w:hyperlink>
      <w:r w:rsidRPr="00232E6E">
        <w:rPr>
          <w:sz w:val="24"/>
          <w:szCs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D11F3" w14:textId="77777777" w:rsidR="00064002" w:rsidRPr="0024124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D6AF7" w14:textId="77777777" w:rsidR="00064002" w:rsidRPr="0024124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19EDB" w14:textId="77777777" w:rsidR="00064002" w:rsidRPr="0024124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241781">
    <w:abstractNumId w:val="9"/>
  </w:num>
  <w:num w:numId="2" w16cid:durableId="72512553">
    <w:abstractNumId w:val="9"/>
  </w:num>
  <w:num w:numId="3" w16cid:durableId="1540237022">
    <w:abstractNumId w:val="7"/>
  </w:num>
  <w:num w:numId="4" w16cid:durableId="1271550533">
    <w:abstractNumId w:val="7"/>
  </w:num>
  <w:num w:numId="5" w16cid:durableId="1091196772">
    <w:abstractNumId w:val="6"/>
  </w:num>
  <w:num w:numId="6" w16cid:durableId="127280955">
    <w:abstractNumId w:val="6"/>
  </w:num>
  <w:num w:numId="7" w16cid:durableId="404030340">
    <w:abstractNumId w:val="5"/>
  </w:num>
  <w:num w:numId="8" w16cid:durableId="2052532395">
    <w:abstractNumId w:val="5"/>
  </w:num>
  <w:num w:numId="9" w16cid:durableId="719520169">
    <w:abstractNumId w:val="4"/>
  </w:num>
  <w:num w:numId="10" w16cid:durableId="1727215306">
    <w:abstractNumId w:val="4"/>
  </w:num>
  <w:num w:numId="11" w16cid:durableId="1205294224">
    <w:abstractNumId w:val="8"/>
  </w:num>
  <w:num w:numId="12" w16cid:durableId="1104111066">
    <w:abstractNumId w:val="8"/>
  </w:num>
  <w:num w:numId="13" w16cid:durableId="399595655">
    <w:abstractNumId w:val="3"/>
  </w:num>
  <w:num w:numId="14" w16cid:durableId="1808818378">
    <w:abstractNumId w:val="3"/>
  </w:num>
  <w:num w:numId="15" w16cid:durableId="677511709">
    <w:abstractNumId w:val="2"/>
  </w:num>
  <w:num w:numId="16" w16cid:durableId="1100107429">
    <w:abstractNumId w:val="2"/>
  </w:num>
  <w:num w:numId="17" w16cid:durableId="1381396464">
    <w:abstractNumId w:val="1"/>
  </w:num>
  <w:num w:numId="18" w16cid:durableId="549342865">
    <w:abstractNumId w:val="1"/>
  </w:num>
  <w:num w:numId="19" w16cid:durableId="1201355741">
    <w:abstractNumId w:val="0"/>
  </w:num>
  <w:num w:numId="20" w16cid:durableId="1151868156">
    <w:abstractNumId w:val="0"/>
  </w:num>
  <w:num w:numId="21" w16cid:durableId="1757287919">
    <w:abstractNumId w:val="9"/>
  </w:num>
  <w:num w:numId="22" w16cid:durableId="562835924">
    <w:abstractNumId w:val="7"/>
  </w:num>
  <w:num w:numId="23" w16cid:durableId="597913118">
    <w:abstractNumId w:val="6"/>
  </w:num>
  <w:num w:numId="24" w16cid:durableId="1721005583">
    <w:abstractNumId w:val="5"/>
  </w:num>
  <w:num w:numId="25" w16cid:durableId="1028725922">
    <w:abstractNumId w:val="4"/>
  </w:num>
  <w:num w:numId="26" w16cid:durableId="960066941">
    <w:abstractNumId w:val="8"/>
  </w:num>
  <w:num w:numId="27" w16cid:durableId="1828326492">
    <w:abstractNumId w:val="3"/>
  </w:num>
  <w:num w:numId="28" w16cid:durableId="473256664">
    <w:abstractNumId w:val="2"/>
  </w:num>
  <w:num w:numId="29" w16cid:durableId="2070881119">
    <w:abstractNumId w:val="1"/>
  </w:num>
  <w:num w:numId="30" w16cid:durableId="606547971">
    <w:abstractNumId w:val="0"/>
  </w:num>
  <w:num w:numId="31" w16cid:durableId="108474686">
    <w:abstractNumId w:val="9"/>
  </w:num>
  <w:num w:numId="32" w16cid:durableId="358164585">
    <w:abstractNumId w:val="7"/>
  </w:num>
  <w:num w:numId="33" w16cid:durableId="1891961151">
    <w:abstractNumId w:val="6"/>
  </w:num>
  <w:num w:numId="34" w16cid:durableId="1382438074">
    <w:abstractNumId w:val="5"/>
  </w:num>
  <w:num w:numId="35" w16cid:durableId="2045131833">
    <w:abstractNumId w:val="4"/>
  </w:num>
  <w:num w:numId="36" w16cid:durableId="1379165808">
    <w:abstractNumId w:val="8"/>
  </w:num>
  <w:num w:numId="37" w16cid:durableId="20786296">
    <w:abstractNumId w:val="3"/>
  </w:num>
  <w:num w:numId="38" w16cid:durableId="782917037">
    <w:abstractNumId w:val="2"/>
  </w:num>
  <w:num w:numId="39" w16cid:durableId="457189422">
    <w:abstractNumId w:val="1"/>
  </w:num>
  <w:num w:numId="40" w16cid:durableId="985627384">
    <w:abstractNumId w:val="0"/>
  </w:num>
  <w:num w:numId="41" w16cid:durableId="1032147327">
    <w:abstractNumId w:val="10"/>
  </w:num>
  <w:num w:numId="42" w16cid:durableId="826478964">
    <w:abstractNumId w:val="10"/>
  </w:num>
  <w:num w:numId="43" w16cid:durableId="1646928655">
    <w:abstractNumId w:val="10"/>
  </w:num>
  <w:num w:numId="44" w16cid:durableId="5029337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59/2025"/>
    <w:docVar w:name="dvlangue" w:val="PL"/>
    <w:docVar w:name="dvnumam" w:val="0"/>
    <w:docVar w:name="dvpe" w:val="778.780"/>
    <w:docVar w:name="dvtitre" w:val="Rezolucja Parlamentu Europejskiego z dnia  2025 r. w sprawie polaryzacji i zaostrzenia represji w Serbii rok po tragedii w Nowym Sadzie(2025/2917(RSP))"/>
  </w:docVars>
  <w:rsids>
    <w:rsidRoot w:val="007E13A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2E6E"/>
    <w:rsid w:val="0024124D"/>
    <w:rsid w:val="002767FF"/>
    <w:rsid w:val="002B18FE"/>
    <w:rsid w:val="002B5493"/>
    <w:rsid w:val="00343214"/>
    <w:rsid w:val="00361C00"/>
    <w:rsid w:val="00395FA1"/>
    <w:rsid w:val="003E15D4"/>
    <w:rsid w:val="00411CCE"/>
    <w:rsid w:val="00413962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25B5"/>
    <w:rsid w:val="00734777"/>
    <w:rsid w:val="00745EE2"/>
    <w:rsid w:val="00747932"/>
    <w:rsid w:val="00751A4A"/>
    <w:rsid w:val="00756632"/>
    <w:rsid w:val="00762C74"/>
    <w:rsid w:val="00786EC0"/>
    <w:rsid w:val="007D1690"/>
    <w:rsid w:val="007E13A8"/>
    <w:rsid w:val="007E22AD"/>
    <w:rsid w:val="00817416"/>
    <w:rsid w:val="0083062C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723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30BC"/>
    <w:rsid w:val="00E007A0"/>
    <w:rsid w:val="00E365E1"/>
    <w:rsid w:val="00E820A4"/>
    <w:rsid w:val="00EB006A"/>
    <w:rsid w:val="00EB4772"/>
    <w:rsid w:val="00ED169E"/>
    <w:rsid w:val="00ED4235"/>
    <w:rsid w:val="00EF77F1"/>
    <w:rsid w:val="00F04346"/>
    <w:rsid w:val="00F075DC"/>
    <w:rsid w:val="00F149E9"/>
    <w:rsid w:val="00F5134D"/>
    <w:rsid w:val="00F74202"/>
    <w:rsid w:val="00F87713"/>
    <w:rsid w:val="00FA728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A1248B"/>
  <w15:chartTrackingRefBased/>
  <w15:docId w15:val="{B5784E87-387F-47F5-ABDF-F85BFA485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F77F1"/>
    <w:pPr>
      <w:spacing w:after="240"/>
      <w:ind w:left="567" w:hanging="567"/>
    </w:pPr>
  </w:style>
  <w:style w:type="paragraph" w:customStyle="1" w:styleId="EPComma">
    <w:name w:val="EPComma"/>
    <w:basedOn w:val="Normal"/>
    <w:rsid w:val="00EF77F1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EF77F1"/>
    <w:rPr>
      <w:sz w:val="24"/>
      <w:lang w:val="pl-PL"/>
    </w:rPr>
  </w:style>
  <w:style w:type="character" w:styleId="Hyperlink">
    <w:name w:val="Hyperlink"/>
    <w:basedOn w:val="DefaultParagraphFont"/>
    <w:rsid w:val="00EF77F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D30BC"/>
    <w:rPr>
      <w:sz w:val="24"/>
      <w:lang w:val="pl-PL"/>
    </w:rPr>
  </w:style>
  <w:style w:type="character" w:styleId="FollowedHyperlink">
    <w:name w:val="FollowedHyperlink"/>
    <w:basedOn w:val="DefaultParagraphFont"/>
    <w:rsid w:val="007325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14/24/oj" TargetMode="External"/><Relationship Id="rId2" Type="http://schemas.openxmlformats.org/officeDocument/2006/relationships/hyperlink" Target="http://data.europa.eu/eli/agree_internation/2013/490/oj" TargetMode="External"/><Relationship Id="rId1" Type="http://schemas.openxmlformats.org/officeDocument/2006/relationships/hyperlink" Target="http://data.europa.eu/eli/C/2024/6339/oj" TargetMode="External"/><Relationship Id="rId4" Type="http://schemas.openxmlformats.org/officeDocument/2006/relationships/hyperlink" Target="http://data.europa.eu/eli/reg/2024/12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3882</Words>
  <Characters>25864</Characters>
  <Application>Microsoft Office Word</Application>
  <DocSecurity>0</DocSecurity>
  <Lines>215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ILLY_D</cp:lastModifiedBy>
  <cp:revision>3</cp:revision>
  <cp:lastPrinted>2004-11-19T15:42:00Z</cp:lastPrinted>
  <dcterms:created xsi:type="dcterms:W3CDTF">2025-11-25T06:53:00Z</dcterms:created>
  <dcterms:modified xsi:type="dcterms:W3CDTF">2026-01-28T12:13:00Z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B10-0459/2025</vt:lpwstr>
  </property>
  <property fmtid="{D5CDD505-2E9C-101B-9397-08002B2CF9AE}" pid="4" name="&lt;Type&gt;">
    <vt:lpwstr>RR</vt:lpwstr>
  </property>
</Properties>
</file>