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D3FBE" w14:paraId="70F836B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D93A98" w14:textId="77777777" w:rsidR="00757DD5" w:rsidRPr="00DD3FBE" w:rsidRDefault="00DD3FBE" w:rsidP="00425111">
            <w:pPr>
              <w:pStyle w:val="EPName"/>
              <w:rPr>
                <w:lang w:val="bg-BG"/>
              </w:rPr>
            </w:pPr>
            <w:r w:rsidRPr="00DD3FBE">
              <w:rPr>
                <w:lang w:val="bg-BG"/>
              </w:rPr>
              <w:t>Европейски парламент</w:t>
            </w:r>
          </w:p>
          <w:p w14:paraId="7DA9C38A" w14:textId="77777777" w:rsidR="00757DD5" w:rsidRPr="00DD3FBE" w:rsidRDefault="00DD3FBE" w:rsidP="00425111">
            <w:pPr>
              <w:pStyle w:val="EPTerm"/>
              <w:rPr>
                <w:rStyle w:val="HideTWBExt"/>
                <w:noProof w:val="0"/>
                <w:vanish w:val="0"/>
                <w:lang w:val="bg-BG"/>
              </w:rPr>
            </w:pPr>
            <w:r w:rsidRPr="00DD3FBE">
              <w:rPr>
                <w:lang w:val="bg-BG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4BF7BAB" w14:textId="77777777" w:rsidR="00757DD5" w:rsidRPr="00DD3FBE" w:rsidRDefault="00172070" w:rsidP="00425111">
            <w:pPr>
              <w:pStyle w:val="EPLogo"/>
              <w:rPr>
                <w:lang w:val="bg-BG"/>
              </w:rPr>
            </w:pPr>
            <w:r w:rsidRPr="00DD3FBE">
              <w:rPr>
                <w:noProof/>
              </w:rPr>
              <w:drawing>
                <wp:inline distT="0" distB="0" distL="0" distR="0" wp14:anchorId="08B7B328" wp14:editId="0A60C99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591F51" w14:textId="77777777" w:rsidR="008E7632" w:rsidRPr="00DD3FBE" w:rsidRDefault="008E7632" w:rsidP="008E7632">
      <w:pPr>
        <w:pStyle w:val="LineTop"/>
        <w:rPr>
          <w:lang w:val="bg-BG"/>
        </w:rPr>
      </w:pPr>
    </w:p>
    <w:p w14:paraId="5F134FD9" w14:textId="77777777" w:rsidR="008E7632" w:rsidRPr="00DD3FBE" w:rsidRDefault="00DD3FBE" w:rsidP="008E7632">
      <w:pPr>
        <w:pStyle w:val="ZSessionDoc"/>
        <w:rPr>
          <w:b/>
          <w:i w:val="0"/>
          <w:lang w:val="bg-BG"/>
        </w:rPr>
      </w:pPr>
      <w:r w:rsidRPr="00DD3FBE">
        <w:rPr>
          <w:b/>
          <w:i w:val="0"/>
          <w:lang w:val="bg-BG"/>
        </w:rPr>
        <w:t>ПРИЕТИ ТЕКСТОВЕ</w:t>
      </w:r>
    </w:p>
    <w:p w14:paraId="02EB278E" w14:textId="77777777" w:rsidR="008E7632" w:rsidRPr="00DD3FBE" w:rsidRDefault="00DD3FBE" w:rsidP="008E7632">
      <w:pPr>
        <w:pStyle w:val="LineBottom"/>
        <w:rPr>
          <w:lang w:val="bg-BG"/>
        </w:rPr>
      </w:pPr>
      <w:r w:rsidRPr="00DD3FBE">
        <w:rPr>
          <w:rFonts w:cs="Arial"/>
          <w:i/>
          <w:sz w:val="20"/>
          <w:szCs w:val="22"/>
          <w:lang w:val="bg-BG"/>
        </w:rPr>
        <w:t xml:space="preserve"> </w:t>
      </w:r>
    </w:p>
    <w:p w14:paraId="12591F65" w14:textId="137EE166" w:rsidR="009C4014" w:rsidRPr="00DD3FBE" w:rsidRDefault="00DD3FBE" w:rsidP="008E7632">
      <w:pPr>
        <w:pStyle w:val="ATHeading1"/>
        <w:spacing w:before="480"/>
        <w:rPr>
          <w:noProof w:val="0"/>
          <w:lang w:val="bg-BG"/>
        </w:rPr>
      </w:pPr>
      <w:bookmarkStart w:id="0" w:name="TA_Heading"/>
      <w:r w:rsidRPr="00DD3FBE">
        <w:rPr>
          <w:noProof w:val="0"/>
          <w:lang w:val="bg-BG"/>
        </w:rPr>
        <w:t>P10_TA(2025)</w:t>
      </w:r>
      <w:bookmarkStart w:id="1" w:name="TANumber"/>
      <w:bookmarkEnd w:id="0"/>
      <w:r w:rsidRPr="00DD3FBE">
        <w:rPr>
          <w:noProof w:val="0"/>
          <w:lang w:val="bg-BG"/>
        </w:rPr>
        <w:t>0</w:t>
      </w:r>
      <w:r w:rsidR="00C55648">
        <w:rPr>
          <w:noProof w:val="0"/>
          <w:lang w:val="bg-BG"/>
        </w:rPr>
        <w:t>25</w:t>
      </w:r>
      <w:r w:rsidRPr="00DD3FBE">
        <w:rPr>
          <w:noProof w:val="0"/>
          <w:lang w:val="bg-BG"/>
        </w:rPr>
        <w:t>0</w:t>
      </w:r>
      <w:bookmarkEnd w:id="1"/>
    </w:p>
    <w:p w14:paraId="00163100" w14:textId="76A75D83" w:rsidR="009C4014" w:rsidRPr="00DD3FBE" w:rsidRDefault="0046121A" w:rsidP="00DD3FBE">
      <w:pPr>
        <w:pStyle w:val="ATHeading2"/>
        <w:rPr>
          <w:noProof w:val="0"/>
          <w:lang w:val="bg-BG"/>
        </w:rPr>
      </w:pPr>
      <w:r w:rsidRPr="0046121A">
        <w:rPr>
          <w:noProof w:val="0"/>
          <w:lang w:val="bg-BG"/>
        </w:rPr>
        <w:t>Дати на прилагане и преходни разпоредби за химичните продукти</w:t>
      </w:r>
      <w:r w:rsidR="009C4014" w:rsidRPr="0046121A">
        <w:rPr>
          <w:noProof w:val="0"/>
          <w:lang w:val="bg-BG"/>
        </w:rPr>
        <w:t xml:space="preserve"> </w:t>
      </w:r>
      <w:bookmarkStart w:id="2" w:name="Etoiles"/>
      <w:bookmarkEnd w:id="2"/>
    </w:p>
    <w:p w14:paraId="6E62862B" w14:textId="32FA00D2" w:rsidR="009C4014" w:rsidRPr="00DD3FBE" w:rsidRDefault="009C4014" w:rsidP="009C4014">
      <w:pPr>
        <w:rPr>
          <w:i/>
          <w:vanish/>
          <w:lang w:val="bg-BG"/>
        </w:rPr>
      </w:pPr>
      <w:r w:rsidRPr="00DD3FBE">
        <w:rPr>
          <w:i/>
          <w:lang w:val="bg-BG"/>
        </w:rPr>
        <w:fldChar w:fldCharType="begin"/>
      </w:r>
      <w:r w:rsidRPr="00DD3FBE">
        <w:rPr>
          <w:i/>
          <w:lang w:val="bg-BG"/>
        </w:rPr>
        <w:instrText xml:space="preserve"> TC"</w:instrText>
      </w:r>
      <w:bookmarkStart w:id="3" w:name="DocNumber"/>
      <w:r w:rsidR="00DD3FBE" w:rsidRPr="00DD3FBE">
        <w:rPr>
          <w:i/>
          <w:lang w:val="bg-BG"/>
        </w:rPr>
        <w:instrText>(C10-0</w:instrText>
      </w:r>
      <w:r w:rsidR="0046121A">
        <w:rPr>
          <w:i/>
          <w:lang w:val="bg-BG"/>
        </w:rPr>
        <w:instrText>142</w:instrText>
      </w:r>
      <w:r w:rsidR="00DD3FBE" w:rsidRPr="00DD3FBE">
        <w:rPr>
          <w:i/>
          <w:lang w:val="bg-BG"/>
        </w:rPr>
        <w:instrText>/2025)</w:instrText>
      </w:r>
      <w:bookmarkEnd w:id="3"/>
      <w:r w:rsidRPr="00DD3FBE">
        <w:rPr>
          <w:i/>
          <w:lang w:val="bg-BG"/>
        </w:rPr>
        <w:instrText xml:space="preserve">"\l3 \n&gt; \* MERGEFORMAT </w:instrText>
      </w:r>
      <w:r w:rsidRPr="00DD3FBE">
        <w:rPr>
          <w:i/>
          <w:lang w:val="bg-BG"/>
        </w:rPr>
        <w:fldChar w:fldCharType="end"/>
      </w:r>
    </w:p>
    <w:p w14:paraId="54C2102A" w14:textId="77777777" w:rsidR="00DD3FBE" w:rsidRPr="00DD3FBE" w:rsidRDefault="00DD3FBE" w:rsidP="009C4014">
      <w:pPr>
        <w:rPr>
          <w:vanish/>
          <w:lang w:val="bg-BG"/>
        </w:rPr>
      </w:pPr>
      <w:bookmarkStart w:id="4" w:name="Commission"/>
      <w:r w:rsidRPr="00DD3FBE">
        <w:rPr>
          <w:vanish/>
          <w:lang w:val="bg-BG"/>
        </w:rPr>
        <w:t>Комисия по околна среда, климат и безопасност на храните</w:t>
      </w:r>
    </w:p>
    <w:p w14:paraId="33F2FC24" w14:textId="78F9FF4A" w:rsidR="009C4014" w:rsidRPr="00100705" w:rsidRDefault="00DD3FBE" w:rsidP="009C4014">
      <w:pPr>
        <w:rPr>
          <w:vanish/>
          <w:lang w:val="en-GB"/>
        </w:rPr>
      </w:pPr>
      <w:bookmarkStart w:id="5" w:name="PE"/>
      <w:bookmarkEnd w:id="4"/>
      <w:r w:rsidRPr="00DD3FBE">
        <w:rPr>
          <w:vanish/>
          <w:lang w:val="bg-BG"/>
        </w:rPr>
        <w:t>PE</w:t>
      </w:r>
      <w:r w:rsidR="0053290C">
        <w:rPr>
          <w:vanish/>
          <w:lang w:val="en-GB"/>
        </w:rPr>
        <w:t>779</w:t>
      </w:r>
      <w:r w:rsidRPr="00DD3FBE">
        <w:rPr>
          <w:vanish/>
          <w:lang w:val="bg-BG"/>
        </w:rPr>
        <w:t>.</w:t>
      </w:r>
      <w:bookmarkEnd w:id="5"/>
      <w:r w:rsidR="0053290C">
        <w:rPr>
          <w:vanish/>
          <w:lang w:val="en-GB"/>
        </w:rPr>
        <w:t>115</w:t>
      </w:r>
    </w:p>
    <w:p w14:paraId="0BBFC59A" w14:textId="3A8729AE" w:rsidR="00DD3FBE" w:rsidRPr="00100705" w:rsidRDefault="00DD3FBE" w:rsidP="00DD3FBE">
      <w:pPr>
        <w:pStyle w:val="ATHeading3"/>
        <w:rPr>
          <w:lang w:val="bg-BG"/>
        </w:rPr>
      </w:pPr>
      <w:bookmarkStart w:id="6" w:name="Sujet"/>
      <w:r>
        <w:rPr>
          <w:lang w:val="bg-BG"/>
        </w:rPr>
        <w:t>Законодателна резол</w:t>
      </w:r>
      <w:r w:rsidR="008C2416">
        <w:rPr>
          <w:lang w:val="bg-BG"/>
        </w:rPr>
        <w:t>ю</w:t>
      </w:r>
      <w:r>
        <w:rPr>
          <w:lang w:val="bg-BG"/>
        </w:rPr>
        <w:t xml:space="preserve">ция на </w:t>
      </w:r>
      <w:r w:rsidRPr="00DD3FBE">
        <w:rPr>
          <w:snapToGrid w:val="0"/>
          <w:szCs w:val="24"/>
          <w:lang w:val="bg-BG"/>
        </w:rPr>
        <w:t xml:space="preserve">Европейския парламент </w:t>
      </w:r>
      <w:r>
        <w:rPr>
          <w:lang w:val="bg-BG"/>
        </w:rPr>
        <w:t xml:space="preserve">от </w:t>
      </w:r>
      <w:r w:rsidR="0046121A">
        <w:rPr>
          <w:lang w:val="bg-BG"/>
        </w:rPr>
        <w:t>23</w:t>
      </w:r>
      <w:r w:rsidRPr="00100705">
        <w:rPr>
          <w:lang w:val="bg-BG"/>
        </w:rPr>
        <w:t xml:space="preserve"> </w:t>
      </w:r>
      <w:r w:rsidR="0046121A">
        <w:rPr>
          <w:lang w:val="bg-BG"/>
        </w:rPr>
        <w:t>октомври</w:t>
      </w:r>
      <w:r w:rsidRPr="00100705">
        <w:rPr>
          <w:lang w:val="bg-BG"/>
        </w:rPr>
        <w:t xml:space="preserve"> 2025</w:t>
      </w:r>
      <w:r>
        <w:rPr>
          <w:lang w:val="bg-BG"/>
        </w:rPr>
        <w:t> г.</w:t>
      </w:r>
      <w:r w:rsidRPr="00100705">
        <w:rPr>
          <w:lang w:val="bg-BG"/>
        </w:rPr>
        <w:t xml:space="preserve"> </w:t>
      </w:r>
      <w:r>
        <w:rPr>
          <w:lang w:val="bg-BG"/>
        </w:rPr>
        <w:t xml:space="preserve">относно предложението за </w:t>
      </w:r>
      <w:r w:rsidR="0046121A">
        <w:rPr>
          <w:lang w:val="bg-BG"/>
        </w:rPr>
        <w:t>регламент</w:t>
      </w:r>
      <w:r>
        <w:rPr>
          <w:lang w:val="bg-BG"/>
        </w:rPr>
        <w:t xml:space="preserve"> на</w:t>
      </w:r>
      <w:r w:rsidRPr="00DD3FBE">
        <w:rPr>
          <w:snapToGrid w:val="0"/>
          <w:szCs w:val="24"/>
          <w:lang w:val="bg-BG"/>
        </w:rPr>
        <w:t xml:space="preserve"> Европейския парламент и на Съвета </w:t>
      </w:r>
      <w:bookmarkStart w:id="7" w:name="References"/>
      <w:bookmarkEnd w:id="6"/>
      <w:r w:rsidR="0046121A" w:rsidRPr="0046121A">
        <w:rPr>
          <w:rFonts w:eastAsia="Calibri"/>
          <w:bCs/>
          <w:szCs w:val="22"/>
          <w:lang w:eastAsia="en-US"/>
        </w:rPr>
        <w:t>за изменение на Регламент (ЕС) 2024/2865 по отношение на датите на прилагане и преходните разпоредби</w:t>
      </w:r>
      <w:r w:rsidR="0046121A">
        <w:rPr>
          <w:rFonts w:eastAsia="Calibri"/>
          <w:bCs/>
          <w:szCs w:val="22"/>
          <w:lang w:val="bg-BG" w:eastAsia="en-US"/>
        </w:rPr>
        <w:t xml:space="preserve"> </w:t>
      </w:r>
      <w:r w:rsidR="0046121A" w:rsidRPr="004F0BE8">
        <w:rPr>
          <w:lang w:val="en-GB"/>
        </w:rPr>
        <w:t>(</w:t>
      </w:r>
      <w:r w:rsidR="0046121A">
        <w:rPr>
          <w:lang w:val="en-GB"/>
        </w:rPr>
        <w:t xml:space="preserve">COM(2025)0526 – C10-0142/2025 – </w:t>
      </w:r>
      <w:r w:rsidR="0046121A" w:rsidRPr="004F0BE8">
        <w:rPr>
          <w:lang w:val="en-GB"/>
        </w:rPr>
        <w:t>2025/0526(COD))</w:t>
      </w:r>
    </w:p>
    <w:p w14:paraId="570C5439" w14:textId="77777777" w:rsidR="00DD3FBE" w:rsidRDefault="00DD3FBE" w:rsidP="00EE1AE3">
      <w:pPr>
        <w:pStyle w:val="Normal12"/>
        <w:spacing w:before="240"/>
        <w:rPr>
          <w:b/>
          <w:snapToGrid/>
          <w:lang w:val="bg-BG"/>
        </w:rPr>
      </w:pPr>
      <w:bookmarkStart w:id="8" w:name="TextBodyBegin"/>
      <w:bookmarkEnd w:id="7"/>
      <w:bookmarkEnd w:id="8"/>
      <w:r w:rsidRPr="00DD3FBE">
        <w:rPr>
          <w:b/>
          <w:snapToGrid/>
          <w:lang w:val="bg-BG"/>
        </w:rPr>
        <w:t>(Обикновена законодателна процедура: първо четене)</w:t>
      </w:r>
    </w:p>
    <w:p w14:paraId="0F080027" w14:textId="77777777" w:rsidR="006E5420" w:rsidRPr="00DD3FBE" w:rsidRDefault="00DD3FBE" w:rsidP="00DD3FBE">
      <w:pPr>
        <w:pStyle w:val="Normal12"/>
        <w:spacing w:before="360"/>
        <w:rPr>
          <w:i/>
          <w:szCs w:val="24"/>
          <w:lang w:val="bg-BG"/>
        </w:rPr>
      </w:pPr>
      <w:r w:rsidRPr="00DD3FBE">
        <w:rPr>
          <w:i/>
          <w:szCs w:val="24"/>
          <w:lang w:val="bg-BG"/>
        </w:rPr>
        <w:t>Европейският парламент,</w:t>
      </w:r>
    </w:p>
    <w:p w14:paraId="40FA8BCB" w14:textId="759CC31F" w:rsidR="00DD3FBE" w:rsidRPr="006B3F43" w:rsidRDefault="00DD3FBE" w:rsidP="00DD3FBE">
      <w:pPr>
        <w:pStyle w:val="NormalHanging12a"/>
        <w:widowControl/>
      </w:pPr>
      <w:r w:rsidRPr="006B3F43">
        <w:t>–</w:t>
      </w:r>
      <w:r w:rsidRPr="006B3F43">
        <w:tab/>
        <w:t>като взе предвид предложението на Комисията до Парламента и до Съвета (</w:t>
      </w:r>
      <w:r w:rsidRPr="00DD3FBE">
        <w:rPr>
          <w:lang w:val="fr-FR"/>
        </w:rPr>
        <w:t>COM</w:t>
      </w:r>
      <w:r w:rsidRPr="00100705">
        <w:t>(2025)0</w:t>
      </w:r>
      <w:r w:rsidR="0046121A">
        <w:t>52</w:t>
      </w:r>
      <w:r w:rsidRPr="00100705">
        <w:t>6</w:t>
      </w:r>
      <w:r w:rsidRPr="006B3F43">
        <w:t>),</w:t>
      </w:r>
    </w:p>
    <w:p w14:paraId="66D1CA5A" w14:textId="6DF834CB" w:rsidR="00DD3FBE" w:rsidRPr="006B3F43" w:rsidRDefault="00DD3FBE" w:rsidP="00DD3FBE">
      <w:pPr>
        <w:pStyle w:val="NormalHanging12a"/>
        <w:widowControl/>
      </w:pPr>
      <w:r w:rsidRPr="006B3F43">
        <w:t>–</w:t>
      </w:r>
      <w:r w:rsidRPr="006B3F43">
        <w:tab/>
        <w:t>като взе предвид член 294, параграф 2 и член 1</w:t>
      </w:r>
      <w:r w:rsidR="0046121A">
        <w:t>14</w:t>
      </w:r>
      <w:r w:rsidRPr="006B3F43">
        <w:t xml:space="preserve"> от Договора за функционирането на Европейския съюз, съгласно които Комисията е внесла предложението в Парламента (</w:t>
      </w:r>
      <w:r w:rsidR="0046121A" w:rsidRPr="00AD7070">
        <w:t>C10-01</w:t>
      </w:r>
      <w:r w:rsidR="0046121A">
        <w:t>42</w:t>
      </w:r>
      <w:r w:rsidR="0046121A" w:rsidRPr="00AD7070">
        <w:t>/2025</w:t>
      </w:r>
      <w:r w:rsidRPr="006B3F43">
        <w:t>),</w:t>
      </w:r>
    </w:p>
    <w:p w14:paraId="194CD635" w14:textId="77777777" w:rsidR="00DD3FBE" w:rsidRPr="006B3F43" w:rsidRDefault="00DD3FBE" w:rsidP="00DD3FBE">
      <w:pPr>
        <w:pStyle w:val="NormalHanging12a"/>
        <w:widowControl/>
      </w:pPr>
      <w:r w:rsidRPr="006B3F43">
        <w:t>–</w:t>
      </w:r>
      <w:r w:rsidRPr="006B3F43">
        <w:tab/>
        <w:t>като взе предвид член 294, параграф 3 от Договора за функционирането на Европейския съюз,</w:t>
      </w:r>
    </w:p>
    <w:p w14:paraId="33C27E3B" w14:textId="2C17C8D2" w:rsidR="00DD3FBE" w:rsidRDefault="00DD3FBE" w:rsidP="00DD3FBE">
      <w:pPr>
        <w:pStyle w:val="NormalHanging12a"/>
        <w:widowControl/>
      </w:pPr>
      <w:r w:rsidRPr="006B3F43">
        <w:t>–</w:t>
      </w:r>
      <w:r w:rsidRPr="006B3F43">
        <w:tab/>
        <w:t xml:space="preserve">като все предвид становището на Европейския икономически и социален комитет от </w:t>
      </w:r>
      <w:r w:rsidR="0046121A">
        <w:t>23</w:t>
      </w:r>
      <w:r>
        <w:t xml:space="preserve"> </w:t>
      </w:r>
      <w:r w:rsidR="0046121A">
        <w:t>октомври</w:t>
      </w:r>
      <w:r>
        <w:t xml:space="preserve"> 2025</w:t>
      </w:r>
      <w:r w:rsidRPr="006B3F43">
        <w:t> г.</w:t>
      </w:r>
      <w:r w:rsidRPr="006B3F43">
        <w:rPr>
          <w:rStyle w:val="FootnoteReference"/>
        </w:rPr>
        <w:footnoteReference w:id="1"/>
      </w:r>
      <w:r w:rsidRPr="006B3F43">
        <w:t>,</w:t>
      </w:r>
    </w:p>
    <w:p w14:paraId="63CEEE92" w14:textId="77777777" w:rsidR="00DD3FBE" w:rsidRPr="006B3F43" w:rsidRDefault="00DD3FBE" w:rsidP="00DD3FBE">
      <w:pPr>
        <w:pStyle w:val="Normal12"/>
        <w:rPr>
          <w:lang w:val="bg-BG"/>
        </w:rPr>
      </w:pPr>
      <w:r w:rsidRPr="006B3F43">
        <w:rPr>
          <w:lang w:val="bg-BG"/>
        </w:rPr>
        <w:t>–</w:t>
      </w:r>
      <w:r w:rsidRPr="006B3F43">
        <w:rPr>
          <w:lang w:val="bg-BG"/>
        </w:rPr>
        <w:tab/>
        <w:t>като взе предвид членове 60 и 170 от своя Правилник за дейността,</w:t>
      </w:r>
    </w:p>
    <w:p w14:paraId="14A33BAC" w14:textId="0A207815" w:rsidR="00DD3FBE" w:rsidRPr="006B3F43" w:rsidRDefault="00DD3FBE" w:rsidP="00DD3FBE">
      <w:pPr>
        <w:pStyle w:val="NormalHanging12a"/>
        <w:widowControl/>
      </w:pPr>
      <w:r w:rsidRPr="006B3F43">
        <w:t>1.</w:t>
      </w:r>
      <w:r w:rsidRPr="006B3F43">
        <w:tab/>
        <w:t>приема изложената по-долу позиция на първо четене;</w:t>
      </w:r>
    </w:p>
    <w:p w14:paraId="5534E6C9" w14:textId="77777777" w:rsidR="00DD3FBE" w:rsidRPr="006B3F43" w:rsidRDefault="00DD3FBE" w:rsidP="00DD3FBE">
      <w:pPr>
        <w:pStyle w:val="NormalHanging12a"/>
        <w:widowControl/>
      </w:pPr>
      <w:r>
        <w:t>2</w:t>
      </w:r>
      <w:r w:rsidRPr="006B3F43">
        <w:t>.</w:t>
      </w:r>
      <w:r w:rsidRPr="006B3F43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14:paraId="69869ACA" w14:textId="77777777" w:rsidR="00DD3FBE" w:rsidRPr="006B3F43" w:rsidRDefault="00DD3FBE" w:rsidP="00DD3FBE">
      <w:pPr>
        <w:pStyle w:val="NormalHanging12a"/>
        <w:widowControl/>
      </w:pPr>
      <w:r>
        <w:lastRenderedPageBreak/>
        <w:t>3</w:t>
      </w:r>
      <w:r w:rsidRPr="006B3F43">
        <w:t>.</w:t>
      </w:r>
      <w:r w:rsidRPr="006B3F43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54FF08F2" w14:textId="77777777" w:rsidR="00100705" w:rsidRDefault="00100705">
      <w:pPr>
        <w:rPr>
          <w:szCs w:val="24"/>
          <w:lang w:val="bg-BG"/>
        </w:rPr>
        <w:sectPr w:rsidR="0010070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49A59F2" w14:textId="77777777" w:rsidR="0046121A" w:rsidRPr="006F07DE" w:rsidRDefault="0046121A" w:rsidP="0046121A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en-GB"/>
        </w:rPr>
      </w:pPr>
      <w:r w:rsidRPr="006F07DE">
        <w:rPr>
          <w:b/>
          <w:bCs/>
          <w:color w:val="000000"/>
          <w:lang w:val="en-GB"/>
        </w:rPr>
        <w:lastRenderedPageBreak/>
        <w:t>P10_TC1-</w:t>
      </w:r>
      <w:proofErr w:type="gramStart"/>
      <w:r w:rsidRPr="006F07DE">
        <w:rPr>
          <w:b/>
          <w:bCs/>
          <w:color w:val="000000"/>
          <w:lang w:val="en-GB"/>
        </w:rPr>
        <w:t>COD(</w:t>
      </w:r>
      <w:proofErr w:type="gramEnd"/>
      <w:r w:rsidRPr="006F07DE">
        <w:rPr>
          <w:b/>
          <w:bCs/>
          <w:color w:val="000000"/>
          <w:lang w:val="en-GB"/>
        </w:rPr>
        <w:t>2025)0526</w:t>
      </w:r>
    </w:p>
    <w:p w14:paraId="5CC3545C" w14:textId="5E352BB2" w:rsidR="0046121A" w:rsidRPr="0046121A" w:rsidRDefault="00DD3FBE" w:rsidP="0046121A">
      <w:pPr>
        <w:pStyle w:val="Normal12"/>
        <w:rPr>
          <w:rFonts w:eastAsia="Calibri"/>
          <w:b/>
          <w:noProof/>
          <w:szCs w:val="22"/>
          <w:lang w:val="bg-BG" w:eastAsia="en-US"/>
        </w:rPr>
      </w:pPr>
      <w:r w:rsidRPr="00DD3FBE">
        <w:rPr>
          <w:b/>
          <w:szCs w:val="24"/>
          <w:lang w:val="bg-BG"/>
        </w:rPr>
        <w:t xml:space="preserve">Позиция на Европейския парламент, приета на първо четене на </w:t>
      </w:r>
      <w:r w:rsidR="0046121A">
        <w:rPr>
          <w:b/>
          <w:szCs w:val="24"/>
          <w:lang w:val="bg-BG"/>
        </w:rPr>
        <w:t>23</w:t>
      </w:r>
      <w:r>
        <w:rPr>
          <w:b/>
          <w:szCs w:val="24"/>
          <w:lang w:val="bg-BG"/>
        </w:rPr>
        <w:t xml:space="preserve"> </w:t>
      </w:r>
      <w:r w:rsidR="0046121A">
        <w:rPr>
          <w:b/>
          <w:szCs w:val="24"/>
          <w:lang w:val="bg-BG"/>
        </w:rPr>
        <w:t>октомври</w:t>
      </w:r>
      <w:r>
        <w:rPr>
          <w:b/>
          <w:szCs w:val="24"/>
          <w:lang w:val="bg-BG"/>
        </w:rPr>
        <w:t xml:space="preserve"> 2025</w:t>
      </w:r>
      <w:r w:rsidRPr="00DD3FBE">
        <w:rPr>
          <w:b/>
          <w:szCs w:val="24"/>
          <w:lang w:val="bg-BG"/>
        </w:rPr>
        <w:t xml:space="preserve"> г. с оглед на приемането на </w:t>
      </w:r>
      <w:r w:rsidR="0046121A">
        <w:rPr>
          <w:b/>
          <w:szCs w:val="24"/>
          <w:lang w:val="bg-BG"/>
        </w:rPr>
        <w:t>Регламент</w:t>
      </w:r>
      <w:r>
        <w:rPr>
          <w:b/>
          <w:szCs w:val="24"/>
          <w:lang w:val="bg-BG"/>
        </w:rPr>
        <w:t xml:space="preserve"> (ЕС) 2025</w:t>
      </w:r>
      <w:r w:rsidRPr="00DD3FBE">
        <w:rPr>
          <w:b/>
          <w:szCs w:val="24"/>
          <w:lang w:val="bg-BG"/>
        </w:rPr>
        <w:t xml:space="preserve">/... на Европейския парламент и на Съвета </w:t>
      </w:r>
      <w:r w:rsidR="0046121A" w:rsidRPr="0046121A">
        <w:rPr>
          <w:rFonts w:eastAsia="Calibri"/>
          <w:b/>
          <w:noProof/>
          <w:color w:val="000000"/>
          <w:szCs w:val="22"/>
          <w:lang w:val="bg-BG" w:eastAsia="en-US"/>
        </w:rPr>
        <w:t xml:space="preserve">за изменение на Регламент (ЕС) 2024/2865 по отношение на датите на прилагане и преходните разпоредби </w:t>
      </w:r>
    </w:p>
    <w:p w14:paraId="23673287" w14:textId="3EED2F9B" w:rsidR="00EE1AE3" w:rsidRDefault="00EE1AE3" w:rsidP="00EE1AE3">
      <w:pPr>
        <w:spacing w:before="240"/>
        <w:rPr>
          <w:i/>
          <w:lang w:val="bg-BG"/>
        </w:rPr>
      </w:pPr>
      <w:r>
        <w:rPr>
          <w:i/>
          <w:lang w:val="bg-BG"/>
        </w:rPr>
        <w:t>(</w:t>
      </w:r>
      <w:r w:rsidRPr="008B1D89">
        <w:rPr>
          <w:i/>
          <w:lang w:val="bg-BG"/>
        </w:rPr>
        <w:t xml:space="preserve">Тъй като беше </w:t>
      </w:r>
      <w:r w:rsidRPr="00EE1AE3">
        <w:rPr>
          <w:i/>
          <w:lang w:val="bg-BG"/>
        </w:rPr>
        <w:t xml:space="preserve">постигнато споразумение между Парламента и Съвета, позицията на Парламента съответства на окончателния законодателен акт, Регламент (ЕС) </w:t>
      </w:r>
      <w:r w:rsidRPr="00EE1AE3">
        <w:rPr>
          <w:i/>
        </w:rPr>
        <w:t>202</w:t>
      </w:r>
      <w:r w:rsidRPr="00EE1AE3">
        <w:rPr>
          <w:i/>
          <w:lang w:val="bg-BG"/>
        </w:rPr>
        <w:t>5/</w:t>
      </w:r>
      <w:r w:rsidRPr="00EE1AE3">
        <w:rPr>
          <w:i/>
          <w:lang w:val="en-GB"/>
        </w:rPr>
        <w:t>2439</w:t>
      </w:r>
      <w:r w:rsidRPr="00EE1AE3">
        <w:rPr>
          <w:i/>
          <w:lang w:val="bg-BG"/>
        </w:rPr>
        <w:t>.)</w:t>
      </w:r>
    </w:p>
    <w:p w14:paraId="19A1AF5C" w14:textId="36ACEF5A" w:rsidR="0046121A" w:rsidRPr="00DD3FBE" w:rsidRDefault="0046121A" w:rsidP="00EE1AE3">
      <w:pPr>
        <w:pStyle w:val="Normal12"/>
        <w:rPr>
          <w:szCs w:val="24"/>
          <w:lang w:val="bg-BG"/>
        </w:rPr>
      </w:pPr>
    </w:p>
    <w:sectPr w:rsidR="0046121A" w:rsidRPr="00DD3FBE" w:rsidSect="00100705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355FE" w14:textId="77777777" w:rsidR="00DD3FBE" w:rsidRDefault="00DD3FBE" w:rsidP="009C4014">
      <w:r>
        <w:separator/>
      </w:r>
    </w:p>
  </w:endnote>
  <w:endnote w:type="continuationSeparator" w:id="0">
    <w:p w14:paraId="6EF6EF78" w14:textId="77777777" w:rsidR="00DD3FBE" w:rsidRDefault="00DD3FB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C357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3AC72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0AD3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9D40" w14:textId="77777777" w:rsidR="00DD3FBE" w:rsidRDefault="00DD3FBE" w:rsidP="009C4014">
      <w:r>
        <w:separator/>
      </w:r>
    </w:p>
  </w:footnote>
  <w:footnote w:type="continuationSeparator" w:id="0">
    <w:p w14:paraId="3B4A54AE" w14:textId="77777777" w:rsidR="00DD3FBE" w:rsidRDefault="00DD3FBE" w:rsidP="009C4014">
      <w:r>
        <w:continuationSeparator/>
      </w:r>
    </w:p>
  </w:footnote>
  <w:footnote w:id="1">
    <w:p w14:paraId="36C7AE88" w14:textId="77777777" w:rsidR="00DD3FBE" w:rsidRPr="008008B5" w:rsidRDefault="00DD3FBE" w:rsidP="00DD3FBE">
      <w:pPr>
        <w:pStyle w:val="FootnoteText"/>
        <w:ind w:left="567" w:hanging="567"/>
        <w:rPr>
          <w:sz w:val="24"/>
          <w:szCs w:val="24"/>
          <w:lang w:val="bg-BG"/>
        </w:rPr>
      </w:pPr>
      <w:r w:rsidRPr="008008B5">
        <w:rPr>
          <w:rStyle w:val="FootnoteReference"/>
          <w:sz w:val="24"/>
          <w:szCs w:val="24"/>
        </w:rPr>
        <w:footnoteRef/>
      </w:r>
      <w:r w:rsidRPr="008008B5">
        <w:rPr>
          <w:sz w:val="24"/>
          <w:szCs w:val="24"/>
        </w:rPr>
        <w:t xml:space="preserve"> </w:t>
      </w:r>
      <w:r w:rsidRPr="008008B5">
        <w:rPr>
          <w:sz w:val="24"/>
          <w:szCs w:val="24"/>
          <w:lang w:val="bg-BG"/>
        </w:rPr>
        <w:tab/>
        <w:t xml:space="preserve">Все още непубликувано в Официален вестник.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338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34D3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8A0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05644946">
    <w:abstractNumId w:val="3"/>
  </w:num>
  <w:num w:numId="2" w16cid:durableId="252010025">
    <w:abstractNumId w:val="2"/>
  </w:num>
  <w:num w:numId="3" w16cid:durableId="440031370">
    <w:abstractNumId w:val="1"/>
  </w:num>
  <w:num w:numId="4" w16cid:durableId="1872112510">
    <w:abstractNumId w:val="0"/>
  </w:num>
  <w:num w:numId="5" w16cid:durableId="1891531860">
    <w:abstractNumId w:val="6"/>
  </w:num>
  <w:num w:numId="6" w16cid:durableId="427384447">
    <w:abstractNumId w:val="5"/>
  </w:num>
  <w:num w:numId="7" w16cid:durableId="1353722553">
    <w:abstractNumId w:val="4"/>
  </w:num>
  <w:num w:numId="8" w16cid:durableId="869532801">
    <w:abstractNumId w:val="7"/>
  </w:num>
  <w:num w:numId="9" w16cid:durableId="10411719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FBE"/>
    <w:rsid w:val="00013B2A"/>
    <w:rsid w:val="000C2BFE"/>
    <w:rsid w:val="000F27A9"/>
    <w:rsid w:val="000F6208"/>
    <w:rsid w:val="00100705"/>
    <w:rsid w:val="00125CBC"/>
    <w:rsid w:val="00172070"/>
    <w:rsid w:val="00185E15"/>
    <w:rsid w:val="001A201D"/>
    <w:rsid w:val="001C68C2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C3D97"/>
    <w:rsid w:val="003C71AD"/>
    <w:rsid w:val="003E1189"/>
    <w:rsid w:val="003F4DFE"/>
    <w:rsid w:val="00425111"/>
    <w:rsid w:val="00451C48"/>
    <w:rsid w:val="0046121A"/>
    <w:rsid w:val="0047030E"/>
    <w:rsid w:val="004E6A17"/>
    <w:rsid w:val="004F2EA7"/>
    <w:rsid w:val="00520780"/>
    <w:rsid w:val="00525ED0"/>
    <w:rsid w:val="0053290C"/>
    <w:rsid w:val="00534CAB"/>
    <w:rsid w:val="00547BB1"/>
    <w:rsid w:val="00591365"/>
    <w:rsid w:val="005A2421"/>
    <w:rsid w:val="005B23C9"/>
    <w:rsid w:val="005B292E"/>
    <w:rsid w:val="005C3822"/>
    <w:rsid w:val="005E441B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C2416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365F7"/>
    <w:rsid w:val="00B54C72"/>
    <w:rsid w:val="00B85C1E"/>
    <w:rsid w:val="00C15516"/>
    <w:rsid w:val="00C16C81"/>
    <w:rsid w:val="00C55648"/>
    <w:rsid w:val="00C57739"/>
    <w:rsid w:val="00C65BE8"/>
    <w:rsid w:val="00CB451F"/>
    <w:rsid w:val="00CC4897"/>
    <w:rsid w:val="00D149DB"/>
    <w:rsid w:val="00D202A4"/>
    <w:rsid w:val="00D91669"/>
    <w:rsid w:val="00DD3FBE"/>
    <w:rsid w:val="00DF097A"/>
    <w:rsid w:val="00DF53A8"/>
    <w:rsid w:val="00E039BF"/>
    <w:rsid w:val="00E11822"/>
    <w:rsid w:val="00E73B02"/>
    <w:rsid w:val="00E74BF3"/>
    <w:rsid w:val="00E86B92"/>
    <w:rsid w:val="00EE1AE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11471B"/>
  <w15:chartTrackingRefBased/>
  <w15:docId w15:val="{18D15CD5-0D93-4553-BF19-283DCE552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DD3FBE"/>
    <w:rPr>
      <w:sz w:val="22"/>
      <w:lang w:val="fr-FR"/>
    </w:rPr>
  </w:style>
  <w:style w:type="paragraph" w:customStyle="1" w:styleId="NormalHanging12a">
    <w:name w:val="NormalHanging12a"/>
    <w:basedOn w:val="Normal"/>
    <w:rsid w:val="00DD3FBE"/>
    <w:pPr>
      <w:widowControl w:val="0"/>
      <w:spacing w:after="240"/>
      <w:ind w:left="567" w:hanging="567"/>
    </w:pPr>
    <w:rPr>
      <w:lang w:val="bg-BG"/>
    </w:rPr>
  </w:style>
  <w:style w:type="character" w:styleId="Hyperlink">
    <w:name w:val="Hyperlink"/>
    <w:uiPriority w:val="99"/>
    <w:rsid w:val="00DD3FBE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D3F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3FBE"/>
    <w:rPr>
      <w:rFonts w:ascii="Segoe UI" w:hAnsi="Segoe UI" w:cs="Segoe UI"/>
      <w:sz w:val="18"/>
      <w:szCs w:val="18"/>
      <w:lang w:val="fr-FR"/>
    </w:rPr>
  </w:style>
  <w:style w:type="paragraph" w:styleId="Revision">
    <w:name w:val="Revision"/>
    <w:hidden/>
    <w:uiPriority w:val="99"/>
    <w:semiHidden/>
    <w:rsid w:val="0046121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3AAA4-1692-4376-ACA0-1AC45A0DA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260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Maria Minkova</dc:creator>
  <cp:keywords/>
  <cp:lastModifiedBy>MINKOVA Maria</cp:lastModifiedBy>
  <cp:revision>2</cp:revision>
  <cp:lastPrinted>2014-08-07T13:15:00Z</cp:lastPrinted>
  <dcterms:created xsi:type="dcterms:W3CDTF">2026-01-07T11:40:00Z</dcterms:created>
  <dcterms:modified xsi:type="dcterms:W3CDTF">2026-01-07T11:40:00Z</dcterms:modified>
</cp:coreProperties>
</file>