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33BD5" w14:paraId="5CF32FB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7E4BF81" w14:textId="77777777" w:rsidR="00751A4A" w:rsidRPr="00D33BD5" w:rsidRDefault="00DA3554" w:rsidP="0010095E">
            <w:pPr>
              <w:pStyle w:val="EPName"/>
            </w:pPr>
            <w:r w:rsidRPr="00D33BD5">
              <w:t>Euroopa Parlament</w:t>
            </w:r>
          </w:p>
          <w:p w14:paraId="3D9380EB" w14:textId="77777777" w:rsidR="00751A4A" w:rsidRPr="00D33BD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33BD5">
              <w:t>2024</w:t>
            </w:r>
            <w:r w:rsidR="00817416" w:rsidRPr="00D33BD5">
              <w:t>-202</w:t>
            </w:r>
            <w:r w:rsidRPr="00D33BD5">
              <w:t>9</w:t>
            </w:r>
          </w:p>
        </w:tc>
        <w:tc>
          <w:tcPr>
            <w:tcW w:w="2268" w:type="dxa"/>
            <w:shd w:val="clear" w:color="auto" w:fill="auto"/>
          </w:tcPr>
          <w:p w14:paraId="5EC59508" w14:textId="77777777" w:rsidR="00751A4A" w:rsidRPr="00D33BD5" w:rsidRDefault="00187494" w:rsidP="0010095E">
            <w:pPr>
              <w:pStyle w:val="EPLogo"/>
            </w:pPr>
            <w:r w:rsidRPr="00D33BD5">
              <w:rPr>
                <w:noProof/>
                <w:lang w:eastAsia="ja-JP"/>
              </w:rPr>
              <w:drawing>
                <wp:inline distT="0" distB="0" distL="0" distR="0" wp14:anchorId="41608591" wp14:editId="2EF0D34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986B1" w14:textId="77777777" w:rsidR="00D058B8" w:rsidRPr="00D33BD5" w:rsidRDefault="00D058B8" w:rsidP="004C5D52">
      <w:pPr>
        <w:pStyle w:val="LineTop"/>
      </w:pPr>
    </w:p>
    <w:p w14:paraId="69313BFE" w14:textId="77777777" w:rsidR="00680577" w:rsidRPr="00D33BD5" w:rsidRDefault="00DA3554" w:rsidP="00680577">
      <w:pPr>
        <w:pStyle w:val="EPBodyTA1"/>
      </w:pPr>
      <w:r w:rsidRPr="00D33BD5">
        <w:t>VASTUVÕETUD TEKSTID</w:t>
      </w:r>
    </w:p>
    <w:p w14:paraId="20D77DAE" w14:textId="77777777" w:rsidR="00D058B8" w:rsidRPr="00D33BD5" w:rsidRDefault="00D058B8" w:rsidP="00D058B8">
      <w:pPr>
        <w:pStyle w:val="LineBottom"/>
      </w:pPr>
    </w:p>
    <w:p w14:paraId="05FD401A" w14:textId="4A8FD297" w:rsidR="00DA3554" w:rsidRPr="00D33BD5" w:rsidRDefault="00DA3554" w:rsidP="00DA3554">
      <w:pPr>
        <w:pStyle w:val="ATHeading1"/>
      </w:pPr>
      <w:bookmarkStart w:id="0" w:name="TANumber"/>
      <w:r w:rsidRPr="00D33BD5">
        <w:t>P10_TA(2025)0</w:t>
      </w:r>
      <w:r w:rsidR="00270F63" w:rsidRPr="00D33BD5">
        <w:t>251</w:t>
      </w:r>
      <w:bookmarkEnd w:id="0"/>
    </w:p>
    <w:p w14:paraId="5F90C849" w14:textId="61091E45" w:rsidR="00DA3554" w:rsidRPr="00D33BD5" w:rsidRDefault="00DA3554" w:rsidP="00DA3554">
      <w:pPr>
        <w:pStyle w:val="ATHeading2"/>
      </w:pPr>
      <w:bookmarkStart w:id="1" w:name="title"/>
      <w:r w:rsidRPr="00D33BD5">
        <w:t>Mullaseire ja mulla vastupidavus (mullaseire direktiiv)</w:t>
      </w:r>
      <w:bookmarkEnd w:id="1"/>
    </w:p>
    <w:p w14:paraId="5060841E" w14:textId="77777777" w:rsidR="00DA3554" w:rsidRPr="00D33BD5" w:rsidRDefault="00DA3554" w:rsidP="00DA3554">
      <w:pPr>
        <w:rPr>
          <w:i/>
          <w:vanish/>
        </w:rPr>
      </w:pPr>
      <w:r w:rsidRPr="00D33BD5">
        <w:rPr>
          <w:i/>
        </w:rPr>
        <w:fldChar w:fldCharType="begin"/>
      </w:r>
      <w:r w:rsidRPr="00D33BD5">
        <w:rPr>
          <w:i/>
        </w:rPr>
        <w:instrText xml:space="preserve"> TC"(</w:instrText>
      </w:r>
      <w:bookmarkStart w:id="2" w:name="DocNumber"/>
      <w:r w:rsidRPr="00D33BD5">
        <w:rPr>
          <w:i/>
        </w:rPr>
        <w:instrText>A10-0204/2025</w:instrText>
      </w:r>
      <w:bookmarkEnd w:id="2"/>
      <w:r w:rsidRPr="00D33BD5">
        <w:rPr>
          <w:i/>
        </w:rPr>
        <w:instrText xml:space="preserve"> - Raportöör: Martin Hojsík)"\l3 \n&gt; \* MERGEFORMAT </w:instrText>
      </w:r>
      <w:r w:rsidRPr="00D33BD5">
        <w:rPr>
          <w:i/>
        </w:rPr>
        <w:fldChar w:fldCharType="end"/>
      </w:r>
    </w:p>
    <w:p w14:paraId="21B94672" w14:textId="77777777" w:rsidR="00DA3554" w:rsidRPr="00D33BD5" w:rsidRDefault="00DA3554" w:rsidP="00DA3554">
      <w:pPr>
        <w:rPr>
          <w:vanish/>
        </w:rPr>
      </w:pPr>
      <w:bookmarkStart w:id="3" w:name="Commission"/>
      <w:r w:rsidRPr="00D33BD5">
        <w:rPr>
          <w:vanish/>
        </w:rPr>
        <w:t>Keskkonna-, kliima- ja toiduohutuse komisjon</w:t>
      </w:r>
      <w:bookmarkEnd w:id="3"/>
    </w:p>
    <w:p w14:paraId="5BD04B32" w14:textId="77777777" w:rsidR="00DA3554" w:rsidRPr="00D33BD5" w:rsidRDefault="00DA3554" w:rsidP="00DA3554">
      <w:pPr>
        <w:rPr>
          <w:vanish/>
        </w:rPr>
      </w:pPr>
      <w:bookmarkStart w:id="4" w:name="PE"/>
      <w:r w:rsidRPr="00D33BD5">
        <w:rPr>
          <w:vanish/>
        </w:rPr>
        <w:t>PE778.280</w:t>
      </w:r>
      <w:bookmarkEnd w:id="4"/>
    </w:p>
    <w:p w14:paraId="60E19773" w14:textId="58468489" w:rsidR="00DA3554" w:rsidRPr="00D33BD5" w:rsidRDefault="00DA3554" w:rsidP="00DA3554">
      <w:pPr>
        <w:pStyle w:val="ATHeading3"/>
      </w:pPr>
      <w:bookmarkStart w:id="5" w:name="Sujet"/>
      <w:r w:rsidRPr="00D33BD5">
        <w:t xml:space="preserve">Euroopa Parlamendi </w:t>
      </w:r>
      <w:r w:rsidR="008E4805" w:rsidRPr="00D33BD5">
        <w:t>23</w:t>
      </w:r>
      <w:r w:rsidRPr="00D33BD5">
        <w:t>.</w:t>
      </w:r>
      <w:r w:rsidR="008E4805" w:rsidRPr="00D33BD5">
        <w:t> oktoobri</w:t>
      </w:r>
      <w:r w:rsidRPr="00D33BD5">
        <w:t xml:space="preserve"> 2025.</w:t>
      </w:r>
      <w:r w:rsidR="008E4805" w:rsidRPr="00D33BD5">
        <w:t> </w:t>
      </w:r>
      <w:r w:rsidRPr="00D33BD5">
        <w:t>aasta seadusandlik resolutsioon nõukogu esimese lugemise seisukoha kohta eesmärgiga võtta vastu Euroopa Parlamendi ja nõukogu direktiiv, mis käsitleb mullaseiret ja mulla vastupidavust (mullaseire direktiiv)</w:t>
      </w:r>
      <w:bookmarkEnd w:id="5"/>
      <w:r w:rsidRPr="00D33BD5">
        <w:t xml:space="preserve"> </w:t>
      </w:r>
      <w:bookmarkStart w:id="6" w:name="References"/>
      <w:r w:rsidRPr="00D33BD5">
        <w:t>(09474/1/2025 – C10</w:t>
      </w:r>
      <w:r w:rsidR="008E4805" w:rsidRPr="00D33BD5">
        <w:noBreakHyphen/>
      </w:r>
      <w:r w:rsidRPr="00D33BD5">
        <w:t>0229/2025 – 2023/0232(COD))</w:t>
      </w:r>
      <w:bookmarkEnd w:id="6"/>
    </w:p>
    <w:p w14:paraId="56747FC5" w14:textId="77777777" w:rsidR="00C77B55" w:rsidRPr="00D33BD5" w:rsidRDefault="00C77B55" w:rsidP="00C77B55">
      <w:pPr>
        <w:pStyle w:val="NormalBold"/>
      </w:pPr>
      <w:bookmarkStart w:id="7" w:name="TextBodyBegin"/>
      <w:bookmarkEnd w:id="7"/>
      <w:r w:rsidRPr="00D33BD5">
        <w:t>(Seadusandlik tavamenetlus: teine lugemine)</w:t>
      </w:r>
    </w:p>
    <w:p w14:paraId="4E568002" w14:textId="77777777" w:rsidR="00C77B55" w:rsidRPr="00D33BD5" w:rsidRDefault="00C77B55" w:rsidP="00C77B55">
      <w:pPr>
        <w:pStyle w:val="EPComma"/>
      </w:pPr>
      <w:r w:rsidRPr="00D33BD5">
        <w:rPr>
          <w:i/>
        </w:rPr>
        <w:t>Euroopa Parlament,</w:t>
      </w:r>
    </w:p>
    <w:p w14:paraId="6779A597" w14:textId="77777777" w:rsidR="00C77B55" w:rsidRPr="00D33BD5" w:rsidRDefault="00C77B55" w:rsidP="00C77B55">
      <w:pPr>
        <w:pStyle w:val="NormalHanging12a"/>
      </w:pPr>
      <w:r w:rsidRPr="00D33BD5">
        <w:t>–</w:t>
      </w:r>
      <w:r w:rsidRPr="00D33BD5">
        <w:tab/>
        <w:t>võttes arvesse nõukogu esimese lugemise seisukohta (09474/1/2025 – C10</w:t>
      </w:r>
      <w:r w:rsidRPr="00D33BD5">
        <w:noBreakHyphen/>
        <w:t>0229/2025),</w:t>
      </w:r>
    </w:p>
    <w:p w14:paraId="40D27C07" w14:textId="77777777" w:rsidR="00C77B55" w:rsidRPr="00D33BD5" w:rsidRDefault="00C77B55" w:rsidP="00C77B55">
      <w:pPr>
        <w:pStyle w:val="NormalHanging12a"/>
      </w:pPr>
      <w:r w:rsidRPr="00D33BD5">
        <w:t>–</w:t>
      </w:r>
      <w:r w:rsidRPr="00D33BD5">
        <w:tab/>
        <w:t>võttes arvesse Madalmaade Parlamendi Esimese Koja ja Madalmaade Parlamendi Teise Koja poolt protokolli nr 2 (subsidiaarsuse ja proportsionaalsuse põhimõtte kohaldamise kohta) alusel esitatud põhjendatud arvamust, mille kohaselt seadusandliku akti eelnõu ei vasta subsidiaarsuse põhimõttele,</w:t>
      </w:r>
    </w:p>
    <w:p w14:paraId="65ED0124" w14:textId="77777777" w:rsidR="00C77B55" w:rsidRPr="00D33BD5" w:rsidRDefault="00C77B55" w:rsidP="00C77B55">
      <w:pPr>
        <w:pStyle w:val="NormalHanging12a"/>
      </w:pPr>
      <w:r w:rsidRPr="00D33BD5">
        <w:t>–</w:t>
      </w:r>
      <w:r w:rsidRPr="00D33BD5">
        <w:tab/>
        <w:t>võttes arvesse Euroopa Majandus- ja Sotsiaalkomitee 25. oktoobri 2023. aasta arvamust</w:t>
      </w:r>
      <w:r w:rsidRPr="00D33BD5">
        <w:rPr>
          <w:vertAlign w:val="superscript"/>
        </w:rPr>
        <w:footnoteReference w:id="1"/>
      </w:r>
      <w:r w:rsidRPr="00D33BD5">
        <w:t>,</w:t>
      </w:r>
    </w:p>
    <w:p w14:paraId="5051B1CC" w14:textId="7DCE2EDC" w:rsidR="00C77B55" w:rsidRPr="00D33BD5" w:rsidRDefault="00C77B55" w:rsidP="00C77B55">
      <w:pPr>
        <w:pStyle w:val="NormalHanging12a"/>
      </w:pPr>
      <w:r w:rsidRPr="00D33BD5">
        <w:t>–</w:t>
      </w:r>
      <w:r w:rsidRPr="00D33BD5">
        <w:tab/>
        <w:t>võttes arvesse Regioonide Komitee 19.</w:t>
      </w:r>
      <w:r w:rsidR="008E4805" w:rsidRPr="00D33BD5">
        <w:t> </w:t>
      </w:r>
      <w:r w:rsidRPr="00D33BD5">
        <w:t>juuni 2024. aasta arvamust</w:t>
      </w:r>
      <w:r w:rsidRPr="00D33BD5">
        <w:rPr>
          <w:vertAlign w:val="superscript"/>
        </w:rPr>
        <w:footnoteReference w:id="2"/>
      </w:r>
      <w:r w:rsidRPr="00D33BD5">
        <w:t>,</w:t>
      </w:r>
    </w:p>
    <w:p w14:paraId="691EB247" w14:textId="77777777" w:rsidR="00C77B55" w:rsidRPr="00D33BD5" w:rsidRDefault="00C77B55" w:rsidP="00C77B55">
      <w:pPr>
        <w:pStyle w:val="NormalHanging12a"/>
      </w:pPr>
      <w:r w:rsidRPr="00D33BD5">
        <w:t>–</w:t>
      </w:r>
      <w:r w:rsidRPr="00D33BD5">
        <w:tab/>
        <w:t>võttes arvesse oma esimese lugemise seisukohta</w:t>
      </w:r>
      <w:r w:rsidRPr="00D33BD5">
        <w:rPr>
          <w:rStyle w:val="FootnoteReference"/>
        </w:rPr>
        <w:footnoteReference w:id="3"/>
      </w:r>
      <w:r w:rsidRPr="00D33BD5">
        <w:t xml:space="preserve"> Euroopa Parlamendile ja nõukogule esitatud komisjoni ettepaneku (COM(2023)0416) suhtes,</w:t>
      </w:r>
    </w:p>
    <w:p w14:paraId="59AA3F75" w14:textId="77777777" w:rsidR="00C77B55" w:rsidRPr="00D33BD5" w:rsidRDefault="00C77B55" w:rsidP="00C77B55">
      <w:pPr>
        <w:pStyle w:val="NormalHanging12a"/>
      </w:pPr>
      <w:r w:rsidRPr="00D33BD5">
        <w:t>–</w:t>
      </w:r>
      <w:r w:rsidRPr="00D33BD5">
        <w:tab/>
        <w:t>võttes arvesse Euroopa Liidu toimimise lepingu artikli 294 lõiget 7,</w:t>
      </w:r>
    </w:p>
    <w:p w14:paraId="73515A65" w14:textId="4DE856A9" w:rsidR="00C77B55" w:rsidRPr="00D33BD5" w:rsidRDefault="00C77B55" w:rsidP="00C77B55">
      <w:pPr>
        <w:pStyle w:val="NormalHanging12a"/>
      </w:pPr>
      <w:r w:rsidRPr="00D33BD5">
        <w:t>–</w:t>
      </w:r>
      <w:r w:rsidRPr="00D33BD5">
        <w:tab/>
        <w:t>võttes arvesse vastutava komisjoni poolt kodukorra artikli</w:t>
      </w:r>
      <w:r w:rsidR="008E4805" w:rsidRPr="00D33BD5">
        <w:t> </w:t>
      </w:r>
      <w:r w:rsidRPr="00D33BD5">
        <w:t>75 lõike</w:t>
      </w:r>
      <w:r w:rsidR="008E4805" w:rsidRPr="00D33BD5">
        <w:t> </w:t>
      </w:r>
      <w:r w:rsidRPr="00D33BD5">
        <w:t>4 kohaselt heaks kiidetud esialgset kokkulepet,</w:t>
      </w:r>
    </w:p>
    <w:p w14:paraId="1305CE4E" w14:textId="77777777" w:rsidR="00C77B55" w:rsidRPr="00D33BD5" w:rsidRDefault="00C77B55" w:rsidP="00C77B55">
      <w:pPr>
        <w:pStyle w:val="NormalHanging12a"/>
        <w:tabs>
          <w:tab w:val="left" w:pos="567"/>
        </w:tabs>
        <w:ind w:left="0" w:firstLine="0"/>
      </w:pPr>
      <w:r w:rsidRPr="00D33BD5">
        <w:t>–</w:t>
      </w:r>
      <w:r w:rsidRPr="00D33BD5">
        <w:tab/>
        <w:t>võttes arvesse kodukorra artiklit 68,</w:t>
      </w:r>
    </w:p>
    <w:p w14:paraId="60C83251" w14:textId="09B6E6A2" w:rsidR="00C77B55" w:rsidRPr="00D33BD5" w:rsidRDefault="00C77B55" w:rsidP="00C77B55">
      <w:pPr>
        <w:pStyle w:val="NormalHanging12a"/>
      </w:pPr>
      <w:r w:rsidRPr="00D33BD5">
        <w:lastRenderedPageBreak/>
        <w:t>–</w:t>
      </w:r>
      <w:r w:rsidRPr="00D33BD5">
        <w:tab/>
        <w:t>võttes arvesse keskkonna-, kliima- ja toiduohutuse komisjoni teise lugemise soovitust (A10</w:t>
      </w:r>
      <w:r w:rsidR="008E4805" w:rsidRPr="00D33BD5">
        <w:noBreakHyphen/>
      </w:r>
      <w:r w:rsidRPr="00D33BD5">
        <w:t>0204/2025),</w:t>
      </w:r>
    </w:p>
    <w:p w14:paraId="7B3F3F2A" w14:textId="77777777" w:rsidR="00C77B55" w:rsidRPr="00D33BD5" w:rsidRDefault="00C77B55" w:rsidP="00C77B55">
      <w:pPr>
        <w:pStyle w:val="NormalHanging12a"/>
      </w:pPr>
      <w:r w:rsidRPr="00D33BD5">
        <w:t>1.</w:t>
      </w:r>
      <w:r w:rsidRPr="00D33BD5">
        <w:tab/>
        <w:t>kiidab nõukogu esimese lugemise seisukoha heaks;</w:t>
      </w:r>
    </w:p>
    <w:p w14:paraId="4467241F" w14:textId="77777777" w:rsidR="00C77B55" w:rsidRPr="00D33BD5" w:rsidRDefault="00C77B55" w:rsidP="00C77B55">
      <w:pPr>
        <w:pStyle w:val="NormalHanging12a"/>
      </w:pPr>
      <w:r w:rsidRPr="00D33BD5">
        <w:t>2.</w:t>
      </w:r>
      <w:r w:rsidRPr="00D33BD5">
        <w:tab/>
        <w:t>märgib, et seadusandlik akt võetakse vastu kooskõlas nõukogu seisukohaga;</w:t>
      </w:r>
    </w:p>
    <w:p w14:paraId="43E18876" w14:textId="77777777" w:rsidR="00C77B55" w:rsidRPr="00D33BD5" w:rsidRDefault="00C77B55" w:rsidP="00C77B55">
      <w:pPr>
        <w:pStyle w:val="NormalHanging12a"/>
      </w:pPr>
      <w:r w:rsidRPr="00D33BD5">
        <w:t>3.</w:t>
      </w:r>
      <w:r w:rsidRPr="00D33BD5">
        <w:tab/>
        <w:t>teeb presidendile ülesandeks kirjutada koos nõukogu eesistujaga seadusandlikule aktile alla vastavalt Euroopa Liidu toimimise lepingu artikli 297 lõikele 1;</w:t>
      </w:r>
    </w:p>
    <w:p w14:paraId="3E3CF07B" w14:textId="77777777" w:rsidR="00C77B55" w:rsidRPr="00D33BD5" w:rsidRDefault="00C77B55" w:rsidP="00C77B55">
      <w:pPr>
        <w:pStyle w:val="NormalHanging12a"/>
      </w:pPr>
      <w:r w:rsidRPr="00D33BD5">
        <w:t>4.</w:t>
      </w:r>
      <w:r w:rsidRPr="00D33BD5">
        <w:tab/>
        <w:t xml:space="preserve">teeb peasekretärile ülesandeks pärast kõikide menetluste nõuetekohase läbiviimise kontrollimist seadusandlikule aktile alla kirjutada ja korraldada kokkuleppel nõukogu peasekretäriga selle avaldamine </w:t>
      </w:r>
      <w:r w:rsidRPr="00D33BD5">
        <w:rPr>
          <w:i/>
        </w:rPr>
        <w:t>Euroopa Liidu Teatajas</w:t>
      </w:r>
      <w:r w:rsidRPr="00D33BD5">
        <w:t>;</w:t>
      </w:r>
    </w:p>
    <w:p w14:paraId="42E281D0" w14:textId="7AC27834" w:rsidR="00F30027" w:rsidRPr="00D33BD5" w:rsidRDefault="00C77B55" w:rsidP="00F30027">
      <w:pPr>
        <w:pStyle w:val="NormalHanging12a"/>
      </w:pPr>
      <w:r w:rsidRPr="00D33BD5">
        <w:t>5.</w:t>
      </w:r>
      <w:r w:rsidRPr="00D33BD5">
        <w:tab/>
        <w:t>teeb presidendile ülesandeks edastada Euroopa Parlamendi seisukoht nõukogule ja komisjonile ning liikmesriikide parlamentidele.</w:t>
      </w:r>
    </w:p>
    <w:p w14:paraId="0E2AD7D7" w14:textId="01A1E3B2" w:rsidR="00E365E1" w:rsidRPr="00D33BD5" w:rsidRDefault="00E365E1" w:rsidP="00DA3554"/>
    <w:sectPr w:rsidR="00E365E1" w:rsidRPr="00D33BD5" w:rsidSect="00F300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9EDB" w14:textId="77777777" w:rsidR="00DA3554" w:rsidRPr="00F30027" w:rsidRDefault="00DA3554">
      <w:r w:rsidRPr="00F30027">
        <w:separator/>
      </w:r>
    </w:p>
  </w:endnote>
  <w:endnote w:type="continuationSeparator" w:id="0">
    <w:p w14:paraId="7773C0F1" w14:textId="77777777" w:rsidR="00DA3554" w:rsidRPr="00F30027" w:rsidRDefault="00DA3554">
      <w:r w:rsidRPr="00F300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0B83" w14:textId="77777777" w:rsidR="00064002" w:rsidRPr="00F3002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2315" w14:textId="77777777" w:rsidR="00064002" w:rsidRPr="00F3002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0F9A8" w14:textId="77777777" w:rsidR="00064002" w:rsidRPr="00F3002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C0D33" w14:textId="77777777" w:rsidR="00DA3554" w:rsidRPr="00F30027" w:rsidRDefault="00DA3554">
      <w:r w:rsidRPr="00F30027">
        <w:separator/>
      </w:r>
    </w:p>
  </w:footnote>
  <w:footnote w:type="continuationSeparator" w:id="0">
    <w:p w14:paraId="2234C92A" w14:textId="77777777" w:rsidR="00DA3554" w:rsidRPr="00F30027" w:rsidRDefault="00DA3554">
      <w:r w:rsidRPr="00F30027">
        <w:continuationSeparator/>
      </w:r>
    </w:p>
  </w:footnote>
  <w:footnote w:id="1">
    <w:p w14:paraId="00B56688" w14:textId="7ECB1721" w:rsidR="00C77B55" w:rsidRPr="00F30027" w:rsidRDefault="00C77B55" w:rsidP="00F30027">
      <w:pPr>
        <w:pStyle w:val="FootnoteText"/>
        <w:ind w:left="567" w:hanging="567"/>
        <w:rPr>
          <w:sz w:val="24"/>
          <w:szCs w:val="24"/>
          <w:lang w:val="et-EE"/>
        </w:rPr>
      </w:pPr>
      <w:r w:rsidRPr="00F30027">
        <w:rPr>
          <w:rStyle w:val="FootnoteReference"/>
          <w:sz w:val="24"/>
          <w:szCs w:val="24"/>
          <w:lang w:val="et-EE"/>
        </w:rPr>
        <w:footnoteRef/>
      </w:r>
      <w:r w:rsidR="00F30027" w:rsidRPr="00F30027">
        <w:rPr>
          <w:sz w:val="24"/>
          <w:lang w:val="et-EE"/>
        </w:rPr>
        <w:t xml:space="preserve"> </w:t>
      </w:r>
      <w:r w:rsidR="00F30027" w:rsidRPr="00F30027">
        <w:rPr>
          <w:sz w:val="24"/>
          <w:lang w:val="et-EE"/>
        </w:rPr>
        <w:tab/>
      </w:r>
      <w:r w:rsidRPr="00F30027">
        <w:rPr>
          <w:sz w:val="24"/>
          <w:lang w:val="et-EE"/>
        </w:rPr>
        <w:t>ELT</w:t>
      </w:r>
      <w:r w:rsidR="008E4805">
        <w:rPr>
          <w:sz w:val="24"/>
          <w:lang w:val="et-EE"/>
        </w:rPr>
        <w:t> </w:t>
      </w:r>
      <w:r w:rsidRPr="00F30027">
        <w:rPr>
          <w:sz w:val="24"/>
          <w:lang w:val="et-EE"/>
        </w:rPr>
        <w:t xml:space="preserve">C, C/2024/887, 6.2.2024, ELI: </w:t>
      </w:r>
      <w:hyperlink r:id="rId1" w:history="1">
        <w:r w:rsidRPr="00F30027">
          <w:rPr>
            <w:rStyle w:val="Hyperlink"/>
            <w:sz w:val="24"/>
            <w:lang w:val="et-EE"/>
          </w:rPr>
          <w:t>http://data.europa.eu/eli/C/2024/887/oj</w:t>
        </w:r>
      </w:hyperlink>
      <w:r w:rsidRPr="00F30027">
        <w:rPr>
          <w:sz w:val="24"/>
          <w:lang w:val="et-EE"/>
        </w:rPr>
        <w:t>.</w:t>
      </w:r>
    </w:p>
  </w:footnote>
  <w:footnote w:id="2">
    <w:p w14:paraId="4A2B1F5C" w14:textId="42063656" w:rsidR="00C77B55" w:rsidRPr="00F30027" w:rsidRDefault="00C77B55" w:rsidP="00F30027">
      <w:pPr>
        <w:pStyle w:val="FootnoteText"/>
        <w:ind w:left="567" w:hanging="567"/>
        <w:rPr>
          <w:sz w:val="24"/>
          <w:szCs w:val="24"/>
          <w:lang w:val="et-EE"/>
        </w:rPr>
      </w:pPr>
      <w:r w:rsidRPr="00F30027">
        <w:rPr>
          <w:rStyle w:val="FootnoteReference"/>
          <w:sz w:val="24"/>
          <w:szCs w:val="24"/>
          <w:lang w:val="et-EE"/>
        </w:rPr>
        <w:footnoteRef/>
      </w:r>
      <w:r w:rsidR="00F30027" w:rsidRPr="00F30027">
        <w:rPr>
          <w:sz w:val="24"/>
          <w:lang w:val="et-EE"/>
        </w:rPr>
        <w:t xml:space="preserve"> </w:t>
      </w:r>
      <w:r w:rsidR="00F30027" w:rsidRPr="00F30027">
        <w:rPr>
          <w:sz w:val="24"/>
          <w:lang w:val="et-EE"/>
        </w:rPr>
        <w:tab/>
      </w:r>
      <w:r w:rsidRPr="00F30027">
        <w:rPr>
          <w:sz w:val="24"/>
          <w:lang w:val="et-EE"/>
        </w:rPr>
        <w:t>ELT</w:t>
      </w:r>
      <w:r w:rsidR="008E4805">
        <w:rPr>
          <w:sz w:val="24"/>
          <w:lang w:val="et-EE"/>
        </w:rPr>
        <w:t> </w:t>
      </w:r>
      <w:r w:rsidRPr="00F30027">
        <w:rPr>
          <w:sz w:val="24"/>
          <w:lang w:val="et-EE"/>
        </w:rPr>
        <w:t xml:space="preserve">C, C/2024/5371, 17.9.2024, ELI: </w:t>
      </w:r>
      <w:hyperlink r:id="rId2" w:history="1">
        <w:r w:rsidRPr="00F30027">
          <w:rPr>
            <w:rStyle w:val="Hyperlink"/>
            <w:sz w:val="24"/>
            <w:lang w:val="et-EE"/>
          </w:rPr>
          <w:t>http://data.europa.eu/eli/C/2024/5371/oj</w:t>
        </w:r>
      </w:hyperlink>
      <w:r w:rsidRPr="00F30027">
        <w:rPr>
          <w:sz w:val="24"/>
          <w:lang w:val="et-EE"/>
        </w:rPr>
        <w:t>.</w:t>
      </w:r>
    </w:p>
  </w:footnote>
  <w:footnote w:id="3">
    <w:p w14:paraId="735EEFDA" w14:textId="0A8ED9D4" w:rsidR="00C77B55" w:rsidRPr="00F30027" w:rsidRDefault="00C77B55" w:rsidP="00F30027">
      <w:pPr>
        <w:pStyle w:val="FootnoteText"/>
        <w:ind w:left="567" w:hanging="567"/>
        <w:rPr>
          <w:sz w:val="24"/>
          <w:szCs w:val="24"/>
          <w:lang w:val="et-EE"/>
        </w:rPr>
      </w:pPr>
      <w:r w:rsidRPr="00F30027">
        <w:rPr>
          <w:rStyle w:val="FootnoteReference"/>
          <w:sz w:val="24"/>
          <w:szCs w:val="24"/>
          <w:lang w:val="et-EE"/>
        </w:rPr>
        <w:footnoteRef/>
      </w:r>
      <w:r w:rsidR="00F30027" w:rsidRPr="00F30027">
        <w:rPr>
          <w:sz w:val="24"/>
          <w:lang w:val="et-EE"/>
        </w:rPr>
        <w:t xml:space="preserve"> </w:t>
      </w:r>
      <w:r w:rsidR="00F30027" w:rsidRPr="00F30027">
        <w:rPr>
          <w:sz w:val="24"/>
          <w:lang w:val="et-EE"/>
        </w:rPr>
        <w:tab/>
      </w:r>
      <w:r w:rsidR="008E4805">
        <w:rPr>
          <w:sz w:val="24"/>
          <w:lang w:val="et-EE"/>
        </w:rPr>
        <w:t>ELT </w:t>
      </w:r>
      <w:r w:rsidRPr="00F30027">
        <w:rPr>
          <w:sz w:val="24"/>
          <w:lang w:val="et-EE"/>
        </w:rPr>
        <w:t xml:space="preserve">C, C/2025/1312, 13.3.2025, ELI: </w:t>
      </w:r>
      <w:hyperlink r:id="rId3" w:history="1">
        <w:r w:rsidRPr="00F30027">
          <w:rPr>
            <w:rStyle w:val="Hyperlink"/>
            <w:sz w:val="24"/>
            <w:lang w:val="et-EE"/>
          </w:rPr>
          <w:t>http://data.europa.eu/eli/C/2025/1312/oj</w:t>
        </w:r>
      </w:hyperlink>
      <w:r w:rsidRPr="00F30027">
        <w:rPr>
          <w:sz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2B34" w14:textId="77777777" w:rsidR="00064002" w:rsidRPr="00F3002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D575" w14:textId="77777777" w:rsidR="00064002" w:rsidRPr="00F3002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A3D3" w14:textId="77777777" w:rsidR="00064002" w:rsidRPr="00F3002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006128356">
    <w:abstractNumId w:val="9"/>
  </w:num>
  <w:num w:numId="2" w16cid:durableId="1036543981">
    <w:abstractNumId w:val="9"/>
  </w:num>
  <w:num w:numId="3" w16cid:durableId="1023940913">
    <w:abstractNumId w:val="7"/>
  </w:num>
  <w:num w:numId="4" w16cid:durableId="1187982571">
    <w:abstractNumId w:val="7"/>
  </w:num>
  <w:num w:numId="5" w16cid:durableId="1914389997">
    <w:abstractNumId w:val="6"/>
  </w:num>
  <w:num w:numId="6" w16cid:durableId="575212235">
    <w:abstractNumId w:val="6"/>
  </w:num>
  <w:num w:numId="7" w16cid:durableId="1437940420">
    <w:abstractNumId w:val="5"/>
  </w:num>
  <w:num w:numId="8" w16cid:durableId="1511869297">
    <w:abstractNumId w:val="5"/>
  </w:num>
  <w:num w:numId="9" w16cid:durableId="623854517">
    <w:abstractNumId w:val="4"/>
  </w:num>
  <w:num w:numId="10" w16cid:durableId="137185719">
    <w:abstractNumId w:val="4"/>
  </w:num>
  <w:num w:numId="11" w16cid:durableId="1213348376">
    <w:abstractNumId w:val="8"/>
  </w:num>
  <w:num w:numId="12" w16cid:durableId="1786385884">
    <w:abstractNumId w:val="8"/>
  </w:num>
  <w:num w:numId="13" w16cid:durableId="1382510531">
    <w:abstractNumId w:val="3"/>
  </w:num>
  <w:num w:numId="14" w16cid:durableId="302808733">
    <w:abstractNumId w:val="3"/>
  </w:num>
  <w:num w:numId="15" w16cid:durableId="974218624">
    <w:abstractNumId w:val="2"/>
  </w:num>
  <w:num w:numId="16" w16cid:durableId="1894075962">
    <w:abstractNumId w:val="2"/>
  </w:num>
  <w:num w:numId="17" w16cid:durableId="166530099">
    <w:abstractNumId w:val="1"/>
  </w:num>
  <w:num w:numId="18" w16cid:durableId="1254513276">
    <w:abstractNumId w:val="1"/>
  </w:num>
  <w:num w:numId="19" w16cid:durableId="360475858">
    <w:abstractNumId w:val="0"/>
  </w:num>
  <w:num w:numId="20" w16cid:durableId="1609386479">
    <w:abstractNumId w:val="0"/>
  </w:num>
  <w:num w:numId="21" w16cid:durableId="1933706633">
    <w:abstractNumId w:val="9"/>
  </w:num>
  <w:num w:numId="22" w16cid:durableId="1943761610">
    <w:abstractNumId w:val="7"/>
  </w:num>
  <w:num w:numId="23" w16cid:durableId="1979871457">
    <w:abstractNumId w:val="6"/>
  </w:num>
  <w:num w:numId="24" w16cid:durableId="1398165998">
    <w:abstractNumId w:val="5"/>
  </w:num>
  <w:num w:numId="25" w16cid:durableId="628822266">
    <w:abstractNumId w:val="4"/>
  </w:num>
  <w:num w:numId="26" w16cid:durableId="354692518">
    <w:abstractNumId w:val="8"/>
  </w:num>
  <w:num w:numId="27" w16cid:durableId="190732754">
    <w:abstractNumId w:val="3"/>
  </w:num>
  <w:num w:numId="28" w16cid:durableId="191311646">
    <w:abstractNumId w:val="2"/>
  </w:num>
  <w:num w:numId="29" w16cid:durableId="707074531">
    <w:abstractNumId w:val="1"/>
  </w:num>
  <w:num w:numId="30" w16cid:durableId="1258751533">
    <w:abstractNumId w:val="0"/>
  </w:num>
  <w:num w:numId="31" w16cid:durableId="1650598639">
    <w:abstractNumId w:val="9"/>
  </w:num>
  <w:num w:numId="32" w16cid:durableId="2137991649">
    <w:abstractNumId w:val="7"/>
  </w:num>
  <w:num w:numId="33" w16cid:durableId="1356424923">
    <w:abstractNumId w:val="6"/>
  </w:num>
  <w:num w:numId="34" w16cid:durableId="1237401398">
    <w:abstractNumId w:val="5"/>
  </w:num>
  <w:num w:numId="35" w16cid:durableId="137305191">
    <w:abstractNumId w:val="4"/>
  </w:num>
  <w:num w:numId="36" w16cid:durableId="626087276">
    <w:abstractNumId w:val="8"/>
  </w:num>
  <w:num w:numId="37" w16cid:durableId="934903735">
    <w:abstractNumId w:val="3"/>
  </w:num>
  <w:num w:numId="38" w16cid:durableId="1498115077">
    <w:abstractNumId w:val="2"/>
  </w:num>
  <w:num w:numId="39" w16cid:durableId="1627346784">
    <w:abstractNumId w:val="1"/>
  </w:num>
  <w:num w:numId="40" w16cid:durableId="824006629">
    <w:abstractNumId w:val="0"/>
  </w:num>
  <w:num w:numId="41" w16cid:durableId="1484928659">
    <w:abstractNumId w:val="10"/>
  </w:num>
  <w:num w:numId="42" w16cid:durableId="568421645">
    <w:abstractNumId w:val="10"/>
  </w:num>
  <w:num w:numId="43" w16cid:durableId="2106149962">
    <w:abstractNumId w:val="10"/>
  </w:num>
  <w:num w:numId="44" w16cid:durableId="15526183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ET"/>
    <w:docVar w:name="dvnumam" w:val="0"/>
    <w:docVar w:name="dvpe" w:val="778.280"/>
    <w:docVar w:name="dvrapporteur" w:val="Raportöör: "/>
    <w:docVar w:name="dvstar" w:val="***II"/>
    <w:docVar w:name="dvtitre" w:val="Euroopa Parlamendi .... 2025. aasta seadusandlik resolutsioon nõukogu esimese lugemise seisukoha kohta eesmärgiga võtta vastu Euroopa Parlamendi ja nõukogu direktiiv, mis käsitleb mullaseiret ja mulla vastupidavust (mullaseire direktiiv)(09474/1/2025 – C10-0229/2025 – 2023/0232(COD))"/>
  </w:docVars>
  <w:rsids>
    <w:rsidRoot w:val="00DA3554"/>
    <w:rsid w:val="00002272"/>
    <w:rsid w:val="00064002"/>
    <w:rsid w:val="000677B9"/>
    <w:rsid w:val="000831BA"/>
    <w:rsid w:val="000A42CC"/>
    <w:rsid w:val="000E7DD9"/>
    <w:rsid w:val="000F5788"/>
    <w:rsid w:val="0010095E"/>
    <w:rsid w:val="00125B37"/>
    <w:rsid w:val="00187494"/>
    <w:rsid w:val="001C0918"/>
    <w:rsid w:val="001F32AE"/>
    <w:rsid w:val="00270F63"/>
    <w:rsid w:val="002767FF"/>
    <w:rsid w:val="002B18FE"/>
    <w:rsid w:val="002B5493"/>
    <w:rsid w:val="00343214"/>
    <w:rsid w:val="00361C00"/>
    <w:rsid w:val="00395FA1"/>
    <w:rsid w:val="003A7296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298E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4805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0D86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7B55"/>
    <w:rsid w:val="00C941CB"/>
    <w:rsid w:val="00CC2357"/>
    <w:rsid w:val="00CF071A"/>
    <w:rsid w:val="00D058B8"/>
    <w:rsid w:val="00D33BD5"/>
    <w:rsid w:val="00D56C11"/>
    <w:rsid w:val="00D834A0"/>
    <w:rsid w:val="00D872DF"/>
    <w:rsid w:val="00D91E21"/>
    <w:rsid w:val="00DA3554"/>
    <w:rsid w:val="00DA7FCD"/>
    <w:rsid w:val="00E365E1"/>
    <w:rsid w:val="00E820A4"/>
    <w:rsid w:val="00EB006A"/>
    <w:rsid w:val="00EB4772"/>
    <w:rsid w:val="00EC5E59"/>
    <w:rsid w:val="00ED169E"/>
    <w:rsid w:val="00ED4235"/>
    <w:rsid w:val="00F04346"/>
    <w:rsid w:val="00F075DC"/>
    <w:rsid w:val="00F149E9"/>
    <w:rsid w:val="00F30027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C2E41"/>
  <w15:chartTrackingRefBased/>
  <w15:docId w15:val="{57A148D6-F85D-4809-A88C-2EA1B60D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77B55"/>
    <w:pPr>
      <w:spacing w:before="480" w:after="240"/>
    </w:pPr>
  </w:style>
  <w:style w:type="paragraph" w:customStyle="1" w:styleId="NormalBold">
    <w:name w:val="NormalBold"/>
    <w:basedOn w:val="Normal"/>
    <w:rsid w:val="00C77B55"/>
    <w:rPr>
      <w:b/>
    </w:rPr>
  </w:style>
  <w:style w:type="paragraph" w:customStyle="1" w:styleId="NormalHanging12a">
    <w:name w:val="NormalHanging12a"/>
    <w:basedOn w:val="Normal"/>
    <w:rsid w:val="00C77B55"/>
    <w:pPr>
      <w:spacing w:after="240"/>
      <w:ind w:left="567" w:hanging="567"/>
    </w:pPr>
  </w:style>
  <w:style w:type="character" w:styleId="Hyperlink">
    <w:name w:val="Hyperlink"/>
    <w:basedOn w:val="DefaultParagraphFont"/>
    <w:rsid w:val="00C77B5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E4805"/>
    <w:rPr>
      <w:sz w:val="24"/>
      <w:lang w:val="et-EE"/>
    </w:rPr>
  </w:style>
  <w:style w:type="character" w:styleId="CommentReference">
    <w:name w:val="annotation reference"/>
    <w:basedOn w:val="DefaultParagraphFont"/>
    <w:rsid w:val="00270F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0F6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70F63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rsid w:val="00270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70F63"/>
    <w:rPr>
      <w:b/>
      <w:bCs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312/oj" TargetMode="External"/><Relationship Id="rId2" Type="http://schemas.openxmlformats.org/officeDocument/2006/relationships/hyperlink" Target="http://data.europa.eu/eli/C/2024/5371/oj" TargetMode="External"/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2025-10-23T14:13:00Z</dcterms:created>
  <dcterms:modified xsi:type="dcterms:W3CDTF">2025-10-23T14:13:00Z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A10-0204/2025</vt:lpwstr>
  </property>
  <property fmtid="{D5CDD505-2E9C-101B-9397-08002B2CF9AE}" pid="4" name="&lt;Type&gt;">
    <vt:lpwstr>RR</vt:lpwstr>
  </property>
</Properties>
</file>