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B0A12" w14:paraId="51B8FAD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49273DB" w14:textId="77777777" w:rsidR="00751A4A" w:rsidRPr="007B0A12" w:rsidRDefault="00AF5F52" w:rsidP="0010095E">
            <w:pPr>
              <w:pStyle w:val="EPName"/>
            </w:pPr>
            <w:r w:rsidRPr="007B0A12">
              <w:t>Parlament Ewropew</w:t>
            </w:r>
          </w:p>
          <w:p w14:paraId="117385A8" w14:textId="77777777" w:rsidR="00751A4A" w:rsidRPr="007B0A12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B0A12">
              <w:t>2024</w:t>
            </w:r>
            <w:r w:rsidR="00817416" w:rsidRPr="007B0A12">
              <w:t>-202</w:t>
            </w:r>
            <w:r w:rsidRPr="007B0A12">
              <w:t>9</w:t>
            </w:r>
          </w:p>
        </w:tc>
        <w:tc>
          <w:tcPr>
            <w:tcW w:w="2268" w:type="dxa"/>
            <w:shd w:val="clear" w:color="auto" w:fill="auto"/>
          </w:tcPr>
          <w:p w14:paraId="17DB437E" w14:textId="77777777" w:rsidR="00751A4A" w:rsidRPr="007B0A12" w:rsidRDefault="00187494" w:rsidP="0010095E">
            <w:pPr>
              <w:pStyle w:val="EPLogo"/>
            </w:pPr>
            <w:r w:rsidRPr="007B0A12">
              <w:rPr>
                <w:noProof/>
                <w:lang w:eastAsia="ja-JP"/>
              </w:rPr>
              <w:drawing>
                <wp:inline distT="0" distB="0" distL="0" distR="0" wp14:anchorId="0F79E29F" wp14:editId="51F7A13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7CABB4" w14:textId="77777777" w:rsidR="00D058B8" w:rsidRPr="007B0A12" w:rsidRDefault="00D058B8" w:rsidP="004C5D52">
      <w:pPr>
        <w:pStyle w:val="LineTop"/>
      </w:pPr>
    </w:p>
    <w:p w14:paraId="09D3F3CF" w14:textId="77777777" w:rsidR="00680577" w:rsidRPr="007B0A12" w:rsidRDefault="00AF5F52" w:rsidP="00680577">
      <w:pPr>
        <w:pStyle w:val="EPBodyTA1"/>
      </w:pPr>
      <w:r w:rsidRPr="007B0A12">
        <w:t>TESTI ADOTTATI</w:t>
      </w:r>
    </w:p>
    <w:p w14:paraId="233CF064" w14:textId="77777777" w:rsidR="00D058B8" w:rsidRPr="007B0A12" w:rsidRDefault="00D058B8" w:rsidP="00D058B8">
      <w:pPr>
        <w:pStyle w:val="LineBottom"/>
      </w:pPr>
    </w:p>
    <w:p w14:paraId="73DEFBE6" w14:textId="0E41FDDE" w:rsidR="00AF5F52" w:rsidRPr="007B0A12" w:rsidRDefault="00AF5F52" w:rsidP="00AF5F52">
      <w:pPr>
        <w:pStyle w:val="ATHeading1"/>
      </w:pPr>
      <w:bookmarkStart w:id="0" w:name="TANumber"/>
      <w:r w:rsidRPr="007B0A12">
        <w:t>P10_TA(2025)0</w:t>
      </w:r>
      <w:bookmarkEnd w:id="0"/>
      <w:r w:rsidR="007C17DA">
        <w:t>251</w:t>
      </w:r>
    </w:p>
    <w:p w14:paraId="4C72A303" w14:textId="77777777" w:rsidR="00AF5F52" w:rsidRPr="007B0A12" w:rsidRDefault="00AF5F52" w:rsidP="00AF5F52">
      <w:pPr>
        <w:pStyle w:val="ATHeading2"/>
      </w:pPr>
      <w:bookmarkStart w:id="1" w:name="title"/>
      <w:r w:rsidRPr="007B0A12">
        <w:t>Il-Monitoraġġ u r-Reżiljenza tal-Ħamrija (Liġi dwar il-Monitoraġġ tal-Ħamrija)</w:t>
      </w:r>
      <w:bookmarkEnd w:id="1"/>
    </w:p>
    <w:p w14:paraId="64E478B0" w14:textId="77777777" w:rsidR="00AF5F52" w:rsidRPr="007B0A12" w:rsidRDefault="00AF5F52" w:rsidP="00AF5F52">
      <w:pPr>
        <w:rPr>
          <w:i/>
          <w:vanish/>
        </w:rPr>
      </w:pPr>
      <w:r w:rsidRPr="007B0A12">
        <w:rPr>
          <w:i/>
        </w:rPr>
        <w:fldChar w:fldCharType="begin"/>
      </w:r>
      <w:r w:rsidRPr="007B0A12">
        <w:rPr>
          <w:i/>
        </w:rPr>
        <w:instrText xml:space="preserve"> TC"(</w:instrText>
      </w:r>
      <w:bookmarkStart w:id="2" w:name="DocNumber"/>
      <w:r w:rsidRPr="007B0A12">
        <w:rPr>
          <w:i/>
        </w:rPr>
        <w:instrText>A10-0204/2025</w:instrText>
      </w:r>
      <w:bookmarkEnd w:id="2"/>
      <w:r w:rsidRPr="007B0A12">
        <w:rPr>
          <w:i/>
        </w:rPr>
        <w:instrText xml:space="preserve"> - Rapporteur: Martin Hojsík)"\l3 \n&gt; \* MERGEFORMAT </w:instrText>
      </w:r>
      <w:r w:rsidRPr="007B0A12">
        <w:rPr>
          <w:i/>
        </w:rPr>
        <w:fldChar w:fldCharType="end"/>
      </w:r>
    </w:p>
    <w:p w14:paraId="2BF6E689" w14:textId="77777777" w:rsidR="00AF5F52" w:rsidRPr="007B0A12" w:rsidRDefault="00AF5F52" w:rsidP="00AF5F52">
      <w:pPr>
        <w:rPr>
          <w:vanish/>
        </w:rPr>
      </w:pPr>
      <w:bookmarkStart w:id="3" w:name="Commission"/>
      <w:r w:rsidRPr="007B0A12">
        <w:rPr>
          <w:vanish/>
        </w:rPr>
        <w:t>Kumitat għall-Ambjent, il-Klima u s-Sikurezza tal-Ikel</w:t>
      </w:r>
      <w:bookmarkEnd w:id="3"/>
    </w:p>
    <w:p w14:paraId="39F6CD24" w14:textId="77777777" w:rsidR="00AF5F52" w:rsidRPr="007B0A12" w:rsidRDefault="00AF5F52" w:rsidP="00AF5F52">
      <w:pPr>
        <w:rPr>
          <w:vanish/>
        </w:rPr>
      </w:pPr>
      <w:bookmarkStart w:id="4" w:name="PE"/>
      <w:r w:rsidRPr="007B0A12">
        <w:rPr>
          <w:vanish/>
        </w:rPr>
        <w:t>PE778.280</w:t>
      </w:r>
      <w:bookmarkEnd w:id="4"/>
    </w:p>
    <w:p w14:paraId="4C28C0D5" w14:textId="77777777" w:rsidR="00AF5F52" w:rsidRPr="007B0A12" w:rsidRDefault="00AF5F52" w:rsidP="00AF5F52">
      <w:pPr>
        <w:pStyle w:val="ATHeading3"/>
      </w:pPr>
      <w:bookmarkStart w:id="5" w:name="Sujet"/>
      <w:r w:rsidRPr="007B0A12">
        <w:t>Riżoluzzjoni leġiżlattiva tal-Parlament Ewropew tat-23 ta' Ottubru 2025 dwar il-pożizzjoni tal-Kunsill fl-ewwel qari għall-adozzjoni ta’ direttiva tal-Parlament Ewropew u tal-Kunsill dwar il-Monitoraġġ u r-Reżiljenza tal-Ħamrija (Liġi dwar il-Monitoraġġ tal-Ħamrija)</w:t>
      </w:r>
      <w:bookmarkEnd w:id="5"/>
      <w:r w:rsidRPr="007B0A12">
        <w:t xml:space="preserve"> </w:t>
      </w:r>
      <w:bookmarkStart w:id="6" w:name="References"/>
      <w:r w:rsidRPr="007B0A12">
        <w:t>(09474/1/2025 – C10-0229/2025 – 2023/0232(COD))</w:t>
      </w:r>
      <w:bookmarkEnd w:id="6"/>
    </w:p>
    <w:p w14:paraId="527A94A7" w14:textId="77777777" w:rsidR="00AF5F52" w:rsidRPr="007B0A12" w:rsidRDefault="00AF5F52" w:rsidP="00AF5F52"/>
    <w:p w14:paraId="53BF108C" w14:textId="77777777" w:rsidR="00864086" w:rsidRPr="007B0A12" w:rsidRDefault="00864086" w:rsidP="00864086">
      <w:pPr>
        <w:pStyle w:val="NormalBold"/>
      </w:pPr>
      <w:bookmarkStart w:id="7" w:name="TextBodyBegin"/>
      <w:bookmarkEnd w:id="7"/>
      <w:r w:rsidRPr="007B0A12">
        <w:t>(Proċedura leġiżlattiva ordinarja: it-tieni qari)</w:t>
      </w:r>
    </w:p>
    <w:p w14:paraId="63EAAC57" w14:textId="77777777" w:rsidR="00864086" w:rsidRPr="007B0A12" w:rsidRDefault="00864086" w:rsidP="00864086">
      <w:pPr>
        <w:pStyle w:val="EPComma"/>
      </w:pPr>
      <w:r w:rsidRPr="007B0A12">
        <w:rPr>
          <w:i/>
        </w:rPr>
        <w:t>Il-Parlament Ewropew</w:t>
      </w:r>
      <w:r w:rsidRPr="007B0A12">
        <w:t>,</w:t>
      </w:r>
    </w:p>
    <w:p w14:paraId="3CE26B82" w14:textId="77777777" w:rsidR="00864086" w:rsidRPr="007B0A12" w:rsidRDefault="00864086" w:rsidP="00864086">
      <w:pPr>
        <w:pStyle w:val="NormalHanging12a"/>
      </w:pPr>
      <w:r w:rsidRPr="007B0A12">
        <w:t>–</w:t>
      </w:r>
      <w:r w:rsidRPr="007B0A12">
        <w:tab/>
        <w:t>wara li kkunsidra l-pożizzjoni tal-Kunsill fl-ewwel qari (09474/1/2025 – C10</w:t>
      </w:r>
      <w:r w:rsidRPr="007B0A12">
        <w:noBreakHyphen/>
        <w:t>0229/2025),</w:t>
      </w:r>
    </w:p>
    <w:p w14:paraId="55433543" w14:textId="77777777" w:rsidR="00864086" w:rsidRPr="007B0A12" w:rsidRDefault="00864086" w:rsidP="00864086">
      <w:pPr>
        <w:pStyle w:val="NormalHanging12a"/>
      </w:pPr>
      <w:r w:rsidRPr="007B0A12">
        <w:t>–</w:t>
      </w:r>
      <w:r w:rsidRPr="007B0A12">
        <w:tab/>
        <w:t xml:space="preserve">wara li kkunsidra l-opinjoni motivata ppreżentata mill-Ewwel Kamra </w:t>
      </w:r>
      <w:proofErr w:type="spellStart"/>
      <w:r w:rsidRPr="007B0A12">
        <w:t>tan-Netherlands</w:t>
      </w:r>
      <w:proofErr w:type="spellEnd"/>
      <w:r w:rsidRPr="007B0A12">
        <w:t xml:space="preserve"> u mit-Tieni Kamra </w:t>
      </w:r>
      <w:proofErr w:type="spellStart"/>
      <w:r w:rsidRPr="007B0A12">
        <w:t>tan-Netherlands</w:t>
      </w:r>
      <w:proofErr w:type="spellEnd"/>
      <w:r w:rsidRPr="007B0A12">
        <w:t xml:space="preserve">, fil-qafas tal-Protokoll Nru 2 dwar l-applikazzjoni tal-prinċipji ta’ </w:t>
      </w:r>
      <w:proofErr w:type="spellStart"/>
      <w:r w:rsidRPr="007B0A12">
        <w:t>sussidjarjetà</w:t>
      </w:r>
      <w:proofErr w:type="spellEnd"/>
      <w:r w:rsidRPr="007B0A12">
        <w:t xml:space="preserve"> u proporzjonalità li tiddikjara li l-abbozz ta’ att leġiżlattiv ma jimxix mal-prinċipju ta’ </w:t>
      </w:r>
      <w:proofErr w:type="spellStart"/>
      <w:r w:rsidRPr="007B0A12">
        <w:t>sussidjarjetà</w:t>
      </w:r>
      <w:proofErr w:type="spellEnd"/>
      <w:r w:rsidRPr="007B0A12">
        <w:t>,</w:t>
      </w:r>
    </w:p>
    <w:p w14:paraId="0E5F3FC8" w14:textId="77777777" w:rsidR="00864086" w:rsidRPr="007B0A12" w:rsidRDefault="00864086" w:rsidP="00864086">
      <w:pPr>
        <w:pStyle w:val="NormalHanging12a"/>
      </w:pPr>
      <w:r w:rsidRPr="007B0A12">
        <w:t>–</w:t>
      </w:r>
      <w:r w:rsidRPr="007B0A12">
        <w:tab/>
        <w:t>wara li kkunsidra l-opinjoni tal-Kumitat Ekonomiku u Soċjali Ewropew tal-25 ta’ Ottubru 2023</w:t>
      </w:r>
      <w:r w:rsidRPr="007B0A12">
        <w:rPr>
          <w:vertAlign w:val="superscript"/>
        </w:rPr>
        <w:footnoteReference w:id="1"/>
      </w:r>
      <w:r w:rsidRPr="007B0A12">
        <w:t>,</w:t>
      </w:r>
    </w:p>
    <w:p w14:paraId="771E9978" w14:textId="77777777" w:rsidR="00864086" w:rsidRPr="007B0A12" w:rsidRDefault="00864086" w:rsidP="00864086">
      <w:pPr>
        <w:pStyle w:val="NormalHanging12a"/>
      </w:pPr>
      <w:r w:rsidRPr="007B0A12">
        <w:t>–</w:t>
      </w:r>
      <w:r w:rsidRPr="007B0A12">
        <w:tab/>
        <w:t>wara li kkunsidra l-opinjoni tal-Kumitat tar-Reġjuni tad-19 ta’ Ġunju 2024</w:t>
      </w:r>
      <w:r w:rsidRPr="007B0A12">
        <w:rPr>
          <w:vertAlign w:val="superscript"/>
        </w:rPr>
        <w:footnoteReference w:id="2"/>
      </w:r>
      <w:r w:rsidRPr="007B0A12">
        <w:t>,</w:t>
      </w:r>
    </w:p>
    <w:p w14:paraId="6BF28B2D" w14:textId="77777777" w:rsidR="00864086" w:rsidRPr="007B0A12" w:rsidRDefault="00864086" w:rsidP="00864086">
      <w:pPr>
        <w:pStyle w:val="NormalHanging12a"/>
      </w:pPr>
      <w:r w:rsidRPr="007B0A12">
        <w:t>–</w:t>
      </w:r>
      <w:r w:rsidRPr="007B0A12">
        <w:tab/>
        <w:t>wara li kkunsidra l-pożizzjoni tiegħu fl-ewwel qari</w:t>
      </w:r>
      <w:r w:rsidRPr="007B0A12">
        <w:rPr>
          <w:rStyle w:val="FootnoteReference"/>
        </w:rPr>
        <w:footnoteReference w:id="3"/>
      </w:r>
      <w:r w:rsidRPr="007B0A12">
        <w:t xml:space="preserve"> dwar il-proposta tal-Kummissjoni lill-Parlament Ewropew u lill-Kunsill (COM(2023)0416),</w:t>
      </w:r>
    </w:p>
    <w:p w14:paraId="52D21D7B" w14:textId="77777777" w:rsidR="00864086" w:rsidRPr="007B0A12" w:rsidRDefault="00864086" w:rsidP="00864086">
      <w:pPr>
        <w:pStyle w:val="NormalHanging12a"/>
      </w:pPr>
      <w:r w:rsidRPr="007B0A12">
        <w:t>–</w:t>
      </w:r>
      <w:r w:rsidRPr="007B0A12">
        <w:tab/>
        <w:t>wara li kkunsidra l-Artikolu 294(7) tat-Trattat dwar il-Funzjonament tal-Unjoni Ewropea,</w:t>
      </w:r>
    </w:p>
    <w:p w14:paraId="61C1D352" w14:textId="77777777" w:rsidR="00864086" w:rsidRPr="007B0A12" w:rsidRDefault="00864086" w:rsidP="00864086">
      <w:pPr>
        <w:pStyle w:val="NormalHanging12a"/>
      </w:pPr>
      <w:r w:rsidRPr="007B0A12">
        <w:t>–</w:t>
      </w:r>
      <w:r w:rsidRPr="007B0A12">
        <w:tab/>
        <w:t>wara li kkunsidra l-ftehim proviżorju approvat mill-kumitat responsabbli fis-sens tal-</w:t>
      </w:r>
      <w:r w:rsidRPr="007B0A12">
        <w:lastRenderedPageBreak/>
        <w:t>Artikolu 75(4) tar-Regoli ta’ Proċedura tiegħu,</w:t>
      </w:r>
    </w:p>
    <w:p w14:paraId="63D4D03F" w14:textId="77777777" w:rsidR="00864086" w:rsidRPr="007B0A12" w:rsidRDefault="00864086" w:rsidP="00864086">
      <w:pPr>
        <w:pStyle w:val="NormalHanging12a"/>
        <w:tabs>
          <w:tab w:val="left" w:pos="567"/>
        </w:tabs>
        <w:ind w:left="0" w:firstLine="0"/>
      </w:pPr>
      <w:r w:rsidRPr="007B0A12">
        <w:t>–</w:t>
      </w:r>
      <w:r w:rsidRPr="007B0A12">
        <w:tab/>
        <w:t>wara li kkunsidra l-Artikolu 68 tar-Regoli ta’ Proċedura tiegħu,</w:t>
      </w:r>
    </w:p>
    <w:p w14:paraId="7645EA75" w14:textId="77777777" w:rsidR="00864086" w:rsidRPr="007B0A12" w:rsidRDefault="00864086" w:rsidP="00864086">
      <w:pPr>
        <w:pStyle w:val="NormalHanging12a"/>
      </w:pPr>
      <w:r w:rsidRPr="007B0A12">
        <w:t>–</w:t>
      </w:r>
      <w:r w:rsidRPr="007B0A12">
        <w:tab/>
        <w:t>wara li kkunsidra r-rakkomandazzjoni għat-tieni qari tal-Kumitat għall-Ambjent, il-Klima u s-Sikurezza tal-Ikel (A10-0204/2025),</w:t>
      </w:r>
    </w:p>
    <w:p w14:paraId="73408815" w14:textId="77777777" w:rsidR="00864086" w:rsidRPr="007B0A12" w:rsidRDefault="00864086" w:rsidP="00864086">
      <w:pPr>
        <w:pStyle w:val="NormalHanging12a"/>
      </w:pPr>
      <w:r w:rsidRPr="007B0A12">
        <w:t>1.</w:t>
      </w:r>
      <w:r w:rsidRPr="007B0A12">
        <w:tab/>
        <w:t>Japprova l-pożizzjoni tal-Kunsill fl-ewwel qari;</w:t>
      </w:r>
    </w:p>
    <w:p w14:paraId="0DB177F5" w14:textId="77777777" w:rsidR="00864086" w:rsidRPr="007B0A12" w:rsidRDefault="00864086" w:rsidP="00864086">
      <w:pPr>
        <w:pStyle w:val="NormalHanging12a"/>
      </w:pPr>
      <w:r w:rsidRPr="007B0A12">
        <w:t>2.</w:t>
      </w:r>
      <w:r w:rsidRPr="007B0A12">
        <w:tab/>
        <w:t>Jinnota li l-att qed jiġi adottat f’konformità mal-pożizzjoni tal-Kunsill;</w:t>
      </w:r>
    </w:p>
    <w:p w14:paraId="6C539BE3" w14:textId="77777777" w:rsidR="00864086" w:rsidRPr="007B0A12" w:rsidRDefault="00864086" w:rsidP="00864086">
      <w:pPr>
        <w:pStyle w:val="NormalHanging12a"/>
      </w:pPr>
      <w:r w:rsidRPr="007B0A12">
        <w:t>3.</w:t>
      </w:r>
      <w:r w:rsidRPr="007B0A12">
        <w:tab/>
        <w:t>Jagħti istruzzjonijiet lill-President tiegħu biex tiffirma l-att flimkien mal-President tal-Kunsill, f’konformità mal-Artikolu 297(1) tat-Trattat dwar il-Funzjonament tal-Unjoni Ewropea;</w:t>
      </w:r>
    </w:p>
    <w:p w14:paraId="5E9041E8" w14:textId="77777777" w:rsidR="00864086" w:rsidRPr="007B0A12" w:rsidRDefault="00864086" w:rsidP="00864086">
      <w:pPr>
        <w:pStyle w:val="NormalHanging12a"/>
      </w:pPr>
      <w:r w:rsidRPr="007B0A12">
        <w:t>4.</w:t>
      </w:r>
      <w:r w:rsidRPr="007B0A12">
        <w:tab/>
        <w:t>Jagħti istruzzjonijiet lis-Segretarju Ġenerali tiegħu biex jiffirma l-att, wara li jkun ġie vverifikat li l-proċeduri ntemmu kif imiss, u biex, bi qbil mas-Segretarju Ġenerali tal-Kunsill, jipproċedi għall-pubblikazzjoni tal-att f’</w:t>
      </w:r>
      <w:r w:rsidRPr="007B0A12">
        <w:rPr>
          <w:i/>
          <w:iCs/>
        </w:rPr>
        <w:t>Il-Ġurnal Uffiċjali tal-Unjoni Ewropea</w:t>
      </w:r>
      <w:r w:rsidRPr="007B0A12">
        <w:t>;</w:t>
      </w:r>
    </w:p>
    <w:p w14:paraId="45D2B352" w14:textId="266769D6" w:rsidR="00E365E1" w:rsidRPr="007B0A12" w:rsidRDefault="00864086" w:rsidP="009B38AE">
      <w:pPr>
        <w:ind w:left="567" w:hanging="567"/>
      </w:pPr>
      <w:r w:rsidRPr="007B0A12">
        <w:t>5.</w:t>
      </w:r>
      <w:r w:rsidRPr="007B0A12">
        <w:tab/>
        <w:t>Jagħti istruzzjonijiet lill-President tiegħu biex tgħaddi l-pożizzjoni tal-Parlament lill-Kunsill u lill-Kummissjoni kif ukoll lill-parlamenti nazzjonali.</w:t>
      </w:r>
    </w:p>
    <w:sectPr w:rsidR="00E365E1" w:rsidRPr="007B0A12" w:rsidSect="007B0A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D935A" w14:textId="77777777" w:rsidR="00AF5F52" w:rsidRPr="007B0A12" w:rsidRDefault="00AF5F52">
      <w:r w:rsidRPr="007B0A12">
        <w:separator/>
      </w:r>
    </w:p>
  </w:endnote>
  <w:endnote w:type="continuationSeparator" w:id="0">
    <w:p w14:paraId="1649BAE1" w14:textId="77777777" w:rsidR="00AF5F52" w:rsidRPr="007B0A12" w:rsidRDefault="00AF5F52">
      <w:r w:rsidRPr="007B0A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9550" w14:textId="77777777" w:rsidR="00064002" w:rsidRPr="007B0A1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0424" w14:textId="77777777" w:rsidR="00064002" w:rsidRPr="007B0A1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01CB2" w14:textId="77777777" w:rsidR="00064002" w:rsidRPr="007B0A1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F2EC6" w14:textId="77777777" w:rsidR="00AF5F52" w:rsidRPr="007B0A12" w:rsidRDefault="00AF5F52">
      <w:r w:rsidRPr="007B0A12">
        <w:separator/>
      </w:r>
    </w:p>
  </w:footnote>
  <w:footnote w:type="continuationSeparator" w:id="0">
    <w:p w14:paraId="2B7E7C80" w14:textId="77777777" w:rsidR="00AF5F52" w:rsidRPr="007B0A12" w:rsidRDefault="00AF5F52">
      <w:r w:rsidRPr="007B0A12">
        <w:continuationSeparator/>
      </w:r>
    </w:p>
  </w:footnote>
  <w:footnote w:id="1">
    <w:p w14:paraId="4F5634CA" w14:textId="3C8AE0C0" w:rsidR="00864086" w:rsidRPr="007B0A12" w:rsidRDefault="00864086" w:rsidP="007B0A12">
      <w:pPr>
        <w:pStyle w:val="FootnoteText"/>
        <w:ind w:left="567" w:hanging="567"/>
        <w:rPr>
          <w:sz w:val="24"/>
          <w:szCs w:val="24"/>
          <w:lang w:val="mt-MT"/>
        </w:rPr>
      </w:pPr>
      <w:r w:rsidRPr="007B0A12">
        <w:rPr>
          <w:rStyle w:val="FootnoteReference"/>
          <w:sz w:val="24"/>
          <w:szCs w:val="24"/>
          <w:lang w:val="mt-MT"/>
        </w:rPr>
        <w:footnoteRef/>
      </w:r>
      <w:r w:rsidR="007B0A12" w:rsidRPr="007B0A12">
        <w:rPr>
          <w:sz w:val="24"/>
          <w:lang w:val="mt-MT"/>
        </w:rPr>
        <w:t xml:space="preserve"> </w:t>
      </w:r>
      <w:r w:rsidR="007B0A12" w:rsidRPr="007B0A12">
        <w:rPr>
          <w:sz w:val="24"/>
          <w:lang w:val="mt-MT"/>
        </w:rPr>
        <w:tab/>
      </w:r>
      <w:r w:rsidRPr="007B0A12">
        <w:rPr>
          <w:sz w:val="24"/>
          <w:lang w:val="mt-MT"/>
        </w:rPr>
        <w:t xml:space="preserve">ĠU C, C/2024/887, 6.2.2024, ELI: </w:t>
      </w:r>
      <w:hyperlink r:id="rId1" w:history="1">
        <w:r w:rsidRPr="007B0A12">
          <w:rPr>
            <w:rStyle w:val="Hyperlink"/>
            <w:sz w:val="24"/>
            <w:lang w:val="mt-MT"/>
          </w:rPr>
          <w:t>http://data.europa.eu/eli/C/2024/887/oj</w:t>
        </w:r>
      </w:hyperlink>
      <w:r w:rsidRPr="007B0A12">
        <w:rPr>
          <w:sz w:val="24"/>
          <w:lang w:val="mt-MT"/>
        </w:rPr>
        <w:t>.</w:t>
      </w:r>
    </w:p>
  </w:footnote>
  <w:footnote w:id="2">
    <w:p w14:paraId="393409AB" w14:textId="5713C7C1" w:rsidR="00864086" w:rsidRPr="007B0A12" w:rsidRDefault="00864086" w:rsidP="007B0A12">
      <w:pPr>
        <w:pStyle w:val="FootnoteText"/>
        <w:ind w:left="567" w:hanging="567"/>
        <w:rPr>
          <w:sz w:val="24"/>
          <w:szCs w:val="24"/>
          <w:lang w:val="mt-MT"/>
        </w:rPr>
      </w:pPr>
      <w:r w:rsidRPr="007B0A12">
        <w:rPr>
          <w:rStyle w:val="FootnoteReference"/>
          <w:sz w:val="24"/>
          <w:szCs w:val="24"/>
          <w:lang w:val="mt-MT"/>
        </w:rPr>
        <w:footnoteRef/>
      </w:r>
      <w:r w:rsidR="007B0A12" w:rsidRPr="007B0A12">
        <w:rPr>
          <w:sz w:val="24"/>
          <w:lang w:val="mt-MT"/>
        </w:rPr>
        <w:t xml:space="preserve"> </w:t>
      </w:r>
      <w:r w:rsidR="007B0A12" w:rsidRPr="007B0A12">
        <w:rPr>
          <w:sz w:val="24"/>
          <w:lang w:val="mt-MT"/>
        </w:rPr>
        <w:tab/>
      </w:r>
      <w:r w:rsidRPr="007B0A12">
        <w:rPr>
          <w:sz w:val="24"/>
          <w:lang w:val="mt-MT"/>
        </w:rPr>
        <w:t xml:space="preserve">ĠU C, C/2024/5371, 17.9.2024, ELI: </w:t>
      </w:r>
      <w:hyperlink r:id="rId2" w:history="1">
        <w:r w:rsidRPr="007B0A12">
          <w:rPr>
            <w:rStyle w:val="Hyperlink"/>
            <w:sz w:val="24"/>
            <w:lang w:val="mt-MT"/>
          </w:rPr>
          <w:t>http://data.europa.eu/eli/C/2024/5371/oj</w:t>
        </w:r>
      </w:hyperlink>
      <w:r w:rsidRPr="007B0A12">
        <w:rPr>
          <w:sz w:val="24"/>
          <w:lang w:val="mt-MT"/>
        </w:rPr>
        <w:t>.</w:t>
      </w:r>
    </w:p>
  </w:footnote>
  <w:footnote w:id="3">
    <w:p w14:paraId="1C63A842" w14:textId="1CC6810F" w:rsidR="00864086" w:rsidRPr="007B0A12" w:rsidRDefault="00864086" w:rsidP="007B0A12">
      <w:pPr>
        <w:pStyle w:val="FootnoteText"/>
        <w:ind w:left="567" w:hanging="567"/>
        <w:rPr>
          <w:sz w:val="24"/>
          <w:szCs w:val="24"/>
          <w:lang w:val="mt-MT"/>
        </w:rPr>
      </w:pPr>
      <w:r w:rsidRPr="007B0A12">
        <w:rPr>
          <w:rStyle w:val="FootnoteReference"/>
          <w:sz w:val="24"/>
          <w:szCs w:val="24"/>
          <w:lang w:val="mt-MT"/>
        </w:rPr>
        <w:footnoteRef/>
      </w:r>
      <w:r w:rsidR="007B0A12" w:rsidRPr="007B0A12">
        <w:rPr>
          <w:sz w:val="24"/>
          <w:lang w:val="mt-MT"/>
        </w:rPr>
        <w:t xml:space="preserve"> </w:t>
      </w:r>
      <w:r w:rsidR="007B0A12" w:rsidRPr="007B0A12">
        <w:rPr>
          <w:sz w:val="24"/>
          <w:lang w:val="mt-MT"/>
        </w:rPr>
        <w:tab/>
      </w:r>
      <w:r w:rsidRPr="007B0A12">
        <w:rPr>
          <w:sz w:val="24"/>
          <w:lang w:val="mt-MT"/>
        </w:rPr>
        <w:t xml:space="preserve">ĠU C, C/2025/1312, 13.3.2025, ELI: </w:t>
      </w:r>
      <w:hyperlink r:id="rId3" w:history="1">
        <w:r w:rsidRPr="007B0A12">
          <w:rPr>
            <w:rStyle w:val="Hyperlink"/>
            <w:sz w:val="24"/>
            <w:lang w:val="mt-MT"/>
          </w:rPr>
          <w:t>http://data.europa.eu/eli/C/2025/1312/oj</w:t>
        </w:r>
      </w:hyperlink>
      <w:r w:rsidRPr="007B0A12">
        <w:rPr>
          <w:sz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488E" w14:textId="77777777" w:rsidR="00064002" w:rsidRPr="007B0A1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FCFF" w14:textId="77777777" w:rsidR="00064002" w:rsidRPr="007B0A1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C00C1" w14:textId="77777777" w:rsidR="00064002" w:rsidRPr="007B0A1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701324666">
    <w:abstractNumId w:val="9"/>
  </w:num>
  <w:num w:numId="2" w16cid:durableId="1837063724">
    <w:abstractNumId w:val="9"/>
  </w:num>
  <w:num w:numId="3" w16cid:durableId="464810067">
    <w:abstractNumId w:val="7"/>
  </w:num>
  <w:num w:numId="4" w16cid:durableId="628433461">
    <w:abstractNumId w:val="7"/>
  </w:num>
  <w:num w:numId="5" w16cid:durableId="455566414">
    <w:abstractNumId w:val="6"/>
  </w:num>
  <w:num w:numId="6" w16cid:durableId="574358995">
    <w:abstractNumId w:val="6"/>
  </w:num>
  <w:num w:numId="7" w16cid:durableId="868614956">
    <w:abstractNumId w:val="5"/>
  </w:num>
  <w:num w:numId="8" w16cid:durableId="862329500">
    <w:abstractNumId w:val="5"/>
  </w:num>
  <w:num w:numId="9" w16cid:durableId="427433810">
    <w:abstractNumId w:val="4"/>
  </w:num>
  <w:num w:numId="10" w16cid:durableId="147095215">
    <w:abstractNumId w:val="4"/>
  </w:num>
  <w:num w:numId="11" w16cid:durableId="1716731817">
    <w:abstractNumId w:val="8"/>
  </w:num>
  <w:num w:numId="12" w16cid:durableId="540559808">
    <w:abstractNumId w:val="8"/>
  </w:num>
  <w:num w:numId="13" w16cid:durableId="1267542884">
    <w:abstractNumId w:val="3"/>
  </w:num>
  <w:num w:numId="14" w16cid:durableId="986976695">
    <w:abstractNumId w:val="3"/>
  </w:num>
  <w:num w:numId="15" w16cid:durableId="546842112">
    <w:abstractNumId w:val="2"/>
  </w:num>
  <w:num w:numId="16" w16cid:durableId="2102992008">
    <w:abstractNumId w:val="2"/>
  </w:num>
  <w:num w:numId="17" w16cid:durableId="1501585143">
    <w:abstractNumId w:val="1"/>
  </w:num>
  <w:num w:numId="18" w16cid:durableId="935405802">
    <w:abstractNumId w:val="1"/>
  </w:num>
  <w:num w:numId="19" w16cid:durableId="182090828">
    <w:abstractNumId w:val="0"/>
  </w:num>
  <w:num w:numId="20" w16cid:durableId="1297955080">
    <w:abstractNumId w:val="0"/>
  </w:num>
  <w:num w:numId="21" w16cid:durableId="1320111146">
    <w:abstractNumId w:val="9"/>
  </w:num>
  <w:num w:numId="22" w16cid:durableId="747503975">
    <w:abstractNumId w:val="7"/>
  </w:num>
  <w:num w:numId="23" w16cid:durableId="965700496">
    <w:abstractNumId w:val="6"/>
  </w:num>
  <w:num w:numId="24" w16cid:durableId="2075078606">
    <w:abstractNumId w:val="5"/>
  </w:num>
  <w:num w:numId="25" w16cid:durableId="1205218311">
    <w:abstractNumId w:val="4"/>
  </w:num>
  <w:num w:numId="26" w16cid:durableId="145096711">
    <w:abstractNumId w:val="8"/>
  </w:num>
  <w:num w:numId="27" w16cid:durableId="1327440617">
    <w:abstractNumId w:val="3"/>
  </w:num>
  <w:num w:numId="28" w16cid:durableId="1286890065">
    <w:abstractNumId w:val="2"/>
  </w:num>
  <w:num w:numId="29" w16cid:durableId="538712471">
    <w:abstractNumId w:val="1"/>
  </w:num>
  <w:num w:numId="30" w16cid:durableId="230582912">
    <w:abstractNumId w:val="0"/>
  </w:num>
  <w:num w:numId="31" w16cid:durableId="1323698487">
    <w:abstractNumId w:val="9"/>
  </w:num>
  <w:num w:numId="32" w16cid:durableId="1849445325">
    <w:abstractNumId w:val="7"/>
  </w:num>
  <w:num w:numId="33" w16cid:durableId="1401366033">
    <w:abstractNumId w:val="6"/>
  </w:num>
  <w:num w:numId="34" w16cid:durableId="1438989958">
    <w:abstractNumId w:val="5"/>
  </w:num>
  <w:num w:numId="35" w16cid:durableId="2116709296">
    <w:abstractNumId w:val="4"/>
  </w:num>
  <w:num w:numId="36" w16cid:durableId="536747293">
    <w:abstractNumId w:val="8"/>
  </w:num>
  <w:num w:numId="37" w16cid:durableId="427653946">
    <w:abstractNumId w:val="3"/>
  </w:num>
  <w:num w:numId="38" w16cid:durableId="882206096">
    <w:abstractNumId w:val="2"/>
  </w:num>
  <w:num w:numId="39" w16cid:durableId="520507776">
    <w:abstractNumId w:val="1"/>
  </w:num>
  <w:num w:numId="40" w16cid:durableId="1718163919">
    <w:abstractNumId w:val="0"/>
  </w:num>
  <w:num w:numId="41" w16cid:durableId="797604190">
    <w:abstractNumId w:val="10"/>
  </w:num>
  <w:num w:numId="42" w16cid:durableId="1587837127">
    <w:abstractNumId w:val="10"/>
  </w:num>
  <w:num w:numId="43" w16cid:durableId="211036418">
    <w:abstractNumId w:val="10"/>
  </w:num>
  <w:num w:numId="44" w16cid:durableId="2130080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4/2025"/>
    <w:docVar w:name="dvlangue" w:val="MT"/>
    <w:docVar w:name="dvnumam" w:val="0"/>
    <w:docVar w:name="dvpe" w:val="778.280"/>
    <w:docVar w:name="dvrapporteur" w:val="Rapporteur: "/>
    <w:docVar w:name="dvstar" w:val="***II"/>
    <w:docVar w:name="dvtitre" w:val="Riżoluzzjoni leġiżlattiva tal-Parlament Ewropew tat-23 ta' Ottubru 2025 dwar il-pożizzjoni tal-Kunsill fl-ewwel qari għall-adozzjoni ta’ direttiva tal-Parlament Ewropew u tal-Kunsill dwar il-Monitoraġġ u r-Reżiljenza tal-Ħamrija (Liġi dwar il-Monitoraġġ tal-Ħamrija)(09474/1/2025 – C10-0229/2025 – 2023/0232(COD))"/>
  </w:docVars>
  <w:rsids>
    <w:rsidRoot w:val="00AF5F5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028B9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0A12"/>
    <w:rsid w:val="007C17DA"/>
    <w:rsid w:val="007D1690"/>
    <w:rsid w:val="007E22AD"/>
    <w:rsid w:val="00817416"/>
    <w:rsid w:val="00842779"/>
    <w:rsid w:val="00864086"/>
    <w:rsid w:val="00865F67"/>
    <w:rsid w:val="00881A7B"/>
    <w:rsid w:val="008840E5"/>
    <w:rsid w:val="00887B3E"/>
    <w:rsid w:val="008C2AC6"/>
    <w:rsid w:val="008E0509"/>
    <w:rsid w:val="00930C23"/>
    <w:rsid w:val="0093193B"/>
    <w:rsid w:val="009509D8"/>
    <w:rsid w:val="00950B64"/>
    <w:rsid w:val="00981893"/>
    <w:rsid w:val="009B38AE"/>
    <w:rsid w:val="00A1687D"/>
    <w:rsid w:val="00A43E52"/>
    <w:rsid w:val="00A4678D"/>
    <w:rsid w:val="00A778C7"/>
    <w:rsid w:val="00AB441E"/>
    <w:rsid w:val="00AB6293"/>
    <w:rsid w:val="00AE0928"/>
    <w:rsid w:val="00AF3B82"/>
    <w:rsid w:val="00AF5F5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D6BA6"/>
  <w15:chartTrackingRefBased/>
  <w15:docId w15:val="{7B35B7DA-F321-4960-8E2B-CD754A59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64086"/>
    <w:pPr>
      <w:spacing w:before="480" w:after="240"/>
    </w:pPr>
  </w:style>
  <w:style w:type="paragraph" w:customStyle="1" w:styleId="NormalBold">
    <w:name w:val="NormalBold"/>
    <w:basedOn w:val="Normal"/>
    <w:rsid w:val="00864086"/>
    <w:rPr>
      <w:b/>
    </w:rPr>
  </w:style>
  <w:style w:type="paragraph" w:customStyle="1" w:styleId="NormalHanging12a">
    <w:name w:val="NormalHanging12a"/>
    <w:basedOn w:val="Normal"/>
    <w:rsid w:val="00864086"/>
    <w:pPr>
      <w:spacing w:after="240"/>
      <w:ind w:left="567" w:hanging="567"/>
    </w:pPr>
  </w:style>
  <w:style w:type="character" w:styleId="Hyperlink">
    <w:name w:val="Hyperlink"/>
    <w:basedOn w:val="DefaultParagraphFont"/>
    <w:rsid w:val="008640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312/oj" TargetMode="External"/><Relationship Id="rId2" Type="http://schemas.openxmlformats.org/officeDocument/2006/relationships/hyperlink" Target="http://data.europa.eu/eli/C/2024/5371/oj" TargetMode="External"/><Relationship Id="rId1" Type="http://schemas.openxmlformats.org/officeDocument/2006/relationships/hyperlink" Target="http://data.europa.eu/eli/C/2024/8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2025-10-23T10:38:00Z</dcterms:created>
  <dcterms:modified xsi:type="dcterms:W3CDTF">2025-10-23T10:38:00Z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A10-0204/2025</vt:lpwstr>
  </property>
  <property fmtid="{D5CDD505-2E9C-101B-9397-08002B2CF9AE}" pid="4" name="&lt;Type&gt;">
    <vt:lpwstr>RR</vt:lpwstr>
  </property>
</Properties>
</file>