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B5B44" w14:paraId="72DCDA09" w14:textId="77777777" w:rsidTr="0010095E">
        <w:trPr>
          <w:trHeight w:hRule="exact" w:val="1418"/>
        </w:trPr>
        <w:tc>
          <w:tcPr>
            <w:tcW w:w="6804" w:type="dxa"/>
            <w:shd w:val="clear" w:color="auto" w:fill="auto"/>
            <w:vAlign w:val="center"/>
          </w:tcPr>
          <w:p w14:paraId="42270AC1" w14:textId="77777777" w:rsidR="00751A4A" w:rsidRPr="008B5B44" w:rsidRDefault="002E5211" w:rsidP="0010095E">
            <w:pPr>
              <w:pStyle w:val="EPName"/>
            </w:pPr>
            <w:r w:rsidRPr="008B5B44">
              <w:t>Europees Parlement</w:t>
            </w:r>
          </w:p>
          <w:p w14:paraId="6ED45CA3" w14:textId="77777777" w:rsidR="00751A4A" w:rsidRPr="008B5B44" w:rsidRDefault="005F1B17" w:rsidP="005F1B17">
            <w:pPr>
              <w:pStyle w:val="EPTerm"/>
              <w:rPr>
                <w:rStyle w:val="HideTWBExt"/>
                <w:noProof w:val="0"/>
                <w:vanish w:val="0"/>
                <w:color w:val="auto"/>
              </w:rPr>
            </w:pPr>
            <w:r w:rsidRPr="008B5B44">
              <w:t>2024</w:t>
            </w:r>
            <w:r w:rsidR="00817416" w:rsidRPr="008B5B44">
              <w:t>-202</w:t>
            </w:r>
            <w:r w:rsidRPr="008B5B44">
              <w:t>9</w:t>
            </w:r>
          </w:p>
        </w:tc>
        <w:tc>
          <w:tcPr>
            <w:tcW w:w="2268" w:type="dxa"/>
            <w:shd w:val="clear" w:color="auto" w:fill="auto"/>
          </w:tcPr>
          <w:p w14:paraId="63F2C0D7" w14:textId="77777777" w:rsidR="00751A4A" w:rsidRPr="008B5B44" w:rsidRDefault="00187494" w:rsidP="0010095E">
            <w:pPr>
              <w:pStyle w:val="EPLogo"/>
            </w:pPr>
            <w:r w:rsidRPr="008B5B44">
              <w:rPr>
                <w:noProof/>
                <w:lang w:eastAsia="ja-JP"/>
              </w:rPr>
              <w:drawing>
                <wp:inline distT="0" distB="0" distL="0" distR="0" wp14:anchorId="553F9B6A" wp14:editId="043A04F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DA5749F" w14:textId="77777777" w:rsidR="00D058B8" w:rsidRPr="008B5B44" w:rsidRDefault="00D058B8" w:rsidP="004C5D52">
      <w:pPr>
        <w:pStyle w:val="LineTop"/>
      </w:pPr>
    </w:p>
    <w:p w14:paraId="6F77BA38" w14:textId="77777777" w:rsidR="00680577" w:rsidRPr="008B5B44" w:rsidRDefault="002E5211" w:rsidP="00680577">
      <w:pPr>
        <w:pStyle w:val="EPBodyTA1"/>
      </w:pPr>
      <w:r w:rsidRPr="008B5B44">
        <w:t>AANGENOMEN TEKSTEN</w:t>
      </w:r>
    </w:p>
    <w:p w14:paraId="5F2FFAF7" w14:textId="77777777" w:rsidR="00D058B8" w:rsidRPr="008B5B44" w:rsidRDefault="00D058B8" w:rsidP="00D058B8">
      <w:pPr>
        <w:pStyle w:val="LineBottom"/>
      </w:pPr>
    </w:p>
    <w:p w14:paraId="4EBBC30D" w14:textId="369B93C6" w:rsidR="002E5211" w:rsidRPr="008B5B44" w:rsidRDefault="002E5211" w:rsidP="002E5211">
      <w:pPr>
        <w:pStyle w:val="ATHeading1"/>
      </w:pPr>
      <w:bookmarkStart w:id="0" w:name="TANumber"/>
      <w:r w:rsidRPr="008B5B44">
        <w:t>P10_TA(2025)0</w:t>
      </w:r>
      <w:r w:rsidR="008272D7" w:rsidRPr="008B5B44">
        <w:t>251</w:t>
      </w:r>
      <w:bookmarkEnd w:id="0"/>
    </w:p>
    <w:p w14:paraId="1436A417" w14:textId="77777777" w:rsidR="002E5211" w:rsidRPr="008B5B44" w:rsidRDefault="002E5211" w:rsidP="002E5211">
      <w:pPr>
        <w:pStyle w:val="ATHeading2"/>
      </w:pPr>
      <w:bookmarkStart w:id="1" w:name="title"/>
      <w:r w:rsidRPr="008B5B44">
        <w:t>Bodemmonitoring en -veerkracht (richtlijn bodemmonitoring)</w:t>
      </w:r>
      <w:bookmarkEnd w:id="1"/>
    </w:p>
    <w:p w14:paraId="0F41BC15" w14:textId="77777777" w:rsidR="002E5211" w:rsidRPr="008B5B44" w:rsidRDefault="002E5211" w:rsidP="002E5211">
      <w:pPr>
        <w:rPr>
          <w:i/>
          <w:vanish/>
        </w:rPr>
      </w:pPr>
      <w:r w:rsidRPr="008B5B44">
        <w:rPr>
          <w:i/>
        </w:rPr>
        <w:fldChar w:fldCharType="begin"/>
      </w:r>
      <w:r w:rsidRPr="008B5B44">
        <w:rPr>
          <w:i/>
        </w:rPr>
        <w:instrText xml:space="preserve"> TC"(</w:instrText>
      </w:r>
      <w:bookmarkStart w:id="2" w:name="DocNumber"/>
      <w:r w:rsidRPr="008B5B44">
        <w:rPr>
          <w:i/>
        </w:rPr>
        <w:instrText>A10-0204/2025</w:instrText>
      </w:r>
      <w:bookmarkEnd w:id="2"/>
      <w:r w:rsidRPr="008B5B44">
        <w:rPr>
          <w:i/>
        </w:rPr>
        <w:instrText xml:space="preserve"> - Rapporteur: Martin Hojsík)"\l3 \n&gt; \* MERGEFORMAT </w:instrText>
      </w:r>
      <w:r w:rsidRPr="008B5B44">
        <w:rPr>
          <w:i/>
        </w:rPr>
        <w:fldChar w:fldCharType="end"/>
      </w:r>
    </w:p>
    <w:p w14:paraId="67D92E2B" w14:textId="77777777" w:rsidR="002E5211" w:rsidRPr="008B5B44" w:rsidRDefault="002E5211" w:rsidP="002E5211">
      <w:pPr>
        <w:rPr>
          <w:vanish/>
        </w:rPr>
      </w:pPr>
      <w:bookmarkStart w:id="3" w:name="Commission"/>
      <w:r w:rsidRPr="008B5B44">
        <w:rPr>
          <w:vanish/>
        </w:rPr>
        <w:t>Commissie milieubeheer, klimaat en voedselveiligheid</w:t>
      </w:r>
      <w:bookmarkEnd w:id="3"/>
    </w:p>
    <w:p w14:paraId="11CD1ED6" w14:textId="77777777" w:rsidR="002E5211" w:rsidRPr="008B5B44" w:rsidRDefault="002E5211" w:rsidP="002E5211">
      <w:pPr>
        <w:rPr>
          <w:vanish/>
        </w:rPr>
      </w:pPr>
      <w:bookmarkStart w:id="4" w:name="PE"/>
      <w:r w:rsidRPr="008B5B44">
        <w:rPr>
          <w:vanish/>
        </w:rPr>
        <w:t>PE778.280</w:t>
      </w:r>
      <w:bookmarkEnd w:id="4"/>
    </w:p>
    <w:p w14:paraId="0524AAD9" w14:textId="77777777" w:rsidR="002E5211" w:rsidRPr="008B5B44" w:rsidRDefault="002E5211" w:rsidP="002E5211">
      <w:pPr>
        <w:pStyle w:val="ATHeading3"/>
      </w:pPr>
      <w:bookmarkStart w:id="5" w:name="Sujet"/>
      <w:r w:rsidRPr="008B5B44">
        <w:t>Wetgevingsresolutie van het Europees Parlement van 23 oktober 2025 over het standpunt van de Raad in eerste lezing met het oog op de vaststelling van een richtlijn van het Europees Parlement en de Raad inzake bodemmonitoring en -veerkracht (richtlijn bodemmonitoring)</w:t>
      </w:r>
      <w:bookmarkEnd w:id="5"/>
      <w:r w:rsidRPr="008B5B44">
        <w:t xml:space="preserve"> </w:t>
      </w:r>
      <w:bookmarkStart w:id="6" w:name="References"/>
      <w:r w:rsidRPr="008B5B44">
        <w:t>(09474/1/2025 – C10-0229/2025 – 2023/0232(COD))</w:t>
      </w:r>
      <w:bookmarkEnd w:id="6"/>
    </w:p>
    <w:p w14:paraId="6ABAF5A9" w14:textId="77777777" w:rsidR="002E5211" w:rsidRPr="008B5B44" w:rsidRDefault="002E5211" w:rsidP="002E5211"/>
    <w:p w14:paraId="3FF20ADF" w14:textId="77777777" w:rsidR="00C53BD6" w:rsidRPr="008B5B44" w:rsidRDefault="00C53BD6" w:rsidP="00C53BD6">
      <w:pPr>
        <w:pStyle w:val="NormalBold"/>
      </w:pPr>
      <w:bookmarkStart w:id="7" w:name="TextBodyBegin"/>
      <w:bookmarkEnd w:id="7"/>
      <w:r w:rsidRPr="008B5B44">
        <w:t>(Gewone wetgevingsprocedure: tweede lezing)</w:t>
      </w:r>
    </w:p>
    <w:p w14:paraId="4397F4B6" w14:textId="77777777" w:rsidR="00C53BD6" w:rsidRPr="008B5B44" w:rsidRDefault="00C53BD6" w:rsidP="00C53BD6">
      <w:pPr>
        <w:pStyle w:val="EPComma"/>
      </w:pPr>
      <w:r w:rsidRPr="008B5B44">
        <w:rPr>
          <w:i/>
        </w:rPr>
        <w:t>Het Europees Parlement</w:t>
      </w:r>
      <w:r w:rsidRPr="008B5B44">
        <w:t>,</w:t>
      </w:r>
    </w:p>
    <w:p w14:paraId="3793D2F1" w14:textId="77777777" w:rsidR="00C53BD6" w:rsidRPr="008B5B44" w:rsidRDefault="00C53BD6" w:rsidP="00C53BD6">
      <w:pPr>
        <w:pStyle w:val="NormalHanging12a"/>
      </w:pPr>
      <w:r w:rsidRPr="008B5B44">
        <w:t>–</w:t>
      </w:r>
      <w:r w:rsidRPr="008B5B44">
        <w:tab/>
        <w:t>gezien het standpunt van de Raad in eerste lezing (09474/1/2025 – C10</w:t>
      </w:r>
      <w:r w:rsidRPr="008B5B44">
        <w:noBreakHyphen/>
        <w:t>0229/2025),</w:t>
      </w:r>
    </w:p>
    <w:p w14:paraId="3D1045D0" w14:textId="77777777" w:rsidR="00C53BD6" w:rsidRPr="008B5B44" w:rsidRDefault="00C53BD6" w:rsidP="00C53BD6">
      <w:pPr>
        <w:pStyle w:val="NormalHanging12a"/>
      </w:pPr>
      <w:r w:rsidRPr="008B5B44">
        <w:t>–</w:t>
      </w:r>
      <w:r w:rsidRPr="008B5B44">
        <w:tab/>
        <w:t>gezien de gemotiveerde adviezen die in het kader van Protocol nr. 2 betreffende de toepassing van de beginselen van subsidiariteit en evenredigheid zijn uitgebracht door de Nederlandse Eerste Kamer en de Nederlandse Tweede Kamer, en waarin wordt gesteld dat het ontwerp van wetgevingshandeling niet strookt met het subsidiariteitsbeginsel,</w:t>
      </w:r>
    </w:p>
    <w:p w14:paraId="3453035F" w14:textId="77777777" w:rsidR="00C53BD6" w:rsidRPr="008B5B44" w:rsidRDefault="00C53BD6" w:rsidP="00C53BD6">
      <w:pPr>
        <w:pStyle w:val="NormalHanging12a"/>
      </w:pPr>
      <w:r w:rsidRPr="008B5B44">
        <w:t>–</w:t>
      </w:r>
      <w:r w:rsidRPr="008B5B44">
        <w:tab/>
        <w:t>gezien het advies van het Europees Economisch en Sociaal Comité van 25 oktober 2023</w:t>
      </w:r>
      <w:r w:rsidRPr="008B5B44">
        <w:rPr>
          <w:vertAlign w:val="superscript"/>
        </w:rPr>
        <w:footnoteReference w:id="1"/>
      </w:r>
      <w:r w:rsidRPr="008B5B44">
        <w:t>,</w:t>
      </w:r>
    </w:p>
    <w:p w14:paraId="6FB51FF0" w14:textId="77777777" w:rsidR="00C53BD6" w:rsidRPr="008B5B44" w:rsidRDefault="00C53BD6" w:rsidP="00C53BD6">
      <w:pPr>
        <w:pStyle w:val="NormalHanging12a"/>
      </w:pPr>
      <w:r w:rsidRPr="008B5B44">
        <w:t>–</w:t>
      </w:r>
      <w:r w:rsidRPr="008B5B44">
        <w:tab/>
        <w:t>gezien het advies van het Comité van de Regio’s van 19 juni 2024</w:t>
      </w:r>
      <w:r w:rsidRPr="008B5B44">
        <w:rPr>
          <w:vertAlign w:val="superscript"/>
        </w:rPr>
        <w:footnoteReference w:id="2"/>
      </w:r>
      <w:r w:rsidRPr="008B5B44">
        <w:t>,</w:t>
      </w:r>
    </w:p>
    <w:p w14:paraId="12971E85" w14:textId="77777777" w:rsidR="00C53BD6" w:rsidRPr="008B5B44" w:rsidRDefault="00C53BD6" w:rsidP="00C53BD6">
      <w:pPr>
        <w:pStyle w:val="NormalHanging12a"/>
      </w:pPr>
      <w:r w:rsidRPr="008B5B44">
        <w:t>–</w:t>
      </w:r>
      <w:r w:rsidRPr="008B5B44">
        <w:tab/>
        <w:t>gezien zijn in eerste lezing geformuleerde standpunt</w:t>
      </w:r>
      <w:r w:rsidRPr="008B5B44">
        <w:rPr>
          <w:rStyle w:val="FootnoteReference"/>
        </w:rPr>
        <w:footnoteReference w:id="3"/>
      </w:r>
      <w:r w:rsidRPr="008B5B44">
        <w:t xml:space="preserve"> inzake het voorstel van de Commissie aan het Europees Parlement en de Raad (COM(2023)0416),</w:t>
      </w:r>
    </w:p>
    <w:p w14:paraId="4A7A902F" w14:textId="77777777" w:rsidR="00C53BD6" w:rsidRPr="008B5B44" w:rsidRDefault="00C53BD6" w:rsidP="00C53BD6">
      <w:pPr>
        <w:pStyle w:val="NormalHanging12a"/>
      </w:pPr>
      <w:r w:rsidRPr="008B5B44">
        <w:t>–</w:t>
      </w:r>
      <w:r w:rsidRPr="008B5B44">
        <w:tab/>
        <w:t>gezien artikel 294, lid 7, van het Verdrag betreffende de werking van de Europese Unie,</w:t>
      </w:r>
    </w:p>
    <w:p w14:paraId="5AFA39EF" w14:textId="77777777" w:rsidR="00C53BD6" w:rsidRPr="008B5B44" w:rsidRDefault="00C53BD6" w:rsidP="00C53BD6">
      <w:pPr>
        <w:pStyle w:val="NormalHanging12a"/>
      </w:pPr>
      <w:r w:rsidRPr="008B5B44">
        <w:t>–</w:t>
      </w:r>
      <w:r w:rsidRPr="008B5B44">
        <w:tab/>
        <w:t>gezien het overeenkomstig artikel 75, lid 4, van zijn Reglement door de bevoegde commissie goedgekeurde voorlopig akkoord,</w:t>
      </w:r>
    </w:p>
    <w:p w14:paraId="4C8D5E04" w14:textId="77777777" w:rsidR="00C53BD6" w:rsidRPr="008B5B44" w:rsidRDefault="00C53BD6" w:rsidP="00C53BD6">
      <w:pPr>
        <w:pStyle w:val="NormalHanging12a"/>
        <w:tabs>
          <w:tab w:val="left" w:pos="567"/>
        </w:tabs>
        <w:ind w:left="0" w:firstLine="0"/>
      </w:pPr>
      <w:r w:rsidRPr="008B5B44">
        <w:lastRenderedPageBreak/>
        <w:t>–</w:t>
      </w:r>
      <w:r w:rsidRPr="008B5B44">
        <w:tab/>
        <w:t>gezien artikel 68 van zijn Reglement,</w:t>
      </w:r>
    </w:p>
    <w:p w14:paraId="665C9146" w14:textId="77777777" w:rsidR="00C53BD6" w:rsidRPr="008B5B44" w:rsidRDefault="00C53BD6" w:rsidP="00C53BD6">
      <w:pPr>
        <w:pStyle w:val="NormalHanging12a"/>
      </w:pPr>
      <w:r w:rsidRPr="008B5B44">
        <w:t>–</w:t>
      </w:r>
      <w:r w:rsidRPr="008B5B44">
        <w:tab/>
        <w:t>gezien de aanbeveling voor de tweede lezing van de Commissie milieubeheer, klimaat en voedselveiligheid (A10</w:t>
      </w:r>
      <w:r w:rsidRPr="008B5B44">
        <w:noBreakHyphen/>
        <w:t>0204/2025),</w:t>
      </w:r>
    </w:p>
    <w:p w14:paraId="083E11C2" w14:textId="77777777" w:rsidR="00C53BD6" w:rsidRPr="008B5B44" w:rsidRDefault="00C53BD6" w:rsidP="00C53BD6">
      <w:pPr>
        <w:pStyle w:val="NormalHanging12a"/>
      </w:pPr>
      <w:r w:rsidRPr="008B5B44">
        <w:t>1.</w:t>
      </w:r>
      <w:r w:rsidRPr="008B5B44">
        <w:tab/>
        <w:t>hecht zijn goedkeuring aan het standpunt van de Raad in eerste lezing;</w:t>
      </w:r>
    </w:p>
    <w:p w14:paraId="503C0575" w14:textId="77777777" w:rsidR="00C53BD6" w:rsidRPr="008B5B44" w:rsidRDefault="00C53BD6" w:rsidP="00C53BD6">
      <w:pPr>
        <w:pStyle w:val="NormalHanging12a"/>
      </w:pPr>
      <w:r w:rsidRPr="008B5B44">
        <w:t>2.</w:t>
      </w:r>
      <w:r w:rsidRPr="008B5B44">
        <w:tab/>
        <w:t>constateert dat de handeling is vastgesteld overeenkomstig het standpunt van de Raad;</w:t>
      </w:r>
    </w:p>
    <w:p w14:paraId="29AA4C5F" w14:textId="77777777" w:rsidR="00C53BD6" w:rsidRPr="008B5B44" w:rsidRDefault="00C53BD6" w:rsidP="00C53BD6">
      <w:pPr>
        <w:pStyle w:val="NormalHanging12a"/>
      </w:pPr>
      <w:r w:rsidRPr="008B5B44">
        <w:t>3.</w:t>
      </w:r>
      <w:r w:rsidRPr="008B5B44">
        <w:tab/>
        <w:t>verzoekt zijn Voorzitter de handeling samen met de voorzitter van de Raad overeenkomstig artikel 297, lid 1, van het Verdrag betreffende de werking van de Europese Unie te ondertekenen;</w:t>
      </w:r>
    </w:p>
    <w:p w14:paraId="05409D73" w14:textId="77777777" w:rsidR="00C53BD6" w:rsidRPr="008B5B44" w:rsidRDefault="00C53BD6" w:rsidP="00C53BD6">
      <w:pPr>
        <w:pStyle w:val="NormalHanging12a"/>
      </w:pPr>
      <w:r w:rsidRPr="008B5B44">
        <w:t>4.</w:t>
      </w:r>
      <w:r w:rsidRPr="008B5B44">
        <w:tab/>
        <w:t xml:space="preserve">verzoekt zijn secretaris-generaal de handeling te ondertekenen nadat is nagegaan of alle procedures naar behoren zijn uitgevoerd, en met de secretaris-generaal van de Raad te zorgen voor bekendmaking ervan in het </w:t>
      </w:r>
      <w:r w:rsidRPr="008B5B44">
        <w:rPr>
          <w:i/>
        </w:rPr>
        <w:t>Publicatieblad van de Europese Unie</w:t>
      </w:r>
      <w:r w:rsidRPr="008B5B44">
        <w:t>;</w:t>
      </w:r>
    </w:p>
    <w:p w14:paraId="1AE4FC74" w14:textId="27A761EF" w:rsidR="00090F46" w:rsidRPr="008B5B44" w:rsidRDefault="00C53BD6" w:rsidP="00090F46">
      <w:pPr>
        <w:pStyle w:val="NormalHanging12a"/>
      </w:pPr>
      <w:r w:rsidRPr="008B5B44">
        <w:t>5.</w:t>
      </w:r>
      <w:r w:rsidRPr="008B5B44">
        <w:tab/>
        <w:t>verzoekt zijn Voorzitter het standpunt van het Parlement te doen toekomen aan de Raad en de Commissie alsook aan de nationale parlementen.</w:t>
      </w:r>
    </w:p>
    <w:sectPr w:rsidR="00090F46" w:rsidRPr="008B5B44" w:rsidSect="00090F46">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FA6CF" w14:textId="77777777" w:rsidR="002E5211" w:rsidRPr="00090F46" w:rsidRDefault="002E5211">
      <w:r w:rsidRPr="00090F46">
        <w:separator/>
      </w:r>
    </w:p>
  </w:endnote>
  <w:endnote w:type="continuationSeparator" w:id="0">
    <w:p w14:paraId="3237B295" w14:textId="77777777" w:rsidR="002E5211" w:rsidRPr="00090F46" w:rsidRDefault="002E5211">
      <w:r w:rsidRPr="00090F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altName w:val="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9BA25" w14:textId="77777777" w:rsidR="00064002" w:rsidRPr="00090F46"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02423" w14:textId="77777777" w:rsidR="00064002" w:rsidRPr="00090F46"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E35FC" w14:textId="77777777" w:rsidR="00064002" w:rsidRPr="00090F46"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E020D" w14:textId="77777777" w:rsidR="002E5211" w:rsidRPr="00090F46" w:rsidRDefault="002E5211">
      <w:r w:rsidRPr="00090F46">
        <w:separator/>
      </w:r>
    </w:p>
  </w:footnote>
  <w:footnote w:type="continuationSeparator" w:id="0">
    <w:p w14:paraId="2A80DEFF" w14:textId="77777777" w:rsidR="002E5211" w:rsidRPr="00090F46" w:rsidRDefault="002E5211">
      <w:r w:rsidRPr="00090F46">
        <w:continuationSeparator/>
      </w:r>
    </w:p>
  </w:footnote>
  <w:footnote w:id="1">
    <w:p w14:paraId="1BC99ECA" w14:textId="2CB47D3B" w:rsidR="00C53BD6" w:rsidRPr="00090F46" w:rsidRDefault="00C53BD6" w:rsidP="00090F46">
      <w:pPr>
        <w:pStyle w:val="FootnoteText"/>
        <w:ind w:left="567" w:hanging="567"/>
        <w:rPr>
          <w:sz w:val="24"/>
          <w:lang w:val="nl-NL"/>
        </w:rPr>
      </w:pPr>
      <w:r w:rsidRPr="00090F46">
        <w:rPr>
          <w:rStyle w:val="FootnoteReference"/>
          <w:sz w:val="24"/>
          <w:lang w:val="nl-NL"/>
        </w:rPr>
        <w:footnoteRef/>
      </w:r>
      <w:r w:rsidR="00090F46" w:rsidRPr="00090F46">
        <w:rPr>
          <w:sz w:val="24"/>
          <w:lang w:val="nl-NL"/>
        </w:rPr>
        <w:t xml:space="preserve"> </w:t>
      </w:r>
      <w:r w:rsidR="00090F46" w:rsidRPr="00090F46">
        <w:rPr>
          <w:sz w:val="24"/>
          <w:lang w:val="nl-NL"/>
        </w:rPr>
        <w:tab/>
      </w:r>
      <w:r w:rsidRPr="00090F46">
        <w:rPr>
          <w:sz w:val="24"/>
          <w:lang w:val="nl-NL"/>
        </w:rPr>
        <w:t xml:space="preserve">PB C, C/2024/887, 6.2.2024, ELI: </w:t>
      </w:r>
      <w:hyperlink r:id="rId1" w:history="1">
        <w:r w:rsidRPr="00090F46">
          <w:rPr>
            <w:rStyle w:val="Hyperlink"/>
            <w:sz w:val="24"/>
            <w:lang w:val="nl-NL"/>
          </w:rPr>
          <w:t>http://data.europa.eu/eli/C/2024/887/oj</w:t>
        </w:r>
      </w:hyperlink>
      <w:r w:rsidRPr="00090F46">
        <w:rPr>
          <w:sz w:val="24"/>
          <w:lang w:val="nl-NL"/>
        </w:rPr>
        <w:t>.</w:t>
      </w:r>
    </w:p>
  </w:footnote>
  <w:footnote w:id="2">
    <w:p w14:paraId="20DD683A" w14:textId="457D5547" w:rsidR="00C53BD6" w:rsidRPr="00090F46" w:rsidRDefault="00C53BD6" w:rsidP="00090F46">
      <w:pPr>
        <w:pStyle w:val="FootnoteText"/>
        <w:ind w:left="567" w:hanging="567"/>
        <w:rPr>
          <w:sz w:val="24"/>
          <w:lang w:val="nl-NL"/>
        </w:rPr>
      </w:pPr>
      <w:r w:rsidRPr="00090F46">
        <w:rPr>
          <w:rStyle w:val="FootnoteReference"/>
          <w:sz w:val="24"/>
          <w:lang w:val="nl-NL"/>
        </w:rPr>
        <w:footnoteRef/>
      </w:r>
      <w:r w:rsidR="00090F46" w:rsidRPr="00090F46">
        <w:rPr>
          <w:sz w:val="24"/>
          <w:lang w:val="nl-NL"/>
        </w:rPr>
        <w:t xml:space="preserve"> </w:t>
      </w:r>
      <w:r w:rsidR="00090F46" w:rsidRPr="00090F46">
        <w:rPr>
          <w:sz w:val="24"/>
          <w:lang w:val="nl-NL"/>
        </w:rPr>
        <w:tab/>
      </w:r>
      <w:r w:rsidRPr="00090F46">
        <w:rPr>
          <w:sz w:val="24"/>
          <w:lang w:val="nl-NL"/>
        </w:rPr>
        <w:t xml:space="preserve">PB C, C/2024/5371, 17.9.2024, ELI: </w:t>
      </w:r>
      <w:hyperlink r:id="rId2" w:history="1">
        <w:r w:rsidRPr="00090F46">
          <w:rPr>
            <w:rStyle w:val="Hyperlink"/>
            <w:sz w:val="24"/>
            <w:lang w:val="nl-NL"/>
          </w:rPr>
          <w:t>http://data.europa.eu/eli/C/2024/5371/oj</w:t>
        </w:r>
      </w:hyperlink>
      <w:r w:rsidRPr="00090F46">
        <w:rPr>
          <w:sz w:val="24"/>
          <w:lang w:val="nl-NL"/>
        </w:rPr>
        <w:t>.</w:t>
      </w:r>
    </w:p>
  </w:footnote>
  <w:footnote w:id="3">
    <w:p w14:paraId="68F43F6D" w14:textId="6FEE8F55" w:rsidR="00C53BD6" w:rsidRPr="00090F46" w:rsidRDefault="00C53BD6" w:rsidP="00090F46">
      <w:pPr>
        <w:pStyle w:val="FootnoteText"/>
        <w:ind w:left="567" w:hanging="567"/>
        <w:rPr>
          <w:sz w:val="24"/>
          <w:lang w:val="nl-NL"/>
        </w:rPr>
      </w:pPr>
      <w:r w:rsidRPr="00090F46">
        <w:rPr>
          <w:rStyle w:val="FootnoteReference"/>
          <w:sz w:val="24"/>
          <w:lang w:val="nl-NL"/>
        </w:rPr>
        <w:footnoteRef/>
      </w:r>
      <w:r w:rsidR="00090F46" w:rsidRPr="00090F46">
        <w:rPr>
          <w:sz w:val="24"/>
          <w:lang w:val="nl-NL"/>
        </w:rPr>
        <w:t xml:space="preserve"> </w:t>
      </w:r>
      <w:r w:rsidR="00090F46" w:rsidRPr="00090F46">
        <w:rPr>
          <w:sz w:val="24"/>
          <w:lang w:val="nl-NL"/>
        </w:rPr>
        <w:tab/>
      </w:r>
      <w:r w:rsidRPr="00090F46">
        <w:rPr>
          <w:sz w:val="24"/>
          <w:lang w:val="nl-NL"/>
        </w:rPr>
        <w:t xml:space="preserve">PB C, C/2025/1312, 13.3.2025, ELI: </w:t>
      </w:r>
      <w:hyperlink r:id="rId3" w:history="1">
        <w:r w:rsidRPr="00090F46">
          <w:rPr>
            <w:rStyle w:val="Hyperlink"/>
            <w:sz w:val="24"/>
            <w:lang w:val="nl-NL"/>
          </w:rPr>
          <w:t>http://data.europa.eu/eli/C/2025/1312/oj</w:t>
        </w:r>
      </w:hyperlink>
      <w:r w:rsidRPr="00090F46">
        <w:rPr>
          <w:sz w:val="24"/>
          <w:lang w:val="nl-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2DFD2" w14:textId="77777777" w:rsidR="00064002" w:rsidRPr="00090F46"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74541" w14:textId="77777777" w:rsidR="00064002" w:rsidRPr="00090F46"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31F7D" w14:textId="77777777" w:rsidR="00064002" w:rsidRPr="00090F46"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885457613">
    <w:abstractNumId w:val="9"/>
  </w:num>
  <w:num w:numId="2" w16cid:durableId="770319617">
    <w:abstractNumId w:val="9"/>
  </w:num>
  <w:num w:numId="3" w16cid:durableId="1040592678">
    <w:abstractNumId w:val="7"/>
  </w:num>
  <w:num w:numId="4" w16cid:durableId="584188423">
    <w:abstractNumId w:val="7"/>
  </w:num>
  <w:num w:numId="5" w16cid:durableId="235745346">
    <w:abstractNumId w:val="6"/>
  </w:num>
  <w:num w:numId="6" w16cid:durableId="299120587">
    <w:abstractNumId w:val="6"/>
  </w:num>
  <w:num w:numId="7" w16cid:durableId="890775082">
    <w:abstractNumId w:val="5"/>
  </w:num>
  <w:num w:numId="8" w16cid:durableId="915284061">
    <w:abstractNumId w:val="5"/>
  </w:num>
  <w:num w:numId="9" w16cid:durableId="1912426251">
    <w:abstractNumId w:val="4"/>
  </w:num>
  <w:num w:numId="10" w16cid:durableId="1686244390">
    <w:abstractNumId w:val="4"/>
  </w:num>
  <w:num w:numId="11" w16cid:durableId="215706190">
    <w:abstractNumId w:val="8"/>
  </w:num>
  <w:num w:numId="12" w16cid:durableId="1388453986">
    <w:abstractNumId w:val="8"/>
  </w:num>
  <w:num w:numId="13" w16cid:durableId="1526676508">
    <w:abstractNumId w:val="3"/>
  </w:num>
  <w:num w:numId="14" w16cid:durableId="2065831101">
    <w:abstractNumId w:val="3"/>
  </w:num>
  <w:num w:numId="15" w16cid:durableId="1136484784">
    <w:abstractNumId w:val="2"/>
  </w:num>
  <w:num w:numId="16" w16cid:durableId="2125492423">
    <w:abstractNumId w:val="2"/>
  </w:num>
  <w:num w:numId="17" w16cid:durableId="515077563">
    <w:abstractNumId w:val="1"/>
  </w:num>
  <w:num w:numId="18" w16cid:durableId="1018123954">
    <w:abstractNumId w:val="1"/>
  </w:num>
  <w:num w:numId="19" w16cid:durableId="692152393">
    <w:abstractNumId w:val="0"/>
  </w:num>
  <w:num w:numId="20" w16cid:durableId="314068064">
    <w:abstractNumId w:val="0"/>
  </w:num>
  <w:num w:numId="21" w16cid:durableId="630400725">
    <w:abstractNumId w:val="9"/>
  </w:num>
  <w:num w:numId="22" w16cid:durableId="339234949">
    <w:abstractNumId w:val="7"/>
  </w:num>
  <w:num w:numId="23" w16cid:durableId="1294629883">
    <w:abstractNumId w:val="6"/>
  </w:num>
  <w:num w:numId="24" w16cid:durableId="1952393847">
    <w:abstractNumId w:val="5"/>
  </w:num>
  <w:num w:numId="25" w16cid:durableId="1056514757">
    <w:abstractNumId w:val="4"/>
  </w:num>
  <w:num w:numId="26" w16cid:durableId="68382052">
    <w:abstractNumId w:val="8"/>
  </w:num>
  <w:num w:numId="27" w16cid:durableId="374699816">
    <w:abstractNumId w:val="3"/>
  </w:num>
  <w:num w:numId="28" w16cid:durableId="21908287">
    <w:abstractNumId w:val="2"/>
  </w:num>
  <w:num w:numId="29" w16cid:durableId="20740894">
    <w:abstractNumId w:val="1"/>
  </w:num>
  <w:num w:numId="30" w16cid:durableId="746223000">
    <w:abstractNumId w:val="0"/>
  </w:num>
  <w:num w:numId="31" w16cid:durableId="633291319">
    <w:abstractNumId w:val="9"/>
  </w:num>
  <w:num w:numId="32" w16cid:durableId="405421484">
    <w:abstractNumId w:val="7"/>
  </w:num>
  <w:num w:numId="33" w16cid:durableId="291257492">
    <w:abstractNumId w:val="6"/>
  </w:num>
  <w:num w:numId="34" w16cid:durableId="1366635738">
    <w:abstractNumId w:val="5"/>
  </w:num>
  <w:num w:numId="35" w16cid:durableId="481703696">
    <w:abstractNumId w:val="4"/>
  </w:num>
  <w:num w:numId="36" w16cid:durableId="1916158225">
    <w:abstractNumId w:val="8"/>
  </w:num>
  <w:num w:numId="37" w16cid:durableId="850070713">
    <w:abstractNumId w:val="3"/>
  </w:num>
  <w:num w:numId="38" w16cid:durableId="1769963179">
    <w:abstractNumId w:val="2"/>
  </w:num>
  <w:num w:numId="39" w16cid:durableId="231355995">
    <w:abstractNumId w:val="1"/>
  </w:num>
  <w:num w:numId="40" w16cid:durableId="1705909545">
    <w:abstractNumId w:val="0"/>
  </w:num>
  <w:num w:numId="41" w16cid:durableId="1498685866">
    <w:abstractNumId w:val="10"/>
  </w:num>
  <w:num w:numId="42" w16cid:durableId="168522723">
    <w:abstractNumId w:val="10"/>
  </w:num>
  <w:num w:numId="43" w16cid:durableId="935671252">
    <w:abstractNumId w:val="10"/>
  </w:num>
  <w:num w:numId="44" w16cid:durableId="664601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04/2025"/>
    <w:docVar w:name="dvlangue" w:val="NL"/>
    <w:docVar w:name="dvnumam" w:val="0"/>
    <w:docVar w:name="dvpe" w:val="778.280"/>
    <w:docVar w:name="dvrapporteur" w:val="Rapporteur: "/>
    <w:docVar w:name="dvstar" w:val="***II"/>
    <w:docVar w:name="dvtitre" w:val="Wetgevingsresolutie van het Europees Parlement van 23 oktober 2025 over het standpunt van de Raad in eerste lezing met het oog op de vaststelling van een richtlijn van het Europees Parlement en de Raad inzake bodemmonitoring en -veerkracht (richtlijn bodemmonitoring)(09474/1/2025 – C10-0229/2025 – 2023/0232(COD))"/>
  </w:docVars>
  <w:rsids>
    <w:rsidRoot w:val="002E5211"/>
    <w:rsid w:val="00002272"/>
    <w:rsid w:val="00064002"/>
    <w:rsid w:val="000677B9"/>
    <w:rsid w:val="000831BA"/>
    <w:rsid w:val="00090F46"/>
    <w:rsid w:val="000A42CC"/>
    <w:rsid w:val="000E7DD9"/>
    <w:rsid w:val="0010095E"/>
    <w:rsid w:val="00125B37"/>
    <w:rsid w:val="00187494"/>
    <w:rsid w:val="001F32AE"/>
    <w:rsid w:val="002767FF"/>
    <w:rsid w:val="002B18FE"/>
    <w:rsid w:val="002B5493"/>
    <w:rsid w:val="002E5211"/>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272D7"/>
    <w:rsid w:val="0083332B"/>
    <w:rsid w:val="00842779"/>
    <w:rsid w:val="00865F67"/>
    <w:rsid w:val="00881A7B"/>
    <w:rsid w:val="008840E5"/>
    <w:rsid w:val="00887B3E"/>
    <w:rsid w:val="008B5B44"/>
    <w:rsid w:val="008C2AC6"/>
    <w:rsid w:val="008F11D2"/>
    <w:rsid w:val="00930C23"/>
    <w:rsid w:val="0093193B"/>
    <w:rsid w:val="009509D8"/>
    <w:rsid w:val="00950B64"/>
    <w:rsid w:val="00981893"/>
    <w:rsid w:val="009B431B"/>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53BD6"/>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1A0883"/>
  <w15:chartTrackingRefBased/>
  <w15:docId w15:val="{D2C0D35F-2418-449C-917C-E4B6BF3DC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nl-NL"/>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C53BD6"/>
    <w:pPr>
      <w:spacing w:before="480" w:after="240"/>
    </w:pPr>
  </w:style>
  <w:style w:type="paragraph" w:customStyle="1" w:styleId="NormalBold">
    <w:name w:val="NormalBold"/>
    <w:basedOn w:val="Normal"/>
    <w:rsid w:val="00C53BD6"/>
    <w:rPr>
      <w:b/>
    </w:rPr>
  </w:style>
  <w:style w:type="paragraph" w:customStyle="1" w:styleId="NormalHanging12a">
    <w:name w:val="NormalHanging12a"/>
    <w:basedOn w:val="Normal"/>
    <w:rsid w:val="00C53BD6"/>
    <w:pPr>
      <w:spacing w:after="240"/>
      <w:ind w:left="567" w:hanging="567"/>
    </w:pPr>
  </w:style>
  <w:style w:type="character" w:styleId="Hyperlink">
    <w:name w:val="Hyperlink"/>
    <w:basedOn w:val="DefaultParagraphFont"/>
    <w:rsid w:val="00C53BD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C/2025/1312/oj" TargetMode="External"/><Relationship Id="rId2" Type="http://schemas.openxmlformats.org/officeDocument/2006/relationships/hyperlink" Target="http://data.europa.eu/eli/C/2024/5371/oj" TargetMode="External"/><Relationship Id="rId1" Type="http://schemas.openxmlformats.org/officeDocument/2006/relationships/hyperlink" Target="http://data.europa.eu/eli/C/2024/887/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339</Words>
  <Characters>2168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SLOSSE Filiep</dc:creator>
  <cp:keywords/>
  <cp:lastModifiedBy>SLOSSE Filiep</cp:lastModifiedBy>
  <cp:revision>2</cp:revision>
  <cp:lastPrinted>2004-11-19T15:42:00Z</cp:lastPrinted>
  <dcterms:created xsi:type="dcterms:W3CDTF">2025-10-23T13:05:00Z</dcterms:created>
  <dcterms:modified xsi:type="dcterms:W3CDTF">2025-10-23T13:05:00Z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NL</vt:lpwstr>
  </property>
  <property fmtid="{D5CDD505-2E9C-101B-9397-08002B2CF9AE}" pid="3" name="&lt;FdR&gt;">
    <vt:lpwstr>A10-0204/2025</vt:lpwstr>
  </property>
  <property fmtid="{D5CDD505-2E9C-101B-9397-08002B2CF9AE}" pid="4" name="&lt;Type&gt;">
    <vt:lpwstr>RR</vt:lpwstr>
  </property>
</Properties>
</file>