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7F83" w14:paraId="384E7E2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CE01FA" w14:textId="77777777" w:rsidR="00751A4A" w:rsidRPr="00807F83" w:rsidRDefault="00405B9A" w:rsidP="0010095E">
            <w:pPr>
              <w:pStyle w:val="EPName"/>
            </w:pPr>
            <w:r w:rsidRPr="00807F83">
              <w:t>Evropski parlament</w:t>
            </w:r>
          </w:p>
          <w:p w14:paraId="172EAFFC" w14:textId="77777777" w:rsidR="00751A4A" w:rsidRPr="00807F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7F83">
              <w:t>2024</w:t>
            </w:r>
            <w:r w:rsidR="00817416" w:rsidRPr="00807F83">
              <w:t>-202</w:t>
            </w:r>
            <w:r w:rsidRPr="00807F83">
              <w:t>9</w:t>
            </w:r>
          </w:p>
        </w:tc>
        <w:tc>
          <w:tcPr>
            <w:tcW w:w="2268" w:type="dxa"/>
            <w:shd w:val="clear" w:color="auto" w:fill="auto"/>
          </w:tcPr>
          <w:p w14:paraId="75221A0E" w14:textId="77777777" w:rsidR="00751A4A" w:rsidRPr="00807F83" w:rsidRDefault="00187494" w:rsidP="0010095E">
            <w:pPr>
              <w:pStyle w:val="EPLogo"/>
            </w:pPr>
            <w:r w:rsidRPr="00807F83">
              <w:rPr>
                <w:noProof/>
                <w:lang w:eastAsia="ja-JP"/>
              </w:rPr>
              <w:drawing>
                <wp:inline distT="0" distB="0" distL="0" distR="0" wp14:anchorId="2BD01571" wp14:editId="68D34F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4B5E30" w14:textId="77777777" w:rsidR="00D058B8" w:rsidRPr="00807F83" w:rsidRDefault="00D058B8" w:rsidP="004C5D52">
      <w:pPr>
        <w:pStyle w:val="LineTop"/>
      </w:pPr>
    </w:p>
    <w:p w14:paraId="0469291D" w14:textId="77777777" w:rsidR="00680577" w:rsidRPr="00807F83" w:rsidRDefault="00405B9A" w:rsidP="00680577">
      <w:pPr>
        <w:pStyle w:val="EPBodyTA1"/>
      </w:pPr>
      <w:r w:rsidRPr="00807F83">
        <w:t>SPREJETA BESEDILA</w:t>
      </w:r>
    </w:p>
    <w:p w14:paraId="515AF090" w14:textId="77777777" w:rsidR="00D058B8" w:rsidRPr="00807F83" w:rsidRDefault="00D058B8" w:rsidP="00D058B8">
      <w:pPr>
        <w:pStyle w:val="LineBottom"/>
      </w:pPr>
    </w:p>
    <w:p w14:paraId="28CB928A" w14:textId="43472589" w:rsidR="00405B9A" w:rsidRPr="00807F83" w:rsidRDefault="00405B9A" w:rsidP="00405B9A">
      <w:pPr>
        <w:pStyle w:val="ATHeading1"/>
      </w:pPr>
      <w:bookmarkStart w:id="0" w:name="TANumber"/>
      <w:r w:rsidRPr="00807F83">
        <w:t>P10_TA(2025)0</w:t>
      </w:r>
      <w:bookmarkEnd w:id="0"/>
      <w:r w:rsidR="009B63F9">
        <w:t>251</w:t>
      </w:r>
    </w:p>
    <w:p w14:paraId="24C183E3" w14:textId="17214A1E" w:rsidR="00405B9A" w:rsidRPr="00807F83" w:rsidRDefault="00350EBC" w:rsidP="00405B9A">
      <w:pPr>
        <w:pStyle w:val="ATHeading2"/>
      </w:pPr>
      <w:bookmarkStart w:id="1" w:name="title"/>
      <w:r w:rsidRPr="00807F83">
        <w:t xml:space="preserve">Monitoring </w:t>
      </w:r>
      <w:r w:rsidR="00405B9A" w:rsidRPr="00807F83">
        <w:t>in odpornost tal (</w:t>
      </w:r>
      <w:r w:rsidR="00961C8C">
        <w:t>pravna ureditev</w:t>
      </w:r>
      <w:r w:rsidR="00405B9A" w:rsidRPr="00807F83">
        <w:t xml:space="preserve"> </w:t>
      </w:r>
      <w:r w:rsidRPr="00807F83">
        <w:t>monitoring</w:t>
      </w:r>
      <w:r w:rsidR="00961C8C">
        <w:t>a</w:t>
      </w:r>
      <w:r w:rsidRPr="00807F83">
        <w:t xml:space="preserve"> </w:t>
      </w:r>
      <w:r w:rsidR="00405B9A" w:rsidRPr="00807F83">
        <w:t>tal)</w:t>
      </w:r>
      <w:bookmarkEnd w:id="1"/>
    </w:p>
    <w:p w14:paraId="2EED6772" w14:textId="77777777" w:rsidR="00405B9A" w:rsidRPr="00807F83" w:rsidRDefault="00405B9A" w:rsidP="00405B9A">
      <w:pPr>
        <w:rPr>
          <w:i/>
          <w:vanish/>
        </w:rPr>
      </w:pPr>
      <w:r w:rsidRPr="00807F83">
        <w:rPr>
          <w:i/>
        </w:rPr>
        <w:fldChar w:fldCharType="begin"/>
      </w:r>
      <w:r w:rsidRPr="00807F83">
        <w:rPr>
          <w:i/>
        </w:rPr>
        <w:instrText xml:space="preserve"> TC"(</w:instrText>
      </w:r>
      <w:bookmarkStart w:id="2" w:name="DocNumber"/>
      <w:r w:rsidRPr="00807F83">
        <w:rPr>
          <w:i/>
        </w:rPr>
        <w:instrText>A10-0204/2025</w:instrText>
      </w:r>
      <w:bookmarkEnd w:id="2"/>
      <w:r w:rsidRPr="00807F83">
        <w:rPr>
          <w:i/>
        </w:rPr>
        <w:instrText xml:space="preserve"> - Poročevalec: Martin Hojsík)"\l3 \n&gt; \* MERGEFORMAT </w:instrText>
      </w:r>
      <w:r w:rsidRPr="00807F83">
        <w:rPr>
          <w:i/>
        </w:rPr>
        <w:fldChar w:fldCharType="end"/>
      </w:r>
    </w:p>
    <w:p w14:paraId="64A63AEE" w14:textId="77777777" w:rsidR="00405B9A" w:rsidRPr="00807F83" w:rsidRDefault="00405B9A" w:rsidP="00405B9A">
      <w:pPr>
        <w:rPr>
          <w:vanish/>
        </w:rPr>
      </w:pPr>
      <w:bookmarkStart w:id="3" w:name="Commission"/>
      <w:r w:rsidRPr="00807F83">
        <w:rPr>
          <w:vanish/>
        </w:rPr>
        <w:t>Odbor za okolje, podnebje in varnost hrane</w:t>
      </w:r>
      <w:bookmarkEnd w:id="3"/>
    </w:p>
    <w:p w14:paraId="582FB758" w14:textId="77777777" w:rsidR="00405B9A" w:rsidRPr="00807F83" w:rsidRDefault="00405B9A" w:rsidP="00405B9A">
      <w:pPr>
        <w:rPr>
          <w:vanish/>
        </w:rPr>
      </w:pPr>
      <w:bookmarkStart w:id="4" w:name="PE"/>
      <w:r w:rsidRPr="00807F83">
        <w:rPr>
          <w:vanish/>
        </w:rPr>
        <w:t>PE778.280</w:t>
      </w:r>
      <w:bookmarkEnd w:id="4"/>
    </w:p>
    <w:p w14:paraId="3999809D" w14:textId="2FD95258" w:rsidR="00405B9A" w:rsidRPr="00807F83" w:rsidRDefault="00405B9A" w:rsidP="00405B9A">
      <w:pPr>
        <w:pStyle w:val="ATHeading3"/>
      </w:pPr>
      <w:bookmarkStart w:id="5" w:name="Sujet"/>
      <w:r w:rsidRPr="00807F83">
        <w:t xml:space="preserve">Zakonodajna resolucija Evropskega parlamenta z dne 23. oktobra 2025 o stališču Sveta v prvi obravnavi z namenom sprejetja direktive Evropskega parlamenta in Sveta o </w:t>
      </w:r>
      <w:r w:rsidR="0085223E" w:rsidRPr="00807F83">
        <w:t xml:space="preserve">monitoringu </w:t>
      </w:r>
      <w:r w:rsidRPr="00807F83">
        <w:t>in odpornosti tal (</w:t>
      </w:r>
      <w:r w:rsidR="0085223E" w:rsidRPr="00807F83">
        <w:t>pravna ureditev</w:t>
      </w:r>
      <w:r w:rsidRPr="00807F83">
        <w:t xml:space="preserve"> </w:t>
      </w:r>
      <w:r w:rsidR="0085223E" w:rsidRPr="00807F83">
        <w:t>monitoringa</w:t>
      </w:r>
      <w:r w:rsidRPr="00807F83">
        <w:t xml:space="preserve"> tal)</w:t>
      </w:r>
      <w:bookmarkEnd w:id="5"/>
      <w:r w:rsidRPr="00807F83">
        <w:t xml:space="preserve"> </w:t>
      </w:r>
      <w:bookmarkStart w:id="6" w:name="References"/>
      <w:r w:rsidRPr="00807F83">
        <w:t>(09474/1/2025 – C10-0229/2025 – 2023/0232(COD))</w:t>
      </w:r>
      <w:bookmarkEnd w:id="6"/>
    </w:p>
    <w:p w14:paraId="6C31E4BD" w14:textId="77777777" w:rsidR="00101E4A" w:rsidRPr="00807F83" w:rsidRDefault="00101E4A" w:rsidP="00101E4A">
      <w:pPr>
        <w:pStyle w:val="NormalBold"/>
      </w:pPr>
      <w:r w:rsidRPr="00807F83">
        <w:t>(Redni zakonodajni postopek: druga obravnava)</w:t>
      </w:r>
    </w:p>
    <w:p w14:paraId="512106F1" w14:textId="77777777" w:rsidR="00101E4A" w:rsidRPr="00807F83" w:rsidRDefault="00101E4A" w:rsidP="00101E4A">
      <w:pPr>
        <w:pStyle w:val="EPComma"/>
      </w:pPr>
      <w:r w:rsidRPr="00807F83">
        <w:rPr>
          <w:i/>
        </w:rPr>
        <w:t>Evropski parlament</w:t>
      </w:r>
      <w:r w:rsidRPr="00807F83">
        <w:t>,</w:t>
      </w:r>
    </w:p>
    <w:p w14:paraId="7B14351F" w14:textId="77777777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>ob upoštevanju stališča Sveta v prvi obravnavi (09474/1/2025 – C10</w:t>
      </w:r>
      <w:r w:rsidRPr="00807F83">
        <w:noBreakHyphen/>
        <w:t>0229/2025),</w:t>
      </w:r>
    </w:p>
    <w:p w14:paraId="5146E3D7" w14:textId="13071D88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 xml:space="preserve">ob upoštevanju obrazloženega mnenja nizozemskega senata in nizozemske poslanske zbornice v </w:t>
      </w:r>
      <w:r w:rsidR="00AD4544" w:rsidRPr="00807F83">
        <w:t>okviru</w:t>
      </w:r>
      <w:r w:rsidRPr="00807F83">
        <w:t xml:space="preserve"> Protokol</w:t>
      </w:r>
      <w:r w:rsidR="00AD4544" w:rsidRPr="00807F83">
        <w:t>a</w:t>
      </w:r>
      <w:r w:rsidRPr="00807F83">
        <w:t xml:space="preserve"> št. 2 o uporabi načel subsidiarnosti in sorazmernosti, v katerem izjavljata, da osnutek zakonodajnega akta ni v skladu z načelom subsidiarnosti,</w:t>
      </w:r>
    </w:p>
    <w:p w14:paraId="279F996E" w14:textId="77777777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>ob upoštevanju mnenja Evropskega ekonomsko-socialnega odbora z dne 25. oktobra 2023</w:t>
      </w:r>
      <w:r w:rsidRPr="00807F83">
        <w:rPr>
          <w:rStyle w:val="FootnoteReference"/>
        </w:rPr>
        <w:footnoteReference w:id="1"/>
      </w:r>
      <w:r w:rsidRPr="00807F83">
        <w:t>,</w:t>
      </w:r>
    </w:p>
    <w:p w14:paraId="30CDE123" w14:textId="77777777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>ob upoštevanju mnenja Odbora regij z dne 19. junija 2024</w:t>
      </w:r>
      <w:r w:rsidRPr="00807F83">
        <w:rPr>
          <w:rStyle w:val="FootnoteReference"/>
        </w:rPr>
        <w:footnoteReference w:id="2"/>
      </w:r>
      <w:r w:rsidRPr="00807F83">
        <w:t>,</w:t>
      </w:r>
    </w:p>
    <w:p w14:paraId="6542BCD3" w14:textId="77777777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>ob upoštevanju svojega stališča v prvi obravnavi</w:t>
      </w:r>
      <w:r w:rsidRPr="00807F83">
        <w:rPr>
          <w:rStyle w:val="FootnoteReference"/>
        </w:rPr>
        <w:footnoteReference w:id="3"/>
      </w:r>
      <w:r w:rsidRPr="00807F83">
        <w:t xml:space="preserve"> o predlogu Komisije Evropskemu parlamentu in Svetu (COM(2023)0416),</w:t>
      </w:r>
    </w:p>
    <w:p w14:paraId="4C52E4EF" w14:textId="77777777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>ob upoštevanju člena 294(7) Pogodbe o delovanju Evropske unije,</w:t>
      </w:r>
    </w:p>
    <w:p w14:paraId="23258F73" w14:textId="77777777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>ob upoštevanju začasnega dogovora, ki ga je odobril pristojni odbor v skladu s členom 75(4) Poslovnika,</w:t>
      </w:r>
    </w:p>
    <w:p w14:paraId="72FCF475" w14:textId="77777777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>ob upoštevanju člena 68 Poslovnika,</w:t>
      </w:r>
    </w:p>
    <w:p w14:paraId="6D3B29DB" w14:textId="77777777" w:rsidR="00101E4A" w:rsidRPr="00807F83" w:rsidRDefault="00101E4A" w:rsidP="00101E4A">
      <w:pPr>
        <w:pStyle w:val="NormalHanging12a"/>
      </w:pPr>
      <w:r w:rsidRPr="00807F83">
        <w:t>–</w:t>
      </w:r>
      <w:r w:rsidRPr="00807F83">
        <w:tab/>
        <w:t xml:space="preserve">ob upoštevanju priporočila za drugo obravnavo Odbora za okolje, podnebje in varnost </w:t>
      </w:r>
      <w:r w:rsidRPr="00807F83">
        <w:lastRenderedPageBreak/>
        <w:t>hrane (A10</w:t>
      </w:r>
      <w:r w:rsidRPr="00807F83">
        <w:noBreakHyphen/>
        <w:t>0204/2025),</w:t>
      </w:r>
    </w:p>
    <w:p w14:paraId="11C1B26B" w14:textId="77777777" w:rsidR="00101E4A" w:rsidRPr="00807F83" w:rsidRDefault="00101E4A" w:rsidP="00101E4A">
      <w:pPr>
        <w:pStyle w:val="NormalHanging12a"/>
      </w:pPr>
      <w:r w:rsidRPr="00807F83">
        <w:t>1.</w:t>
      </w:r>
      <w:r w:rsidRPr="00807F83">
        <w:tab/>
        <w:t>odobri stališče Sveta v prvi obravnavi;</w:t>
      </w:r>
    </w:p>
    <w:p w14:paraId="4EE67016" w14:textId="77777777" w:rsidR="00101E4A" w:rsidRPr="00807F83" w:rsidRDefault="00101E4A" w:rsidP="00101E4A">
      <w:pPr>
        <w:pStyle w:val="NormalHanging12a"/>
      </w:pPr>
      <w:r w:rsidRPr="00807F83">
        <w:t>2.</w:t>
      </w:r>
      <w:r w:rsidRPr="00807F83">
        <w:tab/>
        <w:t>ugotavlja, da je akt sprejet v skladu s stališčem Sveta;</w:t>
      </w:r>
    </w:p>
    <w:p w14:paraId="7966E530" w14:textId="1D267485" w:rsidR="00101E4A" w:rsidRPr="00807F83" w:rsidRDefault="00101E4A" w:rsidP="00101E4A">
      <w:pPr>
        <w:pStyle w:val="NormalHanging12a"/>
      </w:pPr>
      <w:r w:rsidRPr="00807F83">
        <w:t>3.</w:t>
      </w:r>
      <w:r w:rsidRPr="00807F83">
        <w:tab/>
        <w:t xml:space="preserve">naroči svoji predsednici, naj skupaj s predsednikom Sveta podpiše akt </w:t>
      </w:r>
      <w:r w:rsidR="00350EBC" w:rsidRPr="00807F83">
        <w:t>v skladu</w:t>
      </w:r>
      <w:r w:rsidRPr="00807F83">
        <w:t xml:space="preserve"> </w:t>
      </w:r>
      <w:r w:rsidR="00181B27" w:rsidRPr="00807F83">
        <w:t xml:space="preserve">s </w:t>
      </w:r>
      <w:r w:rsidRPr="00807F83">
        <w:t>člen</w:t>
      </w:r>
      <w:r w:rsidR="00350EBC" w:rsidRPr="00807F83">
        <w:t>om</w:t>
      </w:r>
      <w:r w:rsidRPr="00807F83">
        <w:t xml:space="preserve"> 297(1) Pogodbe o delovanju Evropske unije;</w:t>
      </w:r>
    </w:p>
    <w:p w14:paraId="7B736389" w14:textId="77777777" w:rsidR="00101E4A" w:rsidRPr="00807F83" w:rsidRDefault="00101E4A" w:rsidP="00101E4A">
      <w:pPr>
        <w:pStyle w:val="NormalHanging12a"/>
      </w:pPr>
      <w:r w:rsidRPr="00807F83">
        <w:t>4.</w:t>
      </w:r>
      <w:r w:rsidRPr="00807F83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807F83">
        <w:rPr>
          <w:i/>
        </w:rPr>
        <w:t>Uradnem listu Evropske unije</w:t>
      </w:r>
      <w:r w:rsidRPr="00807F83">
        <w:t>;</w:t>
      </w:r>
    </w:p>
    <w:p w14:paraId="57DA0049" w14:textId="245B84E8" w:rsidR="00E365E1" w:rsidRPr="00807F83" w:rsidRDefault="00101E4A" w:rsidP="00350EBC">
      <w:pPr>
        <w:pStyle w:val="NormalHanging12a"/>
      </w:pPr>
      <w:r w:rsidRPr="00807F83">
        <w:t>5.</w:t>
      </w:r>
      <w:r w:rsidRPr="00807F83">
        <w:tab/>
        <w:t>naroči svoji predsednici, naj stališče Parlamenta posreduje Svetu</w:t>
      </w:r>
      <w:r w:rsidR="00350EBC" w:rsidRPr="00807F83">
        <w:t>,</w:t>
      </w:r>
      <w:r w:rsidRPr="00807F83">
        <w:t xml:space="preserve"> Komisiji </w:t>
      </w:r>
      <w:r w:rsidR="00350EBC" w:rsidRPr="00807F83">
        <w:t>in</w:t>
      </w:r>
      <w:r w:rsidRPr="00807F83">
        <w:t xml:space="preserve"> nacionalnim parlamentom.</w:t>
      </w:r>
    </w:p>
    <w:sectPr w:rsidR="00E365E1" w:rsidRPr="00807F83" w:rsidSect="000727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069C3" w14:textId="77777777" w:rsidR="00405B9A" w:rsidRPr="00072764" w:rsidRDefault="00405B9A">
      <w:r w:rsidRPr="00072764">
        <w:separator/>
      </w:r>
    </w:p>
  </w:endnote>
  <w:endnote w:type="continuationSeparator" w:id="0">
    <w:p w14:paraId="0A545B2D" w14:textId="77777777" w:rsidR="00405B9A" w:rsidRPr="00072764" w:rsidRDefault="00405B9A">
      <w:r w:rsidRPr="000727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E9E7" w14:textId="77777777" w:rsidR="00064002" w:rsidRPr="000727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74C54" w14:textId="77777777" w:rsidR="00064002" w:rsidRPr="000727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95190" w14:textId="77777777" w:rsidR="00064002" w:rsidRPr="000727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412F0" w14:textId="77777777" w:rsidR="00405B9A" w:rsidRPr="00072764" w:rsidRDefault="00405B9A">
      <w:r w:rsidRPr="00072764">
        <w:separator/>
      </w:r>
    </w:p>
  </w:footnote>
  <w:footnote w:type="continuationSeparator" w:id="0">
    <w:p w14:paraId="5063B96D" w14:textId="77777777" w:rsidR="00405B9A" w:rsidRPr="00072764" w:rsidRDefault="00405B9A">
      <w:r w:rsidRPr="00072764">
        <w:continuationSeparator/>
      </w:r>
    </w:p>
  </w:footnote>
  <w:footnote w:id="1">
    <w:p w14:paraId="01D4C11A" w14:textId="200F8832" w:rsidR="00101E4A" w:rsidRPr="00072764" w:rsidRDefault="00101E4A" w:rsidP="00072764">
      <w:pPr>
        <w:pStyle w:val="FootnoteText"/>
        <w:ind w:left="567" w:hanging="567"/>
        <w:rPr>
          <w:sz w:val="24"/>
          <w:lang w:val="sl-SI"/>
        </w:rPr>
      </w:pPr>
      <w:r w:rsidRPr="00072764">
        <w:rPr>
          <w:rStyle w:val="FootnoteReference"/>
          <w:sz w:val="24"/>
          <w:lang w:val="sl-SI"/>
        </w:rPr>
        <w:footnoteRef/>
      </w:r>
      <w:r w:rsidR="00072764" w:rsidRPr="00072764">
        <w:rPr>
          <w:sz w:val="24"/>
          <w:lang w:val="sl-SI"/>
        </w:rPr>
        <w:t xml:space="preserve"> </w:t>
      </w:r>
      <w:r w:rsidR="00072764" w:rsidRPr="00072764">
        <w:rPr>
          <w:sz w:val="24"/>
          <w:lang w:val="sl-SI"/>
        </w:rPr>
        <w:tab/>
      </w:r>
      <w:r w:rsidRPr="00072764">
        <w:rPr>
          <w:sz w:val="24"/>
          <w:lang w:val="sl-SI"/>
        </w:rPr>
        <w:t xml:space="preserve">UL C, C/2024/887, 6.2.2024, ELI: </w:t>
      </w:r>
      <w:hyperlink r:id="rId1" w:history="1">
        <w:r w:rsidRPr="00072764">
          <w:rPr>
            <w:rStyle w:val="Hyperlink"/>
            <w:sz w:val="24"/>
            <w:lang w:val="sl-SI"/>
          </w:rPr>
          <w:t>http://data.europa.eu/eli/C/2024/887/oj</w:t>
        </w:r>
      </w:hyperlink>
      <w:r w:rsidRPr="00072764">
        <w:rPr>
          <w:sz w:val="24"/>
          <w:lang w:val="sl-SI"/>
        </w:rPr>
        <w:t>.</w:t>
      </w:r>
    </w:p>
  </w:footnote>
  <w:footnote w:id="2">
    <w:p w14:paraId="5A00BA0A" w14:textId="100F8F93" w:rsidR="00101E4A" w:rsidRPr="00072764" w:rsidRDefault="00101E4A" w:rsidP="00072764">
      <w:pPr>
        <w:pStyle w:val="FootnoteText"/>
        <w:ind w:left="567" w:hanging="567"/>
        <w:rPr>
          <w:sz w:val="24"/>
          <w:lang w:val="sl-SI"/>
        </w:rPr>
      </w:pPr>
      <w:r w:rsidRPr="00072764">
        <w:rPr>
          <w:rStyle w:val="FootnoteReference"/>
          <w:sz w:val="24"/>
          <w:lang w:val="sl-SI"/>
        </w:rPr>
        <w:footnoteRef/>
      </w:r>
      <w:r w:rsidR="00072764" w:rsidRPr="00072764">
        <w:rPr>
          <w:sz w:val="24"/>
          <w:lang w:val="sl-SI"/>
        </w:rPr>
        <w:t xml:space="preserve"> </w:t>
      </w:r>
      <w:r w:rsidR="00072764" w:rsidRPr="00072764">
        <w:rPr>
          <w:sz w:val="24"/>
          <w:lang w:val="sl-SI"/>
        </w:rPr>
        <w:tab/>
      </w:r>
      <w:r w:rsidRPr="00072764">
        <w:rPr>
          <w:sz w:val="24"/>
          <w:lang w:val="sl-SI"/>
        </w:rPr>
        <w:t xml:space="preserve">UL C, C/2024/5371, 17.9.2024, ELI: </w:t>
      </w:r>
      <w:hyperlink r:id="rId2" w:history="1">
        <w:r w:rsidRPr="00072764">
          <w:rPr>
            <w:rStyle w:val="Hyperlink"/>
            <w:sz w:val="24"/>
            <w:lang w:val="sl-SI"/>
          </w:rPr>
          <w:t>http://data.europa.eu/eli/C/2024/5371/oj</w:t>
        </w:r>
      </w:hyperlink>
      <w:r w:rsidRPr="00072764">
        <w:rPr>
          <w:sz w:val="24"/>
          <w:lang w:val="sl-SI"/>
        </w:rPr>
        <w:t>.</w:t>
      </w:r>
    </w:p>
  </w:footnote>
  <w:footnote w:id="3">
    <w:p w14:paraId="68EE094B" w14:textId="6B4BBEB7" w:rsidR="00101E4A" w:rsidRPr="00072764" w:rsidRDefault="00101E4A" w:rsidP="00072764">
      <w:pPr>
        <w:pStyle w:val="FootnoteText"/>
        <w:ind w:left="567" w:hanging="567"/>
        <w:rPr>
          <w:sz w:val="24"/>
          <w:lang w:val="sl-SI"/>
        </w:rPr>
      </w:pPr>
      <w:r w:rsidRPr="00072764">
        <w:rPr>
          <w:rStyle w:val="FootnoteReference"/>
          <w:sz w:val="24"/>
          <w:lang w:val="sl-SI"/>
        </w:rPr>
        <w:footnoteRef/>
      </w:r>
      <w:r w:rsidR="00072764" w:rsidRPr="00072764">
        <w:rPr>
          <w:sz w:val="24"/>
          <w:lang w:val="sl-SI"/>
        </w:rPr>
        <w:t xml:space="preserve"> </w:t>
      </w:r>
      <w:r w:rsidR="00072764" w:rsidRPr="00072764">
        <w:rPr>
          <w:sz w:val="24"/>
          <w:lang w:val="sl-SI"/>
        </w:rPr>
        <w:tab/>
      </w:r>
      <w:r w:rsidRPr="00072764">
        <w:rPr>
          <w:sz w:val="24"/>
          <w:lang w:val="sl-SI"/>
        </w:rPr>
        <w:t xml:space="preserve">UL C, C/2025/1312, 13.3.2025, ELI: </w:t>
      </w:r>
      <w:hyperlink r:id="rId3" w:history="1">
        <w:r w:rsidRPr="00072764">
          <w:rPr>
            <w:rStyle w:val="Hyperlink"/>
            <w:sz w:val="24"/>
            <w:lang w:val="sl-SI"/>
          </w:rPr>
          <w:t>http://data.europa.eu/eli/C/2025/1312/oj</w:t>
        </w:r>
      </w:hyperlink>
      <w:r w:rsidRPr="00072764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02738" w14:textId="77777777" w:rsidR="00064002" w:rsidRPr="000727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C23D5" w14:textId="77777777" w:rsidR="00064002" w:rsidRPr="000727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5238E" w14:textId="77777777" w:rsidR="00064002" w:rsidRPr="000727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1152271">
    <w:abstractNumId w:val="9"/>
  </w:num>
  <w:num w:numId="2" w16cid:durableId="142895395">
    <w:abstractNumId w:val="9"/>
  </w:num>
  <w:num w:numId="3" w16cid:durableId="1675647611">
    <w:abstractNumId w:val="7"/>
  </w:num>
  <w:num w:numId="4" w16cid:durableId="1240210773">
    <w:abstractNumId w:val="7"/>
  </w:num>
  <w:num w:numId="5" w16cid:durableId="185142348">
    <w:abstractNumId w:val="6"/>
  </w:num>
  <w:num w:numId="6" w16cid:durableId="526216036">
    <w:abstractNumId w:val="6"/>
  </w:num>
  <w:num w:numId="7" w16cid:durableId="1871797090">
    <w:abstractNumId w:val="5"/>
  </w:num>
  <w:num w:numId="8" w16cid:durableId="1620062994">
    <w:abstractNumId w:val="5"/>
  </w:num>
  <w:num w:numId="9" w16cid:durableId="1534078120">
    <w:abstractNumId w:val="4"/>
  </w:num>
  <w:num w:numId="10" w16cid:durableId="1106391592">
    <w:abstractNumId w:val="4"/>
  </w:num>
  <w:num w:numId="11" w16cid:durableId="2147158673">
    <w:abstractNumId w:val="8"/>
  </w:num>
  <w:num w:numId="12" w16cid:durableId="1929531988">
    <w:abstractNumId w:val="8"/>
  </w:num>
  <w:num w:numId="13" w16cid:durableId="200020107">
    <w:abstractNumId w:val="3"/>
  </w:num>
  <w:num w:numId="14" w16cid:durableId="444619397">
    <w:abstractNumId w:val="3"/>
  </w:num>
  <w:num w:numId="15" w16cid:durableId="1920602774">
    <w:abstractNumId w:val="2"/>
  </w:num>
  <w:num w:numId="16" w16cid:durableId="1363046699">
    <w:abstractNumId w:val="2"/>
  </w:num>
  <w:num w:numId="17" w16cid:durableId="855770891">
    <w:abstractNumId w:val="1"/>
  </w:num>
  <w:num w:numId="18" w16cid:durableId="996999633">
    <w:abstractNumId w:val="1"/>
  </w:num>
  <w:num w:numId="19" w16cid:durableId="87312985">
    <w:abstractNumId w:val="0"/>
  </w:num>
  <w:num w:numId="20" w16cid:durableId="168566832">
    <w:abstractNumId w:val="0"/>
  </w:num>
  <w:num w:numId="21" w16cid:durableId="1820271702">
    <w:abstractNumId w:val="9"/>
  </w:num>
  <w:num w:numId="22" w16cid:durableId="1714428784">
    <w:abstractNumId w:val="7"/>
  </w:num>
  <w:num w:numId="23" w16cid:durableId="1295678787">
    <w:abstractNumId w:val="6"/>
  </w:num>
  <w:num w:numId="24" w16cid:durableId="1800296928">
    <w:abstractNumId w:val="5"/>
  </w:num>
  <w:num w:numId="25" w16cid:durableId="1755205148">
    <w:abstractNumId w:val="4"/>
  </w:num>
  <w:num w:numId="26" w16cid:durableId="1019702140">
    <w:abstractNumId w:val="8"/>
  </w:num>
  <w:num w:numId="27" w16cid:durableId="1374572633">
    <w:abstractNumId w:val="3"/>
  </w:num>
  <w:num w:numId="28" w16cid:durableId="1081368166">
    <w:abstractNumId w:val="2"/>
  </w:num>
  <w:num w:numId="29" w16cid:durableId="540171948">
    <w:abstractNumId w:val="1"/>
  </w:num>
  <w:num w:numId="30" w16cid:durableId="816607573">
    <w:abstractNumId w:val="0"/>
  </w:num>
  <w:num w:numId="31" w16cid:durableId="55712670">
    <w:abstractNumId w:val="9"/>
  </w:num>
  <w:num w:numId="32" w16cid:durableId="2054232472">
    <w:abstractNumId w:val="7"/>
  </w:num>
  <w:num w:numId="33" w16cid:durableId="1220165030">
    <w:abstractNumId w:val="6"/>
  </w:num>
  <w:num w:numId="34" w16cid:durableId="524904488">
    <w:abstractNumId w:val="5"/>
  </w:num>
  <w:num w:numId="35" w16cid:durableId="1232082833">
    <w:abstractNumId w:val="4"/>
  </w:num>
  <w:num w:numId="36" w16cid:durableId="1991254631">
    <w:abstractNumId w:val="8"/>
  </w:num>
  <w:num w:numId="37" w16cid:durableId="1905216666">
    <w:abstractNumId w:val="3"/>
  </w:num>
  <w:num w:numId="38" w16cid:durableId="923227296">
    <w:abstractNumId w:val="2"/>
  </w:num>
  <w:num w:numId="39" w16cid:durableId="1562713624">
    <w:abstractNumId w:val="1"/>
  </w:num>
  <w:num w:numId="40" w16cid:durableId="1643608991">
    <w:abstractNumId w:val="0"/>
  </w:num>
  <w:num w:numId="41" w16cid:durableId="1909218525">
    <w:abstractNumId w:val="10"/>
  </w:num>
  <w:num w:numId="42" w16cid:durableId="452024392">
    <w:abstractNumId w:val="10"/>
  </w:num>
  <w:num w:numId="43" w16cid:durableId="1590697330">
    <w:abstractNumId w:val="10"/>
  </w:num>
  <w:num w:numId="44" w16cid:durableId="4572619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SL"/>
    <w:docVar w:name="dvnumam" w:val="0"/>
    <w:docVar w:name="dvpe" w:val="778.280"/>
    <w:docVar w:name="dvrapporteur" w:val="Poročevalec: "/>
    <w:docVar w:name="dvstar" w:val="***II"/>
    <w:docVar w:name="dvtitre" w:val="Zakonodajna resolucija Evropskega parlamenta z dne 23. oktobra 2025 o stališču Sveta v prvi obravnavi z namenom sprejetja direktive Evropskega parlamenta in Sveta o spremljanju in odpornosti tal (pravila o spremljanju tal)(09474/1/2025 – C10-0229/2025 – 2023/0232(COD))"/>
  </w:docVars>
  <w:rsids>
    <w:rsidRoot w:val="00405B9A"/>
    <w:rsid w:val="00002272"/>
    <w:rsid w:val="00064002"/>
    <w:rsid w:val="000677B9"/>
    <w:rsid w:val="00072764"/>
    <w:rsid w:val="000831BA"/>
    <w:rsid w:val="000A42CC"/>
    <w:rsid w:val="000E7DD9"/>
    <w:rsid w:val="0010095E"/>
    <w:rsid w:val="00101E4A"/>
    <w:rsid w:val="00125B37"/>
    <w:rsid w:val="00181B27"/>
    <w:rsid w:val="00185777"/>
    <w:rsid w:val="00187494"/>
    <w:rsid w:val="001F32AE"/>
    <w:rsid w:val="002767FF"/>
    <w:rsid w:val="002B18FE"/>
    <w:rsid w:val="002B5493"/>
    <w:rsid w:val="00331967"/>
    <w:rsid w:val="00343214"/>
    <w:rsid w:val="00350EBC"/>
    <w:rsid w:val="00361C00"/>
    <w:rsid w:val="00395FA1"/>
    <w:rsid w:val="003E15D4"/>
    <w:rsid w:val="00405B9A"/>
    <w:rsid w:val="00411CCE"/>
    <w:rsid w:val="0041666E"/>
    <w:rsid w:val="00421060"/>
    <w:rsid w:val="0044175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F83"/>
    <w:rsid w:val="00817416"/>
    <w:rsid w:val="00842779"/>
    <w:rsid w:val="0085223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C8C"/>
    <w:rsid w:val="009803D7"/>
    <w:rsid w:val="00981893"/>
    <w:rsid w:val="009B63F9"/>
    <w:rsid w:val="00A1687D"/>
    <w:rsid w:val="00A43E52"/>
    <w:rsid w:val="00A4678D"/>
    <w:rsid w:val="00A778C7"/>
    <w:rsid w:val="00AB441E"/>
    <w:rsid w:val="00AB6293"/>
    <w:rsid w:val="00AD4544"/>
    <w:rsid w:val="00AE0928"/>
    <w:rsid w:val="00AF3B82"/>
    <w:rsid w:val="00B12E95"/>
    <w:rsid w:val="00B22876"/>
    <w:rsid w:val="00B558F0"/>
    <w:rsid w:val="00B55FB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A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24B43"/>
  <w15:chartTrackingRefBased/>
  <w15:docId w15:val="{64FD149D-844C-48DA-96C7-3910BEB1A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1E4A"/>
    <w:pPr>
      <w:spacing w:before="480" w:after="240"/>
    </w:pPr>
  </w:style>
  <w:style w:type="paragraph" w:customStyle="1" w:styleId="NormalBold">
    <w:name w:val="NormalBold"/>
    <w:basedOn w:val="Normal"/>
    <w:rsid w:val="00101E4A"/>
    <w:rPr>
      <w:b/>
    </w:rPr>
  </w:style>
  <w:style w:type="paragraph" w:customStyle="1" w:styleId="NormalHanging12a">
    <w:name w:val="NormalHanging12a"/>
    <w:basedOn w:val="Normal"/>
    <w:rsid w:val="00101E4A"/>
    <w:pPr>
      <w:spacing w:after="240"/>
      <w:ind w:left="567" w:hanging="567"/>
    </w:pPr>
  </w:style>
  <w:style w:type="character" w:styleId="Hyperlink">
    <w:name w:val="Hyperlink"/>
    <w:basedOn w:val="DefaultParagraphFont"/>
    <w:rsid w:val="00101E4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50EBC"/>
    <w:rPr>
      <w:sz w:val="24"/>
      <w:lang w:val="sl-SI"/>
    </w:rPr>
  </w:style>
  <w:style w:type="character" w:styleId="CommentReference">
    <w:name w:val="annotation reference"/>
    <w:basedOn w:val="DefaultParagraphFont"/>
    <w:rsid w:val="00AD45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45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454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D45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4544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852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312/oj" TargetMode="External"/><Relationship Id="rId2" Type="http://schemas.openxmlformats.org/officeDocument/2006/relationships/hyperlink" Target="http://data.europa.eu/eli/C/2024/5371/oj" TargetMode="External"/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2025-10-23T10:07:00Z</dcterms:created>
  <dcterms:modified xsi:type="dcterms:W3CDTF">2025-10-23T11:00:00Z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A10-0204/2025</vt:lpwstr>
  </property>
  <property fmtid="{D5CDD505-2E9C-101B-9397-08002B2CF9AE}" pid="4" name="&lt;Type&gt;">
    <vt:lpwstr>RR</vt:lpwstr>
  </property>
</Properties>
</file>