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47DF" w14:paraId="21305F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4D0FDE" w14:textId="133C9F8C" w:rsidR="00751A4A" w:rsidRPr="003D47DF" w:rsidRDefault="00281B8C" w:rsidP="0010095E">
            <w:pPr>
              <w:pStyle w:val="EPName"/>
            </w:pPr>
            <w:r w:rsidRPr="003D47DF">
              <w:t>Европейски</w:t>
            </w:r>
            <w:r w:rsidR="006C3F58" w:rsidRPr="003D47DF">
              <w:t xml:space="preserve"> парламент</w:t>
            </w:r>
          </w:p>
          <w:p w14:paraId="7566734A" w14:textId="16ED9FFD" w:rsidR="00751A4A" w:rsidRPr="003D47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47DF">
              <w:t>2024</w:t>
            </w:r>
            <w:r w:rsidR="00281B8C">
              <w:t> – </w:t>
            </w:r>
            <w:r w:rsidR="00817416" w:rsidRPr="003D47DF">
              <w:t>202</w:t>
            </w:r>
            <w:r w:rsidRPr="003D47DF">
              <w:t>9</w:t>
            </w:r>
          </w:p>
        </w:tc>
        <w:tc>
          <w:tcPr>
            <w:tcW w:w="2268" w:type="dxa"/>
            <w:shd w:val="clear" w:color="auto" w:fill="auto"/>
          </w:tcPr>
          <w:p w14:paraId="7661CE33" w14:textId="77777777" w:rsidR="00751A4A" w:rsidRPr="003D47DF" w:rsidRDefault="00187494" w:rsidP="0010095E">
            <w:pPr>
              <w:pStyle w:val="EPLogo"/>
            </w:pPr>
            <w:r w:rsidRPr="003D47DF">
              <w:rPr>
                <w:noProof/>
                <w:lang w:eastAsia="ja-JP"/>
              </w:rPr>
              <w:drawing>
                <wp:inline distT="0" distB="0" distL="0" distR="0" wp14:anchorId="0D23DB85" wp14:editId="33A925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BF5945" w14:textId="77777777" w:rsidR="00D058B8" w:rsidRPr="003D47DF" w:rsidRDefault="00D058B8" w:rsidP="004C5D52">
      <w:pPr>
        <w:pStyle w:val="LineTop"/>
      </w:pPr>
    </w:p>
    <w:p w14:paraId="62D0A0CE" w14:textId="77777777" w:rsidR="00680577" w:rsidRPr="003D47DF" w:rsidRDefault="006C3F58" w:rsidP="00680577">
      <w:pPr>
        <w:pStyle w:val="EPBodyTA1"/>
      </w:pPr>
      <w:r w:rsidRPr="003D47DF">
        <w:t>ПРИЕТИ ТЕКСТОВЕ</w:t>
      </w:r>
    </w:p>
    <w:p w14:paraId="78B5D886" w14:textId="77777777" w:rsidR="00D058B8" w:rsidRPr="003D47DF" w:rsidRDefault="00D058B8" w:rsidP="00D058B8">
      <w:pPr>
        <w:pStyle w:val="LineBottom"/>
      </w:pPr>
    </w:p>
    <w:p w14:paraId="734076C6" w14:textId="6ADD2BB4" w:rsidR="006C3F58" w:rsidRPr="003D47DF" w:rsidRDefault="006C3F58" w:rsidP="006C3F58">
      <w:pPr>
        <w:pStyle w:val="ATHeading1"/>
      </w:pPr>
      <w:bookmarkStart w:id="0" w:name="TANumber"/>
      <w:r w:rsidRPr="003D47DF">
        <w:t>P10_TA(2025)0</w:t>
      </w:r>
      <w:r w:rsidR="007231C8">
        <w:t>252</w:t>
      </w:r>
      <w:bookmarkEnd w:id="0"/>
    </w:p>
    <w:p w14:paraId="0B1991EE" w14:textId="77777777" w:rsidR="006C3F58" w:rsidRPr="003D47DF" w:rsidRDefault="006C3F58" w:rsidP="006C3F58">
      <w:pPr>
        <w:pStyle w:val="ATHeading2"/>
      </w:pPr>
      <w:bookmarkStart w:id="1" w:name="title"/>
      <w:r w:rsidRPr="003D47DF">
        <w:t>Предотвратяване на загубите на пластмасови гранули с цел намаляване на замърсяването с пластмасови микрочастици</w:t>
      </w:r>
      <w:bookmarkEnd w:id="1"/>
    </w:p>
    <w:p w14:paraId="6EFFFEA5" w14:textId="77777777" w:rsidR="006C3F58" w:rsidRPr="003D47DF" w:rsidRDefault="006C3F58" w:rsidP="006C3F58">
      <w:pPr>
        <w:rPr>
          <w:i/>
          <w:vanish/>
        </w:rPr>
      </w:pPr>
      <w:r w:rsidRPr="003D47DF">
        <w:rPr>
          <w:i/>
        </w:rPr>
        <w:fldChar w:fldCharType="begin"/>
      </w:r>
      <w:r w:rsidRPr="003D47DF">
        <w:rPr>
          <w:i/>
        </w:rPr>
        <w:instrText xml:space="preserve"> TC"(</w:instrText>
      </w:r>
      <w:bookmarkStart w:id="2" w:name="DocNumber"/>
      <w:r w:rsidRPr="003D47DF">
        <w:rPr>
          <w:i/>
        </w:rPr>
        <w:instrText>A10-0203/2025</w:instrText>
      </w:r>
      <w:bookmarkEnd w:id="2"/>
      <w:r w:rsidRPr="003D47DF">
        <w:rPr>
          <w:i/>
        </w:rPr>
        <w:instrText xml:space="preserve"> - Докладчик: Сесар </w:instrText>
      </w:r>
      <w:proofErr w:type="spellStart"/>
      <w:r w:rsidRPr="003D47DF">
        <w:rPr>
          <w:i/>
        </w:rPr>
        <w:instrText>Луена</w:instrText>
      </w:r>
      <w:proofErr w:type="spellEnd"/>
      <w:r w:rsidRPr="003D47DF">
        <w:rPr>
          <w:i/>
        </w:rPr>
        <w:instrText xml:space="preserve">)"\l3 \n&gt; \* MERGEFORMAT </w:instrText>
      </w:r>
      <w:r w:rsidRPr="003D47DF">
        <w:rPr>
          <w:i/>
        </w:rPr>
        <w:fldChar w:fldCharType="end"/>
      </w:r>
    </w:p>
    <w:p w14:paraId="6DD90011" w14:textId="77777777" w:rsidR="006C3F58" w:rsidRPr="003D47DF" w:rsidRDefault="006C3F58" w:rsidP="006C3F58">
      <w:pPr>
        <w:rPr>
          <w:vanish/>
        </w:rPr>
      </w:pPr>
      <w:bookmarkStart w:id="3" w:name="Commission"/>
      <w:r w:rsidRPr="003D47DF">
        <w:rPr>
          <w:vanish/>
        </w:rPr>
        <w:t>Комисия по околна среда, климат и безопасност на храните</w:t>
      </w:r>
      <w:bookmarkEnd w:id="3"/>
    </w:p>
    <w:p w14:paraId="38E47D65" w14:textId="77777777" w:rsidR="006C3F58" w:rsidRPr="003D47DF" w:rsidRDefault="006C3F58" w:rsidP="006C3F58">
      <w:pPr>
        <w:rPr>
          <w:vanish/>
        </w:rPr>
      </w:pPr>
      <w:bookmarkStart w:id="4" w:name="PE"/>
      <w:r w:rsidRPr="003D47DF">
        <w:rPr>
          <w:vanish/>
        </w:rPr>
        <w:t>PE778.296</w:t>
      </w:r>
      <w:bookmarkEnd w:id="4"/>
    </w:p>
    <w:p w14:paraId="30AB50DA" w14:textId="52C7334E" w:rsidR="006C3F58" w:rsidRPr="003D47DF" w:rsidRDefault="006C3F58" w:rsidP="006C3F58">
      <w:pPr>
        <w:pStyle w:val="ATHeading3"/>
      </w:pPr>
      <w:bookmarkStart w:id="5" w:name="Sujet"/>
      <w:r w:rsidRPr="003D47DF">
        <w:t xml:space="preserve">Законодателна резолюция на Европейския парламент от </w:t>
      </w:r>
      <w:r w:rsidR="00281B8C">
        <w:t>23 октомври</w:t>
      </w:r>
      <w:r w:rsidR="00281B8C" w:rsidRPr="003D47DF">
        <w:t xml:space="preserve"> </w:t>
      </w:r>
      <w:r w:rsidRPr="003D47DF">
        <w:t>2025 г. относно позицията на Съвета на първо четене с оглед на приемането на регламент на Европейския парламент и на Съвета за предотвратяване на загубите на пластмасови гранули с цел намаляване на замърсяването с пластмасови микрочастици</w:t>
      </w:r>
      <w:bookmarkEnd w:id="5"/>
      <w:r w:rsidRPr="003D47DF">
        <w:t xml:space="preserve"> </w:t>
      </w:r>
      <w:bookmarkStart w:id="6" w:name="References"/>
      <w:r w:rsidRPr="003D47DF">
        <w:t>(09047/1/2025 – C10-0234/2025 – 2023/0373(COD))</w:t>
      </w:r>
      <w:bookmarkEnd w:id="6"/>
    </w:p>
    <w:p w14:paraId="3F2EFED6" w14:textId="77777777" w:rsidR="00D72265" w:rsidRPr="003D47DF" w:rsidRDefault="00D72265" w:rsidP="00D72265">
      <w:pPr>
        <w:pStyle w:val="NormalBold"/>
      </w:pPr>
      <w:bookmarkStart w:id="7" w:name="TextBodyBegin"/>
      <w:bookmarkEnd w:id="7"/>
      <w:r w:rsidRPr="003D47DF">
        <w:t>(Обикновена законодателна процедура: второ четене)</w:t>
      </w:r>
    </w:p>
    <w:p w14:paraId="08F326DF" w14:textId="77777777" w:rsidR="00D72265" w:rsidRPr="003D47DF" w:rsidRDefault="00D72265" w:rsidP="00D72265">
      <w:pPr>
        <w:pStyle w:val="EPComma"/>
      </w:pPr>
      <w:r w:rsidRPr="003D47DF">
        <w:rPr>
          <w:i/>
          <w:iCs/>
        </w:rPr>
        <w:t>Европейският парламент</w:t>
      </w:r>
      <w:r w:rsidRPr="003D47DF">
        <w:t>,</w:t>
      </w:r>
    </w:p>
    <w:p w14:paraId="7326E54B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>като взе предвид позицията на Съвета на първо четене (09047/1/2025 – C10</w:t>
      </w:r>
      <w:r w:rsidRPr="003D47DF">
        <w:noBreakHyphen/>
        <w:t>0234/2025),</w:t>
      </w:r>
    </w:p>
    <w:p w14:paraId="36375580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>като взе предвид мотивираното становище, изпратено от Камарата на депутатите на Италианската република в рамките на Протокол № 2 относно прилагането на принципите на субсидиарност и пропорционалност, в което се заявява, че проектът на законодателен акт не съответства на принципа на субсидиарност,</w:t>
      </w:r>
    </w:p>
    <w:p w14:paraId="03D7CEAB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>като взе предвид становището на Европейския икономически и социален комитет от 14 февруари 2024 г.</w:t>
      </w:r>
      <w:r w:rsidRPr="003D47DF">
        <w:rPr>
          <w:vertAlign w:val="superscript"/>
        </w:rPr>
        <w:footnoteReference w:id="1"/>
      </w:r>
      <w:r w:rsidRPr="003D47DF">
        <w:t xml:space="preserve">, </w:t>
      </w:r>
    </w:p>
    <w:p w14:paraId="09202E52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>като взе предвид становището на Комитета на регионите от 18 април 2024 г.</w:t>
      </w:r>
      <w:r w:rsidRPr="003D47DF">
        <w:rPr>
          <w:vertAlign w:val="superscript"/>
        </w:rPr>
        <w:footnoteReference w:id="2"/>
      </w:r>
      <w:r w:rsidRPr="003D47DF">
        <w:t>,</w:t>
      </w:r>
    </w:p>
    <w:p w14:paraId="329DBC1C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>като взе предвид позицията си на първо четене</w:t>
      </w:r>
      <w:r w:rsidRPr="003D47DF">
        <w:rPr>
          <w:vertAlign w:val="superscript"/>
        </w:rPr>
        <w:footnoteReference w:id="3"/>
      </w:r>
      <w:r w:rsidRPr="003D47DF">
        <w:t xml:space="preserve"> относно предложението на Комисията до Европейския парламент и до Съвета (COM(2023)0645),</w:t>
      </w:r>
    </w:p>
    <w:p w14:paraId="68463A1D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>като взе предвид член 294, параграф 7 от Договора за функционирането на Европейския съюз,</w:t>
      </w:r>
    </w:p>
    <w:p w14:paraId="6930505C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 xml:space="preserve">като взе предвид временното споразумение, одобрено от компетентната комисия в </w:t>
      </w:r>
      <w:r w:rsidRPr="003D47DF">
        <w:lastRenderedPageBreak/>
        <w:t>съответствие с член 75, параграф 4 от Правилника за дейността,</w:t>
      </w:r>
    </w:p>
    <w:p w14:paraId="7D87D3DA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>като взе предвид член 68 от своя Правилник за дейността,</w:t>
      </w:r>
    </w:p>
    <w:p w14:paraId="5ED74AC1" w14:textId="77777777" w:rsidR="00D72265" w:rsidRPr="003D47DF" w:rsidRDefault="00D72265" w:rsidP="00D72265">
      <w:pPr>
        <w:pStyle w:val="NormalHanging12a"/>
      </w:pPr>
      <w:r w:rsidRPr="003D47DF">
        <w:t>–</w:t>
      </w:r>
      <w:r w:rsidRPr="003D47DF">
        <w:tab/>
        <w:t>като взе предвид препоръката за второ четене на комисията по околна среда, климат и безопасност на храните (A10-0203/2025),</w:t>
      </w:r>
    </w:p>
    <w:p w14:paraId="045BB1FF" w14:textId="77777777" w:rsidR="00D72265" w:rsidRPr="003D47DF" w:rsidRDefault="00D72265" w:rsidP="00D72265">
      <w:pPr>
        <w:pStyle w:val="NormalHanging12a"/>
      </w:pPr>
      <w:r w:rsidRPr="003D47DF">
        <w:t>1.</w:t>
      </w:r>
      <w:r w:rsidRPr="003D47DF">
        <w:tab/>
        <w:t>одобрява позицията на Съвета на първо четене;</w:t>
      </w:r>
    </w:p>
    <w:p w14:paraId="4CC83BFB" w14:textId="77777777" w:rsidR="00D72265" w:rsidRPr="003D47DF" w:rsidRDefault="00D72265" w:rsidP="00D72265">
      <w:pPr>
        <w:pStyle w:val="NormalHanging12a"/>
      </w:pPr>
      <w:r w:rsidRPr="003D47DF">
        <w:t>2.</w:t>
      </w:r>
      <w:r w:rsidRPr="003D47DF">
        <w:tab/>
        <w:t>констатира, че актът е приет в съответствие с позицията на Съвета;</w:t>
      </w:r>
    </w:p>
    <w:p w14:paraId="38B1FCCD" w14:textId="77777777" w:rsidR="00D72265" w:rsidRPr="003D47DF" w:rsidRDefault="00D72265" w:rsidP="00D72265">
      <w:pPr>
        <w:pStyle w:val="NormalHanging12a"/>
      </w:pPr>
      <w:r w:rsidRPr="003D47DF">
        <w:t>3.</w:t>
      </w:r>
      <w:r w:rsidRPr="003D47DF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1F3C1E8A" w14:textId="77777777" w:rsidR="00D72265" w:rsidRPr="003D47DF" w:rsidRDefault="00D72265" w:rsidP="00D72265">
      <w:pPr>
        <w:pStyle w:val="NormalHanging12a"/>
      </w:pPr>
      <w:r w:rsidRPr="003D47DF">
        <w:t>4.</w:t>
      </w:r>
      <w:r w:rsidRPr="003D47DF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C30CD5">
        <w:rPr>
          <w:i/>
          <w:iCs/>
        </w:rPr>
        <w:t>Официален вестник на Европейския съюз</w:t>
      </w:r>
      <w:r w:rsidRPr="003D47DF">
        <w:t>;</w:t>
      </w:r>
    </w:p>
    <w:p w14:paraId="606C5458" w14:textId="18F14437" w:rsidR="003D47DF" w:rsidRPr="003D47DF" w:rsidRDefault="00D72265" w:rsidP="003D47DF">
      <w:pPr>
        <w:pStyle w:val="NormalHanging12a"/>
      </w:pPr>
      <w:r w:rsidRPr="003D47DF">
        <w:t>5.</w:t>
      </w:r>
      <w:r w:rsidRPr="003D47D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1A9FF4B" w14:textId="49C359FF" w:rsidR="00E365E1" w:rsidRPr="003D47DF" w:rsidRDefault="00E365E1" w:rsidP="006C3F58"/>
    <w:sectPr w:rsidR="00E365E1" w:rsidRPr="003D47DF" w:rsidSect="003D4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85F4E" w14:textId="77777777" w:rsidR="006C3F58" w:rsidRPr="003D47DF" w:rsidRDefault="006C3F58">
      <w:r w:rsidRPr="003D47DF">
        <w:separator/>
      </w:r>
    </w:p>
  </w:endnote>
  <w:endnote w:type="continuationSeparator" w:id="0">
    <w:p w14:paraId="7182FC49" w14:textId="77777777" w:rsidR="006C3F58" w:rsidRPr="003D47DF" w:rsidRDefault="006C3F58">
      <w:r w:rsidRPr="003D47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65F80" w14:textId="77777777" w:rsidR="00064002" w:rsidRPr="003D47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432E9" w14:textId="77777777" w:rsidR="00064002" w:rsidRPr="003D47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60E6A" w14:textId="77777777" w:rsidR="00064002" w:rsidRPr="003D47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18371" w14:textId="77777777" w:rsidR="006C3F58" w:rsidRPr="003D47DF" w:rsidRDefault="006C3F58">
      <w:r w:rsidRPr="003D47DF">
        <w:separator/>
      </w:r>
    </w:p>
  </w:footnote>
  <w:footnote w:type="continuationSeparator" w:id="0">
    <w:p w14:paraId="11FD2EC4" w14:textId="77777777" w:rsidR="006C3F58" w:rsidRPr="003D47DF" w:rsidRDefault="006C3F58">
      <w:r w:rsidRPr="003D47DF">
        <w:continuationSeparator/>
      </w:r>
    </w:p>
  </w:footnote>
  <w:footnote w:id="1">
    <w:p w14:paraId="567DC41E" w14:textId="203547FF" w:rsidR="00D72265" w:rsidRPr="003D47DF" w:rsidRDefault="00D72265" w:rsidP="003D47DF">
      <w:pPr>
        <w:pStyle w:val="FootnoteText"/>
        <w:ind w:left="567" w:hanging="567"/>
        <w:rPr>
          <w:sz w:val="24"/>
          <w:lang w:val="bg-BG"/>
        </w:rPr>
      </w:pPr>
      <w:r w:rsidRPr="003D47DF">
        <w:rPr>
          <w:rStyle w:val="FootnoteReference"/>
          <w:sz w:val="24"/>
          <w:lang w:val="bg-BG"/>
        </w:rPr>
        <w:footnoteRef/>
      </w:r>
      <w:r w:rsidR="003D47DF" w:rsidRPr="003D47DF">
        <w:rPr>
          <w:sz w:val="24"/>
          <w:lang w:val="bg-BG"/>
        </w:rPr>
        <w:t xml:space="preserve"> </w:t>
      </w:r>
      <w:r w:rsidR="003D47DF" w:rsidRPr="003D47DF">
        <w:rPr>
          <w:sz w:val="24"/>
          <w:lang w:val="bg-BG"/>
        </w:rPr>
        <w:tab/>
      </w:r>
      <w:r w:rsidRPr="003D47DF">
        <w:rPr>
          <w:sz w:val="24"/>
          <w:lang w:val="bg-BG"/>
        </w:rPr>
        <w:t xml:space="preserve">ОВ C, C/2024/2487, 23.4.2024 г., ELI: </w:t>
      </w:r>
      <w:hyperlink r:id="rId1" w:history="1">
        <w:r w:rsidRPr="003D47DF">
          <w:rPr>
            <w:rStyle w:val="Hyperlink"/>
            <w:sz w:val="24"/>
            <w:lang w:val="bg-BG"/>
          </w:rPr>
          <w:t>http://data.europa.eu/eli/C/2024/2487/oj</w:t>
        </w:r>
      </w:hyperlink>
      <w:r w:rsidRPr="003D47DF">
        <w:rPr>
          <w:rStyle w:val="Hyperlink"/>
          <w:sz w:val="24"/>
          <w:lang w:val="bg-BG"/>
        </w:rPr>
        <w:t>.</w:t>
      </w:r>
    </w:p>
  </w:footnote>
  <w:footnote w:id="2">
    <w:p w14:paraId="31D98DCA" w14:textId="24D95C35" w:rsidR="00D72265" w:rsidRPr="003D47DF" w:rsidRDefault="00D72265" w:rsidP="003D47DF">
      <w:pPr>
        <w:pStyle w:val="FootnoteText"/>
        <w:ind w:left="567" w:hanging="567"/>
        <w:rPr>
          <w:sz w:val="24"/>
          <w:lang w:val="bg-BG"/>
        </w:rPr>
      </w:pPr>
      <w:r w:rsidRPr="003D47DF">
        <w:rPr>
          <w:rStyle w:val="FootnoteReference"/>
          <w:sz w:val="24"/>
          <w:lang w:val="bg-BG"/>
        </w:rPr>
        <w:footnoteRef/>
      </w:r>
      <w:r w:rsidR="003D47DF" w:rsidRPr="003D47DF">
        <w:rPr>
          <w:sz w:val="24"/>
          <w:lang w:val="bg-BG"/>
        </w:rPr>
        <w:t xml:space="preserve"> </w:t>
      </w:r>
      <w:r w:rsidR="003D47DF" w:rsidRPr="003D47DF">
        <w:rPr>
          <w:sz w:val="24"/>
          <w:lang w:val="bg-BG"/>
        </w:rPr>
        <w:tab/>
      </w:r>
      <w:r w:rsidRPr="003D47DF">
        <w:rPr>
          <w:sz w:val="24"/>
          <w:lang w:val="bg-BG"/>
        </w:rPr>
        <w:t xml:space="preserve">ОВ C, C/2024/3675, 26.6.2024 г., ELI: </w:t>
      </w:r>
      <w:hyperlink r:id="rId2" w:history="1">
        <w:r w:rsidRPr="003D47DF">
          <w:rPr>
            <w:rStyle w:val="Hyperlink"/>
            <w:sz w:val="24"/>
            <w:lang w:val="bg-BG"/>
          </w:rPr>
          <w:t>http://data.europa.eu/eli/C/2024/3675/oj</w:t>
        </w:r>
      </w:hyperlink>
      <w:r w:rsidRPr="003D47DF">
        <w:rPr>
          <w:rStyle w:val="Hyperlink"/>
          <w:sz w:val="24"/>
          <w:lang w:val="bg-BG"/>
        </w:rPr>
        <w:t>.</w:t>
      </w:r>
    </w:p>
  </w:footnote>
  <w:footnote w:id="3">
    <w:p w14:paraId="02213E87" w14:textId="109DC4B1" w:rsidR="00D72265" w:rsidRPr="003D47DF" w:rsidRDefault="00D72265" w:rsidP="003D47DF">
      <w:pPr>
        <w:pStyle w:val="FootnoteText"/>
        <w:ind w:left="567" w:hanging="567"/>
        <w:rPr>
          <w:sz w:val="24"/>
          <w:lang w:val="bg-BG"/>
        </w:rPr>
      </w:pPr>
      <w:r w:rsidRPr="003D47DF">
        <w:rPr>
          <w:rStyle w:val="FootnoteReference"/>
          <w:sz w:val="24"/>
          <w:lang w:val="bg-BG"/>
        </w:rPr>
        <w:footnoteRef/>
      </w:r>
      <w:r w:rsidR="003D47DF" w:rsidRPr="003D47DF">
        <w:rPr>
          <w:sz w:val="24"/>
          <w:lang w:val="bg-BG"/>
        </w:rPr>
        <w:t xml:space="preserve"> </w:t>
      </w:r>
      <w:r w:rsidR="003D47DF" w:rsidRPr="003D47DF">
        <w:rPr>
          <w:sz w:val="24"/>
          <w:lang w:val="bg-BG"/>
        </w:rPr>
        <w:tab/>
      </w:r>
      <w:r w:rsidRPr="003D47DF">
        <w:rPr>
          <w:sz w:val="24"/>
          <w:lang w:val="bg-BG"/>
        </w:rPr>
        <w:t xml:space="preserve">OВ C, C/2025/3734, 17.9.2025 г., ELI: </w:t>
      </w:r>
      <w:hyperlink r:id="rId3" w:history="1">
        <w:r w:rsidRPr="003D47DF">
          <w:rPr>
            <w:rStyle w:val="Hyperlink"/>
            <w:sz w:val="24"/>
            <w:lang w:val="bg-BG"/>
          </w:rPr>
          <w:t>http://data.europa.eu/eli/C/2025/3734/oj</w:t>
        </w:r>
      </w:hyperlink>
      <w:r w:rsidRPr="003D47DF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5F744" w14:textId="77777777" w:rsidR="00064002" w:rsidRPr="003D47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F429A" w14:textId="77777777" w:rsidR="00064002" w:rsidRPr="003D47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3A7BB" w14:textId="77777777" w:rsidR="00064002" w:rsidRPr="003D47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3024935">
    <w:abstractNumId w:val="9"/>
  </w:num>
  <w:num w:numId="2" w16cid:durableId="368838267">
    <w:abstractNumId w:val="9"/>
  </w:num>
  <w:num w:numId="3" w16cid:durableId="551890549">
    <w:abstractNumId w:val="7"/>
  </w:num>
  <w:num w:numId="4" w16cid:durableId="643698041">
    <w:abstractNumId w:val="7"/>
  </w:num>
  <w:num w:numId="5" w16cid:durableId="643240700">
    <w:abstractNumId w:val="6"/>
  </w:num>
  <w:num w:numId="6" w16cid:durableId="1113091228">
    <w:abstractNumId w:val="6"/>
  </w:num>
  <w:num w:numId="7" w16cid:durableId="1497065801">
    <w:abstractNumId w:val="5"/>
  </w:num>
  <w:num w:numId="8" w16cid:durableId="203520009">
    <w:abstractNumId w:val="5"/>
  </w:num>
  <w:num w:numId="9" w16cid:durableId="258637103">
    <w:abstractNumId w:val="4"/>
  </w:num>
  <w:num w:numId="10" w16cid:durableId="1511069362">
    <w:abstractNumId w:val="4"/>
  </w:num>
  <w:num w:numId="11" w16cid:durableId="456070074">
    <w:abstractNumId w:val="8"/>
  </w:num>
  <w:num w:numId="12" w16cid:durableId="614214207">
    <w:abstractNumId w:val="8"/>
  </w:num>
  <w:num w:numId="13" w16cid:durableId="1532960133">
    <w:abstractNumId w:val="3"/>
  </w:num>
  <w:num w:numId="14" w16cid:durableId="977805795">
    <w:abstractNumId w:val="3"/>
  </w:num>
  <w:num w:numId="15" w16cid:durableId="21173605">
    <w:abstractNumId w:val="2"/>
  </w:num>
  <w:num w:numId="16" w16cid:durableId="1262491354">
    <w:abstractNumId w:val="2"/>
  </w:num>
  <w:num w:numId="17" w16cid:durableId="697584859">
    <w:abstractNumId w:val="1"/>
  </w:num>
  <w:num w:numId="18" w16cid:durableId="2039620057">
    <w:abstractNumId w:val="1"/>
  </w:num>
  <w:num w:numId="19" w16cid:durableId="1642922828">
    <w:abstractNumId w:val="0"/>
  </w:num>
  <w:num w:numId="20" w16cid:durableId="651494767">
    <w:abstractNumId w:val="0"/>
  </w:num>
  <w:num w:numId="21" w16cid:durableId="1233462518">
    <w:abstractNumId w:val="9"/>
  </w:num>
  <w:num w:numId="22" w16cid:durableId="2029331535">
    <w:abstractNumId w:val="7"/>
  </w:num>
  <w:num w:numId="23" w16cid:durableId="782919960">
    <w:abstractNumId w:val="6"/>
  </w:num>
  <w:num w:numId="24" w16cid:durableId="1719166049">
    <w:abstractNumId w:val="5"/>
  </w:num>
  <w:num w:numId="25" w16cid:durableId="1038579410">
    <w:abstractNumId w:val="4"/>
  </w:num>
  <w:num w:numId="26" w16cid:durableId="1464538275">
    <w:abstractNumId w:val="8"/>
  </w:num>
  <w:num w:numId="27" w16cid:durableId="1406302026">
    <w:abstractNumId w:val="3"/>
  </w:num>
  <w:num w:numId="28" w16cid:durableId="1871599779">
    <w:abstractNumId w:val="2"/>
  </w:num>
  <w:num w:numId="29" w16cid:durableId="405614691">
    <w:abstractNumId w:val="1"/>
  </w:num>
  <w:num w:numId="30" w16cid:durableId="1952739987">
    <w:abstractNumId w:val="0"/>
  </w:num>
  <w:num w:numId="31" w16cid:durableId="127430908">
    <w:abstractNumId w:val="9"/>
  </w:num>
  <w:num w:numId="32" w16cid:durableId="272708171">
    <w:abstractNumId w:val="7"/>
  </w:num>
  <w:num w:numId="33" w16cid:durableId="864831406">
    <w:abstractNumId w:val="6"/>
  </w:num>
  <w:num w:numId="34" w16cid:durableId="356659356">
    <w:abstractNumId w:val="5"/>
  </w:num>
  <w:num w:numId="35" w16cid:durableId="65032015">
    <w:abstractNumId w:val="4"/>
  </w:num>
  <w:num w:numId="36" w16cid:durableId="338117242">
    <w:abstractNumId w:val="8"/>
  </w:num>
  <w:num w:numId="37" w16cid:durableId="745541262">
    <w:abstractNumId w:val="3"/>
  </w:num>
  <w:num w:numId="38" w16cid:durableId="1146095106">
    <w:abstractNumId w:val="2"/>
  </w:num>
  <w:num w:numId="39" w16cid:durableId="213084352">
    <w:abstractNumId w:val="1"/>
  </w:num>
  <w:num w:numId="40" w16cid:durableId="1037586130">
    <w:abstractNumId w:val="0"/>
  </w:num>
  <w:num w:numId="41" w16cid:durableId="2090810079">
    <w:abstractNumId w:val="10"/>
  </w:num>
  <w:num w:numId="42" w16cid:durableId="549419051">
    <w:abstractNumId w:val="10"/>
  </w:num>
  <w:num w:numId="43" w16cid:durableId="1598171995">
    <w:abstractNumId w:val="10"/>
  </w:num>
  <w:num w:numId="44" w16cid:durableId="10362783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BG"/>
    <w:docVar w:name="dvnumam" w:val="0"/>
    <w:docVar w:name="dvpe" w:val="778.296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на приемането на регламент на Европейския парламент и на Съвета за предотвратяване на загубите на пластмасови гранули с цел намаляване на замърсяването с пластмасови микрочастици(09047/1/2025 – C10-0234/2025 – 2023/0373(COD))"/>
  </w:docVars>
  <w:rsids>
    <w:rsidRoot w:val="006C3F5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B8C"/>
    <w:rsid w:val="002B18FE"/>
    <w:rsid w:val="002B5493"/>
    <w:rsid w:val="00343214"/>
    <w:rsid w:val="00361C00"/>
    <w:rsid w:val="00395FA1"/>
    <w:rsid w:val="003D47D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3F58"/>
    <w:rsid w:val="006F74FA"/>
    <w:rsid w:val="007231C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ACF"/>
    <w:rsid w:val="00C05BFE"/>
    <w:rsid w:val="00C23CD4"/>
    <w:rsid w:val="00C30CD5"/>
    <w:rsid w:val="00C61C0C"/>
    <w:rsid w:val="00C941CB"/>
    <w:rsid w:val="00CC2357"/>
    <w:rsid w:val="00CF071A"/>
    <w:rsid w:val="00D058B8"/>
    <w:rsid w:val="00D56C11"/>
    <w:rsid w:val="00D72265"/>
    <w:rsid w:val="00D834A0"/>
    <w:rsid w:val="00D872DF"/>
    <w:rsid w:val="00D91E21"/>
    <w:rsid w:val="00DA7FCD"/>
    <w:rsid w:val="00E365E1"/>
    <w:rsid w:val="00E820A4"/>
    <w:rsid w:val="00E86B9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A0DE0"/>
  <w15:chartTrackingRefBased/>
  <w15:docId w15:val="{285DA521-978A-4869-8A11-774949CA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72265"/>
    <w:pPr>
      <w:spacing w:before="480" w:after="240"/>
    </w:pPr>
  </w:style>
  <w:style w:type="paragraph" w:customStyle="1" w:styleId="NormalBold">
    <w:name w:val="NormalBold"/>
    <w:basedOn w:val="Normal"/>
    <w:rsid w:val="00D72265"/>
    <w:rPr>
      <w:b/>
    </w:rPr>
  </w:style>
  <w:style w:type="paragraph" w:customStyle="1" w:styleId="NormalHanging12a">
    <w:name w:val="NormalHanging12a"/>
    <w:basedOn w:val="Normal"/>
    <w:rsid w:val="00D72265"/>
    <w:pPr>
      <w:spacing w:after="240"/>
      <w:ind w:left="567" w:hanging="567"/>
    </w:pPr>
  </w:style>
  <w:style w:type="character" w:styleId="Hyperlink">
    <w:name w:val="Hyperlink"/>
    <w:basedOn w:val="DefaultParagraphFont"/>
    <w:rsid w:val="00D722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81B8C"/>
    <w:rPr>
      <w:sz w:val="24"/>
      <w:lang w:val="bg-BG"/>
    </w:rPr>
  </w:style>
  <w:style w:type="character" w:styleId="FollowedHyperlink">
    <w:name w:val="FollowedHyperlink"/>
    <w:basedOn w:val="DefaultParagraphFont"/>
    <w:rsid w:val="00281B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2025-10-23T10:51:00Z</dcterms:created>
  <dcterms:modified xsi:type="dcterms:W3CDTF">2025-10-23T10:51:00Z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