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553D" w14:paraId="5DA28B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0CFBC3" w14:textId="77777777" w:rsidR="00751A4A" w:rsidRPr="00C7553D" w:rsidRDefault="004C238C" w:rsidP="0010095E">
            <w:pPr>
              <w:pStyle w:val="EPName"/>
            </w:pPr>
            <w:r w:rsidRPr="00C7553D">
              <w:t>Europa-Parlamentet</w:t>
            </w:r>
          </w:p>
          <w:p w14:paraId="1E235311" w14:textId="77777777" w:rsidR="00751A4A" w:rsidRPr="00C755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553D">
              <w:t>2024</w:t>
            </w:r>
            <w:r w:rsidR="00817416" w:rsidRPr="00C7553D">
              <w:t>-202</w:t>
            </w:r>
            <w:r w:rsidRPr="00C7553D">
              <w:t>9</w:t>
            </w:r>
          </w:p>
        </w:tc>
        <w:tc>
          <w:tcPr>
            <w:tcW w:w="2268" w:type="dxa"/>
            <w:shd w:val="clear" w:color="auto" w:fill="auto"/>
          </w:tcPr>
          <w:p w14:paraId="4C3663E1" w14:textId="77777777" w:rsidR="00751A4A" w:rsidRPr="00C7553D" w:rsidRDefault="00187494" w:rsidP="0010095E">
            <w:pPr>
              <w:pStyle w:val="EPLogo"/>
            </w:pPr>
            <w:r w:rsidRPr="00C7553D">
              <w:rPr>
                <w:noProof/>
                <w:lang w:eastAsia="ja-JP"/>
              </w:rPr>
              <w:drawing>
                <wp:inline distT="0" distB="0" distL="0" distR="0" wp14:anchorId="29A6FA78" wp14:editId="05E392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0230A" w14:textId="77777777" w:rsidR="00D058B8" w:rsidRPr="00C7553D" w:rsidRDefault="00D058B8" w:rsidP="004C5D52">
      <w:pPr>
        <w:pStyle w:val="LineTop"/>
      </w:pPr>
    </w:p>
    <w:p w14:paraId="490D1D5C" w14:textId="77777777" w:rsidR="00680577" w:rsidRPr="00C7553D" w:rsidRDefault="004C238C" w:rsidP="00680577">
      <w:pPr>
        <w:pStyle w:val="EPBodyTA1"/>
      </w:pPr>
      <w:r w:rsidRPr="00C7553D">
        <w:t>VEDTAGNE TEKSTER</w:t>
      </w:r>
    </w:p>
    <w:p w14:paraId="172C2D63" w14:textId="77777777" w:rsidR="00D058B8" w:rsidRPr="00C7553D" w:rsidRDefault="00D058B8" w:rsidP="00D058B8">
      <w:pPr>
        <w:pStyle w:val="LineBottom"/>
      </w:pPr>
    </w:p>
    <w:p w14:paraId="14D5F613" w14:textId="194B0E25" w:rsidR="004C238C" w:rsidRPr="00C7553D" w:rsidRDefault="004C238C" w:rsidP="004C238C">
      <w:pPr>
        <w:pStyle w:val="ATHeading1"/>
      </w:pPr>
      <w:bookmarkStart w:id="0" w:name="TANumber"/>
      <w:r w:rsidRPr="00C7553D">
        <w:t>P10_TA(2025)0</w:t>
      </w:r>
      <w:bookmarkEnd w:id="0"/>
      <w:r w:rsidR="00786B3E">
        <w:t>252</w:t>
      </w:r>
    </w:p>
    <w:p w14:paraId="6F4DF8D6" w14:textId="0BBBFBEE" w:rsidR="004C238C" w:rsidRPr="00F84778" w:rsidRDefault="00F84778" w:rsidP="004C238C">
      <w:pPr>
        <w:pStyle w:val="ATHeading2"/>
      </w:pPr>
      <w:r w:rsidRPr="00F2795B">
        <w:rPr>
          <w:bCs/>
        </w:rPr>
        <w:t>Forebyggelse af tab af plastgranulat for at mindske mikroplastforurening</w:t>
      </w:r>
    </w:p>
    <w:p w14:paraId="1D5023F4" w14:textId="77777777" w:rsidR="004C238C" w:rsidRPr="00C7553D" w:rsidRDefault="004C238C" w:rsidP="004C238C">
      <w:pPr>
        <w:rPr>
          <w:i/>
          <w:vanish/>
        </w:rPr>
      </w:pPr>
      <w:r w:rsidRPr="00C7553D">
        <w:rPr>
          <w:i/>
        </w:rPr>
        <w:fldChar w:fldCharType="begin"/>
      </w:r>
      <w:r w:rsidRPr="00C7553D">
        <w:rPr>
          <w:i/>
        </w:rPr>
        <w:instrText xml:space="preserve"> TC"(</w:instrText>
      </w:r>
      <w:bookmarkStart w:id="1" w:name="DocNumber"/>
      <w:r w:rsidRPr="00C7553D">
        <w:rPr>
          <w:i/>
        </w:rPr>
        <w:instrText>A10-0203/2025</w:instrText>
      </w:r>
      <w:bookmarkEnd w:id="1"/>
      <w:r w:rsidRPr="00C7553D">
        <w:rPr>
          <w:i/>
        </w:rPr>
        <w:instrText xml:space="preserve"> - Ordfører: César </w:instrText>
      </w:r>
      <w:proofErr w:type="spellStart"/>
      <w:r w:rsidRPr="00C7553D">
        <w:rPr>
          <w:i/>
        </w:rPr>
        <w:instrText>Luena</w:instrText>
      </w:r>
      <w:proofErr w:type="spellEnd"/>
      <w:r w:rsidRPr="00C7553D">
        <w:rPr>
          <w:i/>
        </w:rPr>
        <w:instrText xml:space="preserve">)"\l3 \n&gt; \* MERGEFORMAT </w:instrText>
      </w:r>
      <w:r w:rsidRPr="00C7553D">
        <w:rPr>
          <w:i/>
        </w:rPr>
        <w:fldChar w:fldCharType="end"/>
      </w:r>
    </w:p>
    <w:p w14:paraId="26800502" w14:textId="77777777" w:rsidR="004C238C" w:rsidRPr="00C7553D" w:rsidRDefault="004C238C" w:rsidP="004C238C">
      <w:pPr>
        <w:rPr>
          <w:vanish/>
        </w:rPr>
      </w:pPr>
      <w:bookmarkStart w:id="2" w:name="Commission"/>
      <w:r w:rsidRPr="00C7553D">
        <w:rPr>
          <w:vanish/>
        </w:rPr>
        <w:t>Udvalget om Miljø, Klima og Fødevaresikkerhed</w:t>
      </w:r>
      <w:bookmarkEnd w:id="2"/>
    </w:p>
    <w:p w14:paraId="184CEE81" w14:textId="77777777" w:rsidR="004C238C" w:rsidRPr="00C7553D" w:rsidRDefault="004C238C" w:rsidP="004C238C">
      <w:pPr>
        <w:rPr>
          <w:vanish/>
        </w:rPr>
      </w:pPr>
      <w:bookmarkStart w:id="3" w:name="PE"/>
      <w:r w:rsidRPr="00C7553D">
        <w:rPr>
          <w:vanish/>
        </w:rPr>
        <w:t>PE778.296</w:t>
      </w:r>
      <w:bookmarkEnd w:id="3"/>
    </w:p>
    <w:p w14:paraId="5A6676FF" w14:textId="373C7551" w:rsidR="004C238C" w:rsidRPr="00C7553D" w:rsidRDefault="004C238C" w:rsidP="004C238C">
      <w:pPr>
        <w:pStyle w:val="ATHeading3"/>
      </w:pPr>
      <w:bookmarkStart w:id="4" w:name="Sujet"/>
      <w:r w:rsidRPr="00C7553D">
        <w:t xml:space="preserve">Europa-Parlamentets lovgivningsmæssige beslutning af </w:t>
      </w:r>
      <w:r w:rsidR="00F84778">
        <w:t>23. oktober</w:t>
      </w:r>
      <w:r w:rsidRPr="00C7553D">
        <w:t xml:space="preserve"> 2025 om Rådets førstebehandlingsholdning med henblik på vedtagelse af Europa-Parlamentets og Rådets forordning om forebyggelse af tab af plastgranulat for at mindske mikroplastforurening</w:t>
      </w:r>
      <w:bookmarkEnd w:id="4"/>
      <w:r w:rsidRPr="00C7553D">
        <w:t xml:space="preserve"> </w:t>
      </w:r>
      <w:bookmarkStart w:id="5" w:name="References"/>
      <w:r w:rsidRPr="00C7553D">
        <w:t>(09047/1/2025 – C10-0234/2025 – 2023/0373(COD))</w:t>
      </w:r>
      <w:bookmarkEnd w:id="5"/>
    </w:p>
    <w:p w14:paraId="0593B211" w14:textId="77777777" w:rsidR="009177E5" w:rsidRPr="00C7553D" w:rsidRDefault="009177E5" w:rsidP="009177E5">
      <w:pPr>
        <w:pStyle w:val="NormalBold"/>
      </w:pPr>
      <w:r w:rsidRPr="00C7553D">
        <w:t>(Almindelig lovgivningsprocedure: andenbehandling)</w:t>
      </w:r>
    </w:p>
    <w:p w14:paraId="0E22EF46" w14:textId="77777777" w:rsidR="009177E5" w:rsidRPr="00C7553D" w:rsidRDefault="009177E5" w:rsidP="009177E5">
      <w:pPr>
        <w:pStyle w:val="EPComma"/>
      </w:pPr>
      <w:r w:rsidRPr="00C7553D">
        <w:rPr>
          <w:i/>
        </w:rPr>
        <w:t>Europa-Parlamentet</w:t>
      </w:r>
      <w:r w:rsidRPr="00C7553D">
        <w:t>,</w:t>
      </w:r>
    </w:p>
    <w:p w14:paraId="6D4213A3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Rådets førstebehandlingsholdning (09047/1/2025 – C10</w:t>
      </w:r>
      <w:r w:rsidRPr="00C7553D">
        <w:noBreakHyphen/>
        <w:t>0234/2025),</w:t>
      </w:r>
    </w:p>
    <w:p w14:paraId="1AF851CC" w14:textId="7C50DCBC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 xml:space="preserve">der henviser til den begrundede udtalelse, som inden for rammerne af protokol nr. 2 om anvendelse af nærhedsprincippet og proportionalitetsprincippet er blevet forelagt af det italienske </w:t>
      </w:r>
      <w:r w:rsidR="00EC22EE">
        <w:t>d</w:t>
      </w:r>
      <w:r w:rsidRPr="00C7553D">
        <w:t>eputeretkammer, om, at udkastet til lovgivningsmæssig retsakt ikke overholder nærhedsprincippet,</w:t>
      </w:r>
    </w:p>
    <w:p w14:paraId="4366C312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udtalelse af 14. februar 2024 fra Det Europæiske Økonomiske og Sociale Udvalg</w:t>
      </w:r>
      <w:r w:rsidRPr="00C7553D">
        <w:rPr>
          <w:vertAlign w:val="superscript"/>
        </w:rPr>
        <w:footnoteReference w:id="1"/>
      </w:r>
      <w:r w:rsidRPr="00C7553D">
        <w:t xml:space="preserve">, </w:t>
      </w:r>
    </w:p>
    <w:p w14:paraId="585659B6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udtalelse af 18. april 2024 fra Regionsudvalget</w:t>
      </w:r>
      <w:r w:rsidRPr="00C7553D">
        <w:rPr>
          <w:vertAlign w:val="superscript"/>
        </w:rPr>
        <w:footnoteReference w:id="2"/>
      </w:r>
      <w:r w:rsidRPr="00C7553D">
        <w:t>,</w:t>
      </w:r>
    </w:p>
    <w:p w14:paraId="03BC8299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sin holdning ved førstebehandling</w:t>
      </w:r>
      <w:r w:rsidRPr="00C7553D">
        <w:rPr>
          <w:vertAlign w:val="superscript"/>
        </w:rPr>
        <w:footnoteReference w:id="3"/>
      </w:r>
      <w:r w:rsidRPr="00C7553D">
        <w:t xml:space="preserve"> til Kommissionens forslag til Europa-Parlamentet og Rådet (</w:t>
      </w:r>
      <w:proofErr w:type="gramStart"/>
      <w:r w:rsidRPr="00C7553D">
        <w:t>COM(</w:t>
      </w:r>
      <w:proofErr w:type="gramEnd"/>
      <w:r w:rsidRPr="00C7553D">
        <w:t>2023)0645),</w:t>
      </w:r>
    </w:p>
    <w:p w14:paraId="71EAD523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artikel 294, stk. 7, i traktaten om Den Europæiske Unions funktionsmåde,</w:t>
      </w:r>
    </w:p>
    <w:p w14:paraId="58FF8A56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til, at det kompetente udvalg har godkendt den foreløbige aftale i henhold til forretningsordenens artikel 75, stk. 4,</w:t>
      </w:r>
    </w:p>
    <w:p w14:paraId="5E6AF15D" w14:textId="77777777" w:rsidR="009177E5" w:rsidRPr="00C7553D" w:rsidRDefault="009177E5" w:rsidP="009177E5">
      <w:pPr>
        <w:pStyle w:val="NormalHanging12a"/>
      </w:pPr>
      <w:r w:rsidRPr="00C7553D">
        <w:lastRenderedPageBreak/>
        <w:t>–</w:t>
      </w:r>
      <w:r w:rsidRPr="00C7553D">
        <w:tab/>
        <w:t>der henviser til forretningsordenens artikel 68,</w:t>
      </w:r>
    </w:p>
    <w:p w14:paraId="47BA5ABF" w14:textId="77777777" w:rsidR="009177E5" w:rsidRPr="00C7553D" w:rsidRDefault="009177E5" w:rsidP="009177E5">
      <w:pPr>
        <w:pStyle w:val="NormalHanging12a"/>
      </w:pPr>
      <w:r w:rsidRPr="00C7553D">
        <w:t>–</w:t>
      </w:r>
      <w:r w:rsidRPr="00C7553D">
        <w:tab/>
        <w:t>der henviser til indstilling ved andenbehandling fra Udvalget om Miljø, Klima og Fødevaresikkerhed (A10-0203/2025),</w:t>
      </w:r>
    </w:p>
    <w:p w14:paraId="533822AF" w14:textId="77777777" w:rsidR="009177E5" w:rsidRPr="00C7553D" w:rsidRDefault="009177E5" w:rsidP="009177E5">
      <w:pPr>
        <w:pStyle w:val="NormalHanging12a"/>
      </w:pPr>
      <w:r w:rsidRPr="00C7553D">
        <w:t>1.</w:t>
      </w:r>
      <w:r w:rsidRPr="00C7553D">
        <w:tab/>
        <w:t>godkender Rådets førstebehandlingsholdning;</w:t>
      </w:r>
    </w:p>
    <w:p w14:paraId="2B97707D" w14:textId="77777777" w:rsidR="009177E5" w:rsidRPr="00C7553D" w:rsidRDefault="009177E5" w:rsidP="009177E5">
      <w:pPr>
        <w:pStyle w:val="NormalHanging12a"/>
      </w:pPr>
      <w:r w:rsidRPr="00C7553D">
        <w:t>2.</w:t>
      </w:r>
      <w:r w:rsidRPr="00C7553D">
        <w:tab/>
        <w:t>konstaterer, at retsakten er vedtaget i overensstemmelse med Rådets holdning;</w:t>
      </w:r>
    </w:p>
    <w:p w14:paraId="6BC327E0" w14:textId="77777777" w:rsidR="009177E5" w:rsidRPr="00C7553D" w:rsidRDefault="009177E5" w:rsidP="009177E5">
      <w:pPr>
        <w:pStyle w:val="NormalHanging12a"/>
      </w:pPr>
      <w:r w:rsidRPr="00C7553D">
        <w:t>3.</w:t>
      </w:r>
      <w:r w:rsidRPr="00C7553D">
        <w:tab/>
        <w:t>pålægger sin formand sammen med Rådets formand at undertegne retsakten, jf. artikel 297, stk. 1, i traktaten om Den Europæiske Unions funktionsmåde;</w:t>
      </w:r>
    </w:p>
    <w:p w14:paraId="38DDAC9E" w14:textId="77777777" w:rsidR="009177E5" w:rsidRPr="00C7553D" w:rsidRDefault="009177E5" w:rsidP="009177E5">
      <w:pPr>
        <w:pStyle w:val="NormalHanging12a"/>
      </w:pPr>
      <w:r w:rsidRPr="00C7553D">
        <w:t>4.</w:t>
      </w:r>
      <w:r w:rsidRPr="00C7553D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C7553D">
        <w:rPr>
          <w:i/>
          <w:iCs/>
        </w:rPr>
        <w:t>Den Europæiske Unions Tidende</w:t>
      </w:r>
      <w:r w:rsidRPr="00C7553D">
        <w:t>;</w:t>
      </w:r>
    </w:p>
    <w:p w14:paraId="1F5FF76E" w14:textId="02B97F29" w:rsidR="00E365E1" w:rsidRPr="00C7553D" w:rsidRDefault="009177E5" w:rsidP="00F84778">
      <w:pPr>
        <w:pStyle w:val="NormalHanging12a"/>
      </w:pPr>
      <w:r w:rsidRPr="00C7553D">
        <w:t>5.</w:t>
      </w:r>
      <w:r w:rsidRPr="00C7553D">
        <w:tab/>
        <w:t>pålægger sin formand at sende Parlamentets holdning til Rådet og Kommissionen samt til de nationale parlamenter.</w:t>
      </w:r>
    </w:p>
    <w:sectPr w:rsidR="00E365E1" w:rsidRPr="00C7553D" w:rsidSect="00C755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5670A" w14:textId="77777777" w:rsidR="004C238C" w:rsidRPr="00C7553D" w:rsidRDefault="004C238C">
      <w:r w:rsidRPr="00C7553D">
        <w:separator/>
      </w:r>
    </w:p>
  </w:endnote>
  <w:endnote w:type="continuationSeparator" w:id="0">
    <w:p w14:paraId="0827B3B8" w14:textId="77777777" w:rsidR="004C238C" w:rsidRPr="00C7553D" w:rsidRDefault="004C238C">
      <w:r w:rsidRPr="00C755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63DC7" w14:textId="77777777" w:rsidR="00064002" w:rsidRPr="00C755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5B93" w14:textId="77777777" w:rsidR="00064002" w:rsidRPr="00C755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212BA" w14:textId="77777777" w:rsidR="00064002" w:rsidRPr="00C755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06250" w14:textId="77777777" w:rsidR="004C238C" w:rsidRPr="00C7553D" w:rsidRDefault="004C238C">
      <w:r w:rsidRPr="00C7553D">
        <w:separator/>
      </w:r>
    </w:p>
  </w:footnote>
  <w:footnote w:type="continuationSeparator" w:id="0">
    <w:p w14:paraId="68E4A01B" w14:textId="77777777" w:rsidR="004C238C" w:rsidRPr="00C7553D" w:rsidRDefault="004C238C">
      <w:r w:rsidRPr="00C7553D">
        <w:continuationSeparator/>
      </w:r>
    </w:p>
  </w:footnote>
  <w:footnote w:id="1">
    <w:p w14:paraId="03803E57" w14:textId="30BF7909" w:rsidR="009177E5" w:rsidRPr="00F2795B" w:rsidRDefault="009177E5" w:rsidP="00C7553D">
      <w:pPr>
        <w:pStyle w:val="FootnoteText"/>
        <w:ind w:left="567" w:hanging="567"/>
        <w:rPr>
          <w:sz w:val="24"/>
          <w:lang w:val="fi-FI"/>
        </w:rPr>
      </w:pPr>
      <w:r w:rsidRPr="00C7553D">
        <w:rPr>
          <w:rStyle w:val="FootnoteReference"/>
          <w:sz w:val="24"/>
          <w:lang w:val="da-DK"/>
        </w:rPr>
        <w:footnoteRef/>
      </w:r>
      <w:r w:rsidR="00C7553D" w:rsidRPr="00F2795B">
        <w:rPr>
          <w:sz w:val="24"/>
          <w:lang w:val="fi-FI"/>
        </w:rPr>
        <w:t xml:space="preserve"> </w:t>
      </w:r>
      <w:r w:rsidR="00C7553D" w:rsidRPr="00F2795B">
        <w:rPr>
          <w:sz w:val="24"/>
          <w:lang w:val="fi-FI"/>
        </w:rPr>
        <w:tab/>
      </w:r>
      <w:r w:rsidRPr="00F2795B">
        <w:rPr>
          <w:sz w:val="24"/>
          <w:lang w:val="fi-FI"/>
        </w:rPr>
        <w:t xml:space="preserve">EUT C, C/2024/2487, 23.4.2024, ELI: </w:t>
      </w:r>
      <w:hyperlink r:id="rId1" w:history="1">
        <w:r w:rsidRPr="00F2795B">
          <w:rPr>
            <w:rStyle w:val="Hyperlink"/>
            <w:sz w:val="24"/>
            <w:lang w:val="fi-FI"/>
          </w:rPr>
          <w:t>http://data.europa.eu/eli/C/2024/2487/oj</w:t>
        </w:r>
      </w:hyperlink>
      <w:r w:rsidRPr="00F2795B">
        <w:rPr>
          <w:rStyle w:val="Hyperlink"/>
          <w:sz w:val="24"/>
          <w:lang w:val="fi-FI"/>
        </w:rPr>
        <w:t>.</w:t>
      </w:r>
    </w:p>
  </w:footnote>
  <w:footnote w:id="2">
    <w:p w14:paraId="69E43DAF" w14:textId="75036581" w:rsidR="009177E5" w:rsidRPr="00F2795B" w:rsidRDefault="009177E5" w:rsidP="00C7553D">
      <w:pPr>
        <w:pStyle w:val="FootnoteText"/>
        <w:ind w:left="567" w:hanging="567"/>
        <w:rPr>
          <w:sz w:val="24"/>
          <w:lang w:val="fi-FI"/>
        </w:rPr>
      </w:pPr>
      <w:r w:rsidRPr="00C7553D">
        <w:rPr>
          <w:rStyle w:val="FootnoteReference"/>
          <w:sz w:val="24"/>
          <w:lang w:val="da-DK"/>
        </w:rPr>
        <w:footnoteRef/>
      </w:r>
      <w:r w:rsidR="00C7553D" w:rsidRPr="00F2795B">
        <w:rPr>
          <w:sz w:val="24"/>
          <w:lang w:val="fi-FI"/>
        </w:rPr>
        <w:t xml:space="preserve"> </w:t>
      </w:r>
      <w:r w:rsidR="00C7553D" w:rsidRPr="00F2795B">
        <w:rPr>
          <w:sz w:val="24"/>
          <w:lang w:val="fi-FI"/>
        </w:rPr>
        <w:tab/>
      </w:r>
      <w:r w:rsidRPr="00F2795B">
        <w:rPr>
          <w:sz w:val="24"/>
          <w:lang w:val="fi-FI"/>
        </w:rPr>
        <w:t xml:space="preserve">EUT C, C/2024/3675, 26.6.2024, ELI: </w:t>
      </w:r>
      <w:r w:rsidR="00786B3E">
        <w:fldChar w:fldCharType="begin"/>
      </w:r>
      <w:r w:rsidR="00786B3E" w:rsidRPr="00786B3E">
        <w:rPr>
          <w:lang w:val="fi-FI"/>
        </w:rPr>
        <w:instrText>HYPERLINK "http://data.europa.eu/eli/C/2024/3675/oj"</w:instrText>
      </w:r>
      <w:r w:rsidR="00786B3E">
        <w:fldChar w:fldCharType="separate"/>
      </w:r>
      <w:r w:rsidRPr="00F2795B">
        <w:rPr>
          <w:rStyle w:val="Hyperlink"/>
          <w:sz w:val="24"/>
          <w:lang w:val="fi-FI"/>
        </w:rPr>
        <w:t>http://data.europa.eu/eli/C/2024/3675/oj</w:t>
      </w:r>
      <w:r w:rsidR="00786B3E">
        <w:rPr>
          <w:rStyle w:val="Hyperlink"/>
          <w:sz w:val="24"/>
          <w:lang w:val="fi-FI"/>
        </w:rPr>
        <w:fldChar w:fldCharType="end"/>
      </w:r>
      <w:r w:rsidRPr="00F2795B">
        <w:rPr>
          <w:rStyle w:val="Hyperlink"/>
          <w:sz w:val="24"/>
          <w:lang w:val="fi-FI"/>
        </w:rPr>
        <w:t>.</w:t>
      </w:r>
    </w:p>
  </w:footnote>
  <w:footnote w:id="3">
    <w:p w14:paraId="741F579C" w14:textId="7D123E3B" w:rsidR="009177E5" w:rsidRPr="00F2795B" w:rsidRDefault="009177E5" w:rsidP="00C7553D">
      <w:pPr>
        <w:pStyle w:val="FootnoteText"/>
        <w:ind w:left="567" w:hanging="567"/>
        <w:rPr>
          <w:sz w:val="24"/>
          <w:lang w:val="fi-FI"/>
        </w:rPr>
      </w:pPr>
      <w:r w:rsidRPr="00C7553D">
        <w:rPr>
          <w:rStyle w:val="FootnoteReference"/>
          <w:sz w:val="24"/>
          <w:lang w:val="da-DK"/>
        </w:rPr>
        <w:footnoteRef/>
      </w:r>
      <w:r w:rsidR="00C7553D" w:rsidRPr="00F2795B">
        <w:rPr>
          <w:sz w:val="24"/>
          <w:lang w:val="fi-FI"/>
        </w:rPr>
        <w:t xml:space="preserve"> </w:t>
      </w:r>
      <w:r w:rsidR="00C7553D" w:rsidRPr="00F2795B">
        <w:rPr>
          <w:sz w:val="24"/>
          <w:lang w:val="fi-FI"/>
        </w:rPr>
        <w:tab/>
      </w:r>
      <w:r w:rsidRPr="00F2795B">
        <w:rPr>
          <w:sz w:val="24"/>
          <w:lang w:val="fi-FI"/>
        </w:rPr>
        <w:t xml:space="preserve">EUT C, C/2025/3734, 17.9.2025, ELI: </w:t>
      </w:r>
      <w:r w:rsidR="00786B3E">
        <w:fldChar w:fldCharType="begin"/>
      </w:r>
      <w:r w:rsidR="00786B3E" w:rsidRPr="00786B3E">
        <w:rPr>
          <w:lang w:val="fi-FI"/>
        </w:rPr>
        <w:instrText>HYPERLINK "http://data.europa.eu/eli/C/2025/3734/oj"</w:instrText>
      </w:r>
      <w:r w:rsidR="00786B3E">
        <w:fldChar w:fldCharType="separate"/>
      </w:r>
      <w:r w:rsidRPr="00F2795B">
        <w:rPr>
          <w:rStyle w:val="Hyperlink"/>
          <w:sz w:val="24"/>
          <w:lang w:val="fi-FI"/>
        </w:rPr>
        <w:t>http://data.europa.eu/eli/C/2025/3734/oj</w:t>
      </w:r>
      <w:r w:rsidR="00786B3E">
        <w:rPr>
          <w:rStyle w:val="Hyperlink"/>
          <w:sz w:val="24"/>
          <w:lang w:val="fi-FI"/>
        </w:rPr>
        <w:fldChar w:fldCharType="end"/>
      </w:r>
      <w:r w:rsidRPr="00F2795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CF55E" w14:textId="77777777" w:rsidR="00064002" w:rsidRPr="00C755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77CA8" w14:textId="77777777" w:rsidR="00064002" w:rsidRPr="00C755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DE6C5" w14:textId="77777777" w:rsidR="00064002" w:rsidRPr="00C755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7480788">
    <w:abstractNumId w:val="9"/>
  </w:num>
  <w:num w:numId="2" w16cid:durableId="327834094">
    <w:abstractNumId w:val="9"/>
  </w:num>
  <w:num w:numId="3" w16cid:durableId="1613047644">
    <w:abstractNumId w:val="7"/>
  </w:num>
  <w:num w:numId="4" w16cid:durableId="19624188">
    <w:abstractNumId w:val="7"/>
  </w:num>
  <w:num w:numId="5" w16cid:durableId="686298709">
    <w:abstractNumId w:val="6"/>
  </w:num>
  <w:num w:numId="6" w16cid:durableId="671878052">
    <w:abstractNumId w:val="6"/>
  </w:num>
  <w:num w:numId="7" w16cid:durableId="1178079292">
    <w:abstractNumId w:val="5"/>
  </w:num>
  <w:num w:numId="8" w16cid:durableId="842162932">
    <w:abstractNumId w:val="5"/>
  </w:num>
  <w:num w:numId="9" w16cid:durableId="196089591">
    <w:abstractNumId w:val="4"/>
  </w:num>
  <w:num w:numId="10" w16cid:durableId="996692757">
    <w:abstractNumId w:val="4"/>
  </w:num>
  <w:num w:numId="11" w16cid:durableId="205528523">
    <w:abstractNumId w:val="8"/>
  </w:num>
  <w:num w:numId="12" w16cid:durableId="208735730">
    <w:abstractNumId w:val="8"/>
  </w:num>
  <w:num w:numId="13" w16cid:durableId="1786122702">
    <w:abstractNumId w:val="3"/>
  </w:num>
  <w:num w:numId="14" w16cid:durableId="1237395407">
    <w:abstractNumId w:val="3"/>
  </w:num>
  <w:num w:numId="15" w16cid:durableId="278146982">
    <w:abstractNumId w:val="2"/>
  </w:num>
  <w:num w:numId="16" w16cid:durableId="1090471109">
    <w:abstractNumId w:val="2"/>
  </w:num>
  <w:num w:numId="17" w16cid:durableId="1635677999">
    <w:abstractNumId w:val="1"/>
  </w:num>
  <w:num w:numId="18" w16cid:durableId="1853370981">
    <w:abstractNumId w:val="1"/>
  </w:num>
  <w:num w:numId="19" w16cid:durableId="1667051342">
    <w:abstractNumId w:val="0"/>
  </w:num>
  <w:num w:numId="20" w16cid:durableId="228273486">
    <w:abstractNumId w:val="0"/>
  </w:num>
  <w:num w:numId="21" w16cid:durableId="196355979">
    <w:abstractNumId w:val="9"/>
  </w:num>
  <w:num w:numId="22" w16cid:durableId="989942286">
    <w:abstractNumId w:val="7"/>
  </w:num>
  <w:num w:numId="23" w16cid:durableId="578055360">
    <w:abstractNumId w:val="6"/>
  </w:num>
  <w:num w:numId="24" w16cid:durableId="579603959">
    <w:abstractNumId w:val="5"/>
  </w:num>
  <w:num w:numId="25" w16cid:durableId="1764691463">
    <w:abstractNumId w:val="4"/>
  </w:num>
  <w:num w:numId="26" w16cid:durableId="1687635829">
    <w:abstractNumId w:val="8"/>
  </w:num>
  <w:num w:numId="27" w16cid:durableId="295648243">
    <w:abstractNumId w:val="3"/>
  </w:num>
  <w:num w:numId="28" w16cid:durableId="1400132608">
    <w:abstractNumId w:val="2"/>
  </w:num>
  <w:num w:numId="29" w16cid:durableId="260261213">
    <w:abstractNumId w:val="1"/>
  </w:num>
  <w:num w:numId="30" w16cid:durableId="1346058420">
    <w:abstractNumId w:val="0"/>
  </w:num>
  <w:num w:numId="31" w16cid:durableId="1124663709">
    <w:abstractNumId w:val="9"/>
  </w:num>
  <w:num w:numId="32" w16cid:durableId="1244756637">
    <w:abstractNumId w:val="7"/>
  </w:num>
  <w:num w:numId="33" w16cid:durableId="1291866440">
    <w:abstractNumId w:val="6"/>
  </w:num>
  <w:num w:numId="34" w16cid:durableId="1689212217">
    <w:abstractNumId w:val="5"/>
  </w:num>
  <w:num w:numId="35" w16cid:durableId="1274361635">
    <w:abstractNumId w:val="4"/>
  </w:num>
  <w:num w:numId="36" w16cid:durableId="2103184959">
    <w:abstractNumId w:val="8"/>
  </w:num>
  <w:num w:numId="37" w16cid:durableId="970860744">
    <w:abstractNumId w:val="3"/>
  </w:num>
  <w:num w:numId="38" w16cid:durableId="737481559">
    <w:abstractNumId w:val="2"/>
  </w:num>
  <w:num w:numId="39" w16cid:durableId="773749470">
    <w:abstractNumId w:val="1"/>
  </w:num>
  <w:num w:numId="40" w16cid:durableId="1738628418">
    <w:abstractNumId w:val="0"/>
  </w:num>
  <w:num w:numId="41" w16cid:durableId="950666144">
    <w:abstractNumId w:val="10"/>
  </w:num>
  <w:num w:numId="42" w16cid:durableId="70009552">
    <w:abstractNumId w:val="10"/>
  </w:num>
  <w:num w:numId="43" w16cid:durableId="20128843">
    <w:abstractNumId w:val="10"/>
  </w:num>
  <w:num w:numId="44" w16cid:durableId="2850820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DA"/>
    <w:docVar w:name="dvnumam" w:val="0"/>
    <w:docVar w:name="dvpe" w:val="778.296"/>
    <w:docVar w:name="dvrapporteur" w:val="Ordfører: "/>
    <w:docVar w:name="dvstar" w:val="***II"/>
    <w:docVar w:name="dvtitre" w:val="Europa-Parlamentets lovgivningsmæssige beslutning af xx.xx 2025 om Rådets førstebehandlingsholdning med henblik på vedtagelse af Europa-Parlamentets og Rådets forordning om forebyggelse af tab af plastgranulat for at mindske mikroplastforurening(09047/1/2025 – C10-0234/2025 – 2023/0373(COD))"/>
  </w:docVars>
  <w:rsids>
    <w:rsidRoot w:val="004C23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60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26F"/>
    <w:rsid w:val="004C238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B3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7E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093"/>
    <w:rsid w:val="00AA430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53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F10"/>
    <w:rsid w:val="00E820A4"/>
    <w:rsid w:val="00EB006A"/>
    <w:rsid w:val="00EB4772"/>
    <w:rsid w:val="00EC22EE"/>
    <w:rsid w:val="00ED169E"/>
    <w:rsid w:val="00ED4235"/>
    <w:rsid w:val="00F04346"/>
    <w:rsid w:val="00F075DC"/>
    <w:rsid w:val="00F149E9"/>
    <w:rsid w:val="00F2795B"/>
    <w:rsid w:val="00F5134D"/>
    <w:rsid w:val="00F74202"/>
    <w:rsid w:val="00F8477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6DE88"/>
  <w15:chartTrackingRefBased/>
  <w15:docId w15:val="{C9214D90-31EF-4070-8BE4-14F48D34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77E5"/>
    <w:pPr>
      <w:spacing w:before="480" w:after="240"/>
    </w:pPr>
  </w:style>
  <w:style w:type="paragraph" w:customStyle="1" w:styleId="NormalBold">
    <w:name w:val="NormalBold"/>
    <w:basedOn w:val="Normal"/>
    <w:rsid w:val="009177E5"/>
    <w:rPr>
      <w:b/>
    </w:rPr>
  </w:style>
  <w:style w:type="paragraph" w:customStyle="1" w:styleId="NormalHanging12a">
    <w:name w:val="NormalHanging12a"/>
    <w:basedOn w:val="Normal"/>
    <w:rsid w:val="009177E5"/>
    <w:pPr>
      <w:spacing w:after="240"/>
      <w:ind w:left="567" w:hanging="567"/>
    </w:pPr>
  </w:style>
  <w:style w:type="character" w:styleId="Hyperlink">
    <w:name w:val="Hyperlink"/>
    <w:basedOn w:val="DefaultParagraphFont"/>
    <w:rsid w:val="009177E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84778"/>
    <w:rPr>
      <w:sz w:val="24"/>
      <w:lang w:val="da-DK"/>
    </w:rPr>
  </w:style>
  <w:style w:type="character" w:styleId="CommentReference">
    <w:name w:val="annotation reference"/>
    <w:basedOn w:val="DefaultParagraphFont"/>
    <w:rsid w:val="00F847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47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477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847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4778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2025-10-23T10:41:00Z</dcterms:created>
  <dcterms:modified xsi:type="dcterms:W3CDTF">2025-10-23T10:41:00Z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