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2C2D" w14:paraId="286E4F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A2927F" w14:textId="77777777" w:rsidR="00751A4A" w:rsidRPr="001C2C2D" w:rsidRDefault="00875628" w:rsidP="0010095E">
            <w:pPr>
              <w:pStyle w:val="EPName"/>
            </w:pPr>
            <w:r w:rsidRPr="001C2C2D">
              <w:t>Parlamento Europeo</w:t>
            </w:r>
          </w:p>
          <w:p w14:paraId="74DAC503" w14:textId="77777777" w:rsidR="00751A4A" w:rsidRPr="001C2C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2C2D">
              <w:t>2024</w:t>
            </w:r>
            <w:r w:rsidR="00817416" w:rsidRPr="001C2C2D">
              <w:t>-202</w:t>
            </w:r>
            <w:r w:rsidRPr="001C2C2D">
              <w:t>9</w:t>
            </w:r>
          </w:p>
        </w:tc>
        <w:tc>
          <w:tcPr>
            <w:tcW w:w="2268" w:type="dxa"/>
            <w:shd w:val="clear" w:color="auto" w:fill="auto"/>
          </w:tcPr>
          <w:p w14:paraId="07C4EABF" w14:textId="77777777" w:rsidR="00751A4A" w:rsidRPr="001C2C2D" w:rsidRDefault="00187494" w:rsidP="0010095E">
            <w:pPr>
              <w:pStyle w:val="EPLogo"/>
            </w:pPr>
            <w:r w:rsidRPr="001C2C2D">
              <w:rPr>
                <w:noProof/>
              </w:rPr>
              <w:drawing>
                <wp:inline distT="0" distB="0" distL="0" distR="0" wp14:anchorId="2ABB8496" wp14:editId="76DA30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DFFDCA" w14:textId="77777777" w:rsidR="00D058B8" w:rsidRPr="001C2C2D" w:rsidRDefault="00D058B8" w:rsidP="004C5D52">
      <w:pPr>
        <w:pStyle w:val="LineTop"/>
      </w:pPr>
    </w:p>
    <w:p w14:paraId="6E17E7B3" w14:textId="77777777" w:rsidR="00680577" w:rsidRPr="001C2C2D" w:rsidRDefault="00875628" w:rsidP="00680577">
      <w:pPr>
        <w:pStyle w:val="EPBodyTA1"/>
      </w:pPr>
      <w:r w:rsidRPr="001C2C2D">
        <w:t>TEXTOS APROBADOS</w:t>
      </w:r>
    </w:p>
    <w:p w14:paraId="2620BC82" w14:textId="77777777" w:rsidR="00D058B8" w:rsidRPr="001C2C2D" w:rsidRDefault="00D058B8" w:rsidP="00D058B8">
      <w:pPr>
        <w:pStyle w:val="LineBottom"/>
      </w:pPr>
    </w:p>
    <w:p w14:paraId="50EC9214" w14:textId="07D429AB" w:rsidR="00875628" w:rsidRPr="001C2C2D" w:rsidRDefault="00875628" w:rsidP="00875628">
      <w:pPr>
        <w:pStyle w:val="ATHeading1"/>
      </w:pPr>
      <w:bookmarkStart w:id="0" w:name="TANumber"/>
      <w:r w:rsidRPr="001C2C2D">
        <w:t>P10_</w:t>
      </w:r>
      <w:proofErr w:type="gramStart"/>
      <w:r w:rsidRPr="001C2C2D">
        <w:t>TA(</w:t>
      </w:r>
      <w:proofErr w:type="gramEnd"/>
      <w:r w:rsidRPr="001C2C2D">
        <w:t>2025)0</w:t>
      </w:r>
      <w:r w:rsidR="007767C3" w:rsidRPr="001C2C2D">
        <w:t>252</w:t>
      </w:r>
      <w:bookmarkEnd w:id="0"/>
    </w:p>
    <w:p w14:paraId="1EACF4B7" w14:textId="77777777" w:rsidR="00875628" w:rsidRPr="001C2C2D" w:rsidRDefault="00875628" w:rsidP="00875628">
      <w:pPr>
        <w:pStyle w:val="ATHeading2"/>
      </w:pPr>
      <w:bookmarkStart w:id="1" w:name="title"/>
      <w:r w:rsidRPr="001C2C2D">
        <w:t>Prevención de las pérdidas de granza de plástico para reducir la contaminación por microplásticos</w:t>
      </w:r>
      <w:bookmarkEnd w:id="1"/>
    </w:p>
    <w:p w14:paraId="6C34D616" w14:textId="77777777" w:rsidR="00875628" w:rsidRPr="001C2C2D" w:rsidRDefault="00875628" w:rsidP="00875628">
      <w:pPr>
        <w:rPr>
          <w:i/>
          <w:vanish/>
        </w:rPr>
      </w:pPr>
      <w:r w:rsidRPr="001C2C2D">
        <w:rPr>
          <w:i/>
        </w:rPr>
        <w:fldChar w:fldCharType="begin"/>
      </w:r>
      <w:r w:rsidRPr="001C2C2D">
        <w:rPr>
          <w:i/>
        </w:rPr>
        <w:instrText xml:space="preserve"> TC"(</w:instrText>
      </w:r>
      <w:bookmarkStart w:id="2" w:name="DocNumber"/>
      <w:r w:rsidRPr="001C2C2D">
        <w:rPr>
          <w:i/>
        </w:rPr>
        <w:instrText>A10-0203/2025</w:instrText>
      </w:r>
      <w:bookmarkEnd w:id="2"/>
      <w:r w:rsidRPr="001C2C2D">
        <w:rPr>
          <w:i/>
        </w:rPr>
        <w:instrText xml:space="preserve"> - Ponente: César </w:instrText>
      </w:r>
      <w:proofErr w:type="spellStart"/>
      <w:r w:rsidRPr="001C2C2D">
        <w:rPr>
          <w:i/>
        </w:rPr>
        <w:instrText>Luena</w:instrText>
      </w:r>
      <w:proofErr w:type="spellEnd"/>
      <w:r w:rsidRPr="001C2C2D">
        <w:rPr>
          <w:i/>
        </w:rPr>
        <w:instrText xml:space="preserve">)"\l3 \n&gt; \* MERGEFORMAT </w:instrText>
      </w:r>
      <w:r w:rsidRPr="001C2C2D">
        <w:rPr>
          <w:i/>
        </w:rPr>
        <w:fldChar w:fldCharType="end"/>
      </w:r>
    </w:p>
    <w:p w14:paraId="42060061" w14:textId="77777777" w:rsidR="00875628" w:rsidRPr="001C2C2D" w:rsidRDefault="00875628" w:rsidP="00875628">
      <w:pPr>
        <w:rPr>
          <w:vanish/>
        </w:rPr>
      </w:pPr>
      <w:bookmarkStart w:id="3" w:name="Commission"/>
      <w:r w:rsidRPr="001C2C2D">
        <w:rPr>
          <w:vanish/>
        </w:rPr>
        <w:t>Comisión de Medio Ambiente, Clima y Seguridad Alimentaria</w:t>
      </w:r>
      <w:bookmarkEnd w:id="3"/>
    </w:p>
    <w:p w14:paraId="7B4962C6" w14:textId="77777777" w:rsidR="00875628" w:rsidRPr="001C2C2D" w:rsidRDefault="00875628" w:rsidP="00875628">
      <w:pPr>
        <w:rPr>
          <w:vanish/>
        </w:rPr>
      </w:pPr>
      <w:bookmarkStart w:id="4" w:name="PE"/>
      <w:r w:rsidRPr="001C2C2D">
        <w:rPr>
          <w:vanish/>
        </w:rPr>
        <w:t>PE778.296</w:t>
      </w:r>
      <w:bookmarkEnd w:id="4"/>
    </w:p>
    <w:p w14:paraId="495F4874" w14:textId="77777777" w:rsidR="00875628" w:rsidRPr="001C2C2D" w:rsidRDefault="00875628" w:rsidP="00875628">
      <w:pPr>
        <w:pStyle w:val="ATHeading3"/>
      </w:pPr>
      <w:bookmarkStart w:id="5" w:name="Sujet"/>
      <w:r w:rsidRPr="001C2C2D">
        <w:t>Resolución legislativa del Parlamento Europeo, de 23 de octubre de 2025, sobre la Posición del Consejo en primera lectura con vistas a la adopción del Reglamento del Parlamento Europeo y del Consejo relativo a la prevención de las pérdidas de granza de plástico para reducir la contaminación por microplásticos</w:t>
      </w:r>
      <w:bookmarkEnd w:id="5"/>
      <w:r w:rsidRPr="001C2C2D">
        <w:t xml:space="preserve"> </w:t>
      </w:r>
      <w:bookmarkStart w:id="6" w:name="References"/>
      <w:r w:rsidRPr="001C2C2D">
        <w:t>(09047/1/2025 – C10-0234/2025 – 2023/0373(COD))</w:t>
      </w:r>
      <w:bookmarkEnd w:id="6"/>
    </w:p>
    <w:p w14:paraId="676B7429" w14:textId="77777777" w:rsidR="00875628" w:rsidRPr="001C2C2D" w:rsidRDefault="00875628" w:rsidP="00875628"/>
    <w:p w14:paraId="205449EC" w14:textId="77777777" w:rsidR="00B71E68" w:rsidRPr="001C2C2D" w:rsidRDefault="00B71E68" w:rsidP="00B71E68">
      <w:pPr>
        <w:pStyle w:val="NormalBold"/>
      </w:pPr>
      <w:bookmarkStart w:id="7" w:name="TextBodyBegin"/>
      <w:bookmarkEnd w:id="7"/>
      <w:r w:rsidRPr="001C2C2D">
        <w:t>(Procedimiento legislativo ordinario: segunda lectura)</w:t>
      </w:r>
    </w:p>
    <w:p w14:paraId="5CA4B454" w14:textId="77777777" w:rsidR="00B71E68" w:rsidRPr="001C2C2D" w:rsidRDefault="00B71E68" w:rsidP="00B71E68">
      <w:pPr>
        <w:pStyle w:val="EPComma"/>
      </w:pPr>
      <w:r w:rsidRPr="001C2C2D">
        <w:rPr>
          <w:i/>
        </w:rPr>
        <w:t>El Parlamento Europeo</w:t>
      </w:r>
      <w:r w:rsidRPr="001C2C2D">
        <w:t>,</w:t>
      </w:r>
    </w:p>
    <w:p w14:paraId="35A6F34D" w14:textId="77777777" w:rsidR="00B71E68" w:rsidRPr="001C2C2D" w:rsidRDefault="00B71E68" w:rsidP="00B71E68">
      <w:pPr>
        <w:pStyle w:val="NormalHanging12a"/>
      </w:pPr>
      <w:r w:rsidRPr="001C2C2D">
        <w:t>–</w:t>
      </w:r>
      <w:r w:rsidRPr="001C2C2D">
        <w:tab/>
        <w:t>Vista la Posición del Consejo en primera lectura (09047/1/2025 – C10</w:t>
      </w:r>
      <w:r w:rsidRPr="001C2C2D">
        <w:noBreakHyphen/>
        <w:t>0234/2025),</w:t>
      </w:r>
    </w:p>
    <w:p w14:paraId="60D0A351" w14:textId="77777777" w:rsidR="00B71E68" w:rsidRPr="001C2C2D" w:rsidRDefault="00B71E68" w:rsidP="00B71E68">
      <w:pPr>
        <w:pStyle w:val="NormalHanging12a"/>
      </w:pPr>
      <w:r w:rsidRPr="001C2C2D">
        <w:t>–</w:t>
      </w:r>
      <w:r w:rsidRPr="001C2C2D">
        <w:tab/>
        <w:t>Visto el dictamen motivado presentado por la Cámara de Diputados italiana, de conformidad con lo dispuesto en el Protocolo n.º 2 sobre la aplicación de los principios de subsidiariedad y proporcionalidad, en el que se afirma que el proyecto de acto legislativo no respeta el principio de subsidiariedad,</w:t>
      </w:r>
    </w:p>
    <w:p w14:paraId="3F164C2B" w14:textId="77777777" w:rsidR="00B71E68" w:rsidRPr="001C2C2D" w:rsidRDefault="00B71E68" w:rsidP="00B71E68">
      <w:pPr>
        <w:pStyle w:val="NormalHanging12a"/>
      </w:pPr>
      <w:r w:rsidRPr="001C2C2D">
        <w:t>–</w:t>
      </w:r>
      <w:r w:rsidRPr="001C2C2D">
        <w:tab/>
        <w:t>Visto el dictamen del Comité Económico y Social Europeo, de 14 de febrero de 2024</w:t>
      </w:r>
      <w:r w:rsidRPr="001C2C2D">
        <w:rPr>
          <w:vertAlign w:val="superscript"/>
        </w:rPr>
        <w:footnoteReference w:id="1"/>
      </w:r>
      <w:r w:rsidRPr="001C2C2D">
        <w:t xml:space="preserve">, </w:t>
      </w:r>
    </w:p>
    <w:p w14:paraId="5574DD1E" w14:textId="77777777" w:rsidR="00B71E68" w:rsidRPr="001C2C2D" w:rsidRDefault="00B71E68" w:rsidP="00B71E68">
      <w:pPr>
        <w:pStyle w:val="NormalHanging12a"/>
      </w:pPr>
      <w:r w:rsidRPr="001C2C2D">
        <w:t>–</w:t>
      </w:r>
      <w:r w:rsidRPr="001C2C2D">
        <w:tab/>
        <w:t>Visto el dictamen del Comité de las Regiones, de 18 de abril de 2024</w:t>
      </w:r>
      <w:r w:rsidRPr="001C2C2D">
        <w:rPr>
          <w:vertAlign w:val="superscript"/>
        </w:rPr>
        <w:footnoteReference w:id="2"/>
      </w:r>
      <w:r w:rsidRPr="001C2C2D">
        <w:t>,</w:t>
      </w:r>
    </w:p>
    <w:p w14:paraId="7F53BD62" w14:textId="77777777" w:rsidR="00B71E68" w:rsidRPr="001C2C2D" w:rsidRDefault="00B71E68" w:rsidP="00B71E68">
      <w:pPr>
        <w:pStyle w:val="NormalHanging12a"/>
      </w:pPr>
      <w:r w:rsidRPr="001C2C2D">
        <w:t>–</w:t>
      </w:r>
      <w:r w:rsidRPr="001C2C2D">
        <w:tab/>
        <w:t>Vista su Posición en primera lectura</w:t>
      </w:r>
      <w:r w:rsidRPr="001C2C2D">
        <w:rPr>
          <w:vertAlign w:val="superscript"/>
        </w:rPr>
        <w:footnoteReference w:id="3"/>
      </w:r>
      <w:r w:rsidRPr="001C2C2D">
        <w:t xml:space="preserve"> sobre la propuesta de la Comisión al Parlamento Europeo y al Consejo (</w:t>
      </w:r>
      <w:proofErr w:type="gramStart"/>
      <w:r w:rsidRPr="001C2C2D">
        <w:t>COM(</w:t>
      </w:r>
      <w:proofErr w:type="gramEnd"/>
      <w:r w:rsidRPr="001C2C2D">
        <w:t>2023)0645),</w:t>
      </w:r>
    </w:p>
    <w:p w14:paraId="4A95519C" w14:textId="77777777" w:rsidR="00B71E68" w:rsidRPr="001C2C2D" w:rsidRDefault="00B71E68" w:rsidP="00B71E68">
      <w:pPr>
        <w:pStyle w:val="NormalHanging12a"/>
      </w:pPr>
      <w:r w:rsidRPr="001C2C2D">
        <w:t>–</w:t>
      </w:r>
      <w:r w:rsidRPr="001C2C2D">
        <w:tab/>
        <w:t>Visto el artículo 294, apartado 7, del Tratado de Funcionamiento de la Unión Europea,</w:t>
      </w:r>
    </w:p>
    <w:p w14:paraId="5D68B4FF" w14:textId="77777777" w:rsidR="00B71E68" w:rsidRPr="001C2C2D" w:rsidRDefault="00B71E68" w:rsidP="00B71E68">
      <w:pPr>
        <w:pStyle w:val="NormalHanging12a"/>
      </w:pPr>
      <w:r w:rsidRPr="001C2C2D">
        <w:t>–</w:t>
      </w:r>
      <w:r w:rsidRPr="001C2C2D">
        <w:tab/>
        <w:t>Visto el acuerdo provisional aprobado por la comisión competente con arreglo al artículo 75, apartado 4, de su Reglamento interno,</w:t>
      </w:r>
    </w:p>
    <w:p w14:paraId="14F486FC" w14:textId="77777777" w:rsidR="00B71E68" w:rsidRPr="001C2C2D" w:rsidRDefault="00B71E68" w:rsidP="00B71E68">
      <w:pPr>
        <w:pStyle w:val="NormalHanging12a"/>
      </w:pPr>
      <w:r w:rsidRPr="001C2C2D">
        <w:lastRenderedPageBreak/>
        <w:t>–</w:t>
      </w:r>
      <w:r w:rsidRPr="001C2C2D">
        <w:tab/>
        <w:t>Visto el artículo 68 de su Reglamento interno,</w:t>
      </w:r>
    </w:p>
    <w:p w14:paraId="03EB3E0D" w14:textId="77777777" w:rsidR="00B71E68" w:rsidRPr="001C2C2D" w:rsidRDefault="00B71E68" w:rsidP="00B71E68">
      <w:pPr>
        <w:pStyle w:val="NormalHanging12a"/>
      </w:pPr>
      <w:r w:rsidRPr="001C2C2D">
        <w:t>–</w:t>
      </w:r>
      <w:r w:rsidRPr="001C2C2D">
        <w:tab/>
        <w:t>Vista la Recomendación para la segunda lectura de la Comisión de Medio Ambiente, Clima y Seguridad Alimentaria (A10-0203/2025),</w:t>
      </w:r>
    </w:p>
    <w:p w14:paraId="72B83DA7" w14:textId="77777777" w:rsidR="00B71E68" w:rsidRPr="001C2C2D" w:rsidRDefault="00B71E68" w:rsidP="00B71E68">
      <w:pPr>
        <w:pStyle w:val="NormalHanging12a"/>
      </w:pPr>
      <w:r w:rsidRPr="001C2C2D">
        <w:t>1.</w:t>
      </w:r>
      <w:r w:rsidRPr="001C2C2D">
        <w:tab/>
        <w:t>Aprueba la Posición del Consejo en primera lectura;</w:t>
      </w:r>
    </w:p>
    <w:p w14:paraId="21223412" w14:textId="77777777" w:rsidR="00B71E68" w:rsidRPr="001C2C2D" w:rsidRDefault="00B71E68" w:rsidP="00B71E68">
      <w:pPr>
        <w:pStyle w:val="NormalHanging12a"/>
      </w:pPr>
      <w:r w:rsidRPr="001C2C2D">
        <w:t>2.</w:t>
      </w:r>
      <w:r w:rsidRPr="001C2C2D">
        <w:tab/>
        <w:t>Constata que el acto se adopta con arreglo a la Posición del Consejo;</w:t>
      </w:r>
    </w:p>
    <w:p w14:paraId="38344884" w14:textId="40AF9FC5" w:rsidR="00B71E68" w:rsidRPr="001C2C2D" w:rsidRDefault="00B71E68" w:rsidP="00B71E68">
      <w:pPr>
        <w:pStyle w:val="NormalHanging12a"/>
      </w:pPr>
      <w:r w:rsidRPr="001C2C2D">
        <w:t>3.</w:t>
      </w:r>
      <w:r w:rsidRPr="001C2C2D">
        <w:tab/>
        <w:t xml:space="preserve">Encarga a su presidenta que firme el acto, </w:t>
      </w:r>
      <w:proofErr w:type="gramStart"/>
      <w:r w:rsidRPr="001C2C2D">
        <w:t>conjuntamente con</w:t>
      </w:r>
      <w:proofErr w:type="gramEnd"/>
      <w:r w:rsidRPr="001C2C2D">
        <w:t xml:space="preserve"> </w:t>
      </w:r>
      <w:r w:rsidR="00C45D04" w:rsidRPr="001C2C2D">
        <w:t xml:space="preserve">el </w:t>
      </w:r>
      <w:r w:rsidRPr="001C2C2D">
        <w:t>president</w:t>
      </w:r>
      <w:r w:rsidR="00C45D04" w:rsidRPr="001C2C2D">
        <w:t>e</w:t>
      </w:r>
      <w:r w:rsidRPr="001C2C2D">
        <w:t xml:space="preserve"> del Consejo, de conformidad con el artículo 297, apartado 1, del Tratado de Funcionamiento de la Unión Europea;</w:t>
      </w:r>
    </w:p>
    <w:p w14:paraId="48CECFB6" w14:textId="77777777" w:rsidR="00B71E68" w:rsidRPr="001C2C2D" w:rsidRDefault="00B71E68" w:rsidP="00B71E68">
      <w:pPr>
        <w:pStyle w:val="NormalHanging12a"/>
      </w:pPr>
      <w:r w:rsidRPr="001C2C2D">
        <w:t>4.</w:t>
      </w:r>
      <w:r w:rsidRPr="001C2C2D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1C2C2D">
        <w:rPr>
          <w:i/>
          <w:iCs/>
        </w:rPr>
        <w:t>Diario Oficial de la Unión Europea</w:t>
      </w:r>
      <w:r w:rsidRPr="001C2C2D">
        <w:t>;</w:t>
      </w:r>
    </w:p>
    <w:p w14:paraId="41035834" w14:textId="77777777" w:rsidR="002820AF" w:rsidRPr="001C2C2D" w:rsidRDefault="00B71E68" w:rsidP="002820AF">
      <w:pPr>
        <w:pStyle w:val="NormalHanging12a"/>
      </w:pPr>
      <w:r w:rsidRPr="001C2C2D">
        <w:t>5.</w:t>
      </w:r>
      <w:r w:rsidRPr="001C2C2D">
        <w:tab/>
        <w:t>Encarga a su presidenta que transmita la Posición del Parlamento al Consejo y a la Comisión, así como a los Parlamentos nacionales.</w:t>
      </w:r>
    </w:p>
    <w:p w14:paraId="385B89A0" w14:textId="77777777" w:rsidR="00E365E1" w:rsidRPr="001C2C2D" w:rsidRDefault="00E365E1" w:rsidP="00875628"/>
    <w:sectPr w:rsidR="00E365E1" w:rsidRPr="001C2C2D" w:rsidSect="002820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10EF5" w14:textId="77777777" w:rsidR="00875628" w:rsidRPr="002820AF" w:rsidRDefault="00875628">
      <w:r w:rsidRPr="002820AF">
        <w:separator/>
      </w:r>
    </w:p>
  </w:endnote>
  <w:endnote w:type="continuationSeparator" w:id="0">
    <w:p w14:paraId="1AF32C20" w14:textId="77777777" w:rsidR="00875628" w:rsidRPr="002820AF" w:rsidRDefault="00875628">
      <w:r w:rsidRPr="002820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84B2" w14:textId="77777777" w:rsidR="00064002" w:rsidRPr="002820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EAC75" w14:textId="77777777" w:rsidR="00064002" w:rsidRPr="002820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78300" w14:textId="77777777" w:rsidR="00064002" w:rsidRPr="002820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7F958" w14:textId="77777777" w:rsidR="00875628" w:rsidRPr="002820AF" w:rsidRDefault="00875628">
      <w:r w:rsidRPr="002820AF">
        <w:separator/>
      </w:r>
    </w:p>
  </w:footnote>
  <w:footnote w:type="continuationSeparator" w:id="0">
    <w:p w14:paraId="61DF4902" w14:textId="77777777" w:rsidR="00875628" w:rsidRPr="002820AF" w:rsidRDefault="00875628">
      <w:r w:rsidRPr="002820AF">
        <w:continuationSeparator/>
      </w:r>
    </w:p>
  </w:footnote>
  <w:footnote w:id="1">
    <w:p w14:paraId="1C2AFF3C" w14:textId="77777777" w:rsidR="00B71E68" w:rsidRPr="00C45D04" w:rsidRDefault="00B71E68" w:rsidP="002820AF">
      <w:pPr>
        <w:pStyle w:val="FootnoteText"/>
        <w:ind w:left="567" w:hanging="567"/>
        <w:rPr>
          <w:sz w:val="24"/>
          <w:lang w:val="pt-PT"/>
        </w:rPr>
      </w:pPr>
      <w:r w:rsidRPr="002820AF">
        <w:rPr>
          <w:rStyle w:val="FootnoteReference"/>
          <w:sz w:val="24"/>
          <w:lang w:val="es-ES_tradnl"/>
        </w:rPr>
        <w:footnoteRef/>
      </w:r>
      <w:r w:rsidR="002820AF" w:rsidRPr="00C45D04">
        <w:rPr>
          <w:sz w:val="24"/>
          <w:lang w:val="pt-PT"/>
        </w:rPr>
        <w:t xml:space="preserve"> </w:t>
      </w:r>
      <w:r w:rsidR="002820AF" w:rsidRPr="00C45D04">
        <w:rPr>
          <w:sz w:val="24"/>
          <w:lang w:val="pt-PT"/>
        </w:rPr>
        <w:tab/>
      </w:r>
      <w:r w:rsidRPr="00C45D04">
        <w:rPr>
          <w:sz w:val="24"/>
          <w:lang w:val="pt-PT"/>
        </w:rPr>
        <w:t xml:space="preserve">DO C, C/2024/2487, 23.4.2024, ELI: </w:t>
      </w:r>
      <w:hyperlink r:id="rId1" w:history="1">
        <w:r w:rsidRPr="00C45D04">
          <w:rPr>
            <w:rStyle w:val="Hyperlink"/>
            <w:sz w:val="24"/>
            <w:lang w:val="pt-PT"/>
          </w:rPr>
          <w:t>http://data.europa.eu/eli/C/2024/2487/oj</w:t>
        </w:r>
      </w:hyperlink>
      <w:r w:rsidRPr="00C45D04">
        <w:rPr>
          <w:rStyle w:val="Hyperlink"/>
          <w:sz w:val="24"/>
          <w:lang w:val="pt-PT"/>
        </w:rPr>
        <w:t>.</w:t>
      </w:r>
    </w:p>
  </w:footnote>
  <w:footnote w:id="2">
    <w:p w14:paraId="388E723F" w14:textId="77777777" w:rsidR="00B71E68" w:rsidRPr="00C45D04" w:rsidRDefault="00B71E68" w:rsidP="002820AF">
      <w:pPr>
        <w:pStyle w:val="FootnoteText"/>
        <w:ind w:left="567" w:hanging="567"/>
        <w:rPr>
          <w:sz w:val="24"/>
          <w:lang w:val="pt-PT"/>
        </w:rPr>
      </w:pPr>
      <w:r w:rsidRPr="002820AF">
        <w:rPr>
          <w:rStyle w:val="FootnoteReference"/>
          <w:sz w:val="24"/>
          <w:lang w:val="es-ES_tradnl"/>
        </w:rPr>
        <w:footnoteRef/>
      </w:r>
      <w:r w:rsidR="002820AF" w:rsidRPr="00C45D04">
        <w:rPr>
          <w:sz w:val="24"/>
          <w:lang w:val="pt-PT"/>
        </w:rPr>
        <w:t xml:space="preserve"> </w:t>
      </w:r>
      <w:r w:rsidR="002820AF" w:rsidRPr="00C45D04">
        <w:rPr>
          <w:sz w:val="24"/>
          <w:lang w:val="pt-PT"/>
        </w:rPr>
        <w:tab/>
      </w:r>
      <w:r w:rsidRPr="00C45D04">
        <w:rPr>
          <w:sz w:val="24"/>
          <w:lang w:val="pt-PT"/>
        </w:rPr>
        <w:t xml:space="preserve">DO C, C/2024/3675, 26.6.2024, ELI: </w:t>
      </w:r>
      <w:r w:rsidR="001C2C2D">
        <w:fldChar w:fldCharType="begin"/>
      </w:r>
      <w:r w:rsidR="001C2C2D" w:rsidRPr="001C2C2D">
        <w:rPr>
          <w:lang w:val="pt-PT"/>
        </w:rPr>
        <w:instrText>HYPERLINK "http://data.europa.eu/eli/C/2024/3675/oj"</w:instrText>
      </w:r>
      <w:r w:rsidR="001C2C2D">
        <w:fldChar w:fldCharType="separate"/>
      </w:r>
      <w:r w:rsidRPr="00C45D04">
        <w:rPr>
          <w:rStyle w:val="Hyperlink"/>
          <w:sz w:val="24"/>
          <w:lang w:val="pt-PT"/>
        </w:rPr>
        <w:t>http://data.europa.eu/eli/C/2024/3675/oj</w:t>
      </w:r>
      <w:r w:rsidR="001C2C2D">
        <w:rPr>
          <w:rStyle w:val="Hyperlink"/>
          <w:sz w:val="24"/>
          <w:lang w:val="pt-PT"/>
        </w:rPr>
        <w:fldChar w:fldCharType="end"/>
      </w:r>
      <w:r w:rsidRPr="00C45D04">
        <w:rPr>
          <w:rStyle w:val="Hyperlink"/>
          <w:sz w:val="24"/>
          <w:lang w:val="pt-PT"/>
        </w:rPr>
        <w:t>.</w:t>
      </w:r>
    </w:p>
  </w:footnote>
  <w:footnote w:id="3">
    <w:p w14:paraId="4BC19F5F" w14:textId="77777777" w:rsidR="00B71E68" w:rsidRPr="00C45D04" w:rsidRDefault="00B71E68" w:rsidP="002820AF">
      <w:pPr>
        <w:pStyle w:val="FootnoteText"/>
        <w:ind w:left="567" w:hanging="567"/>
        <w:rPr>
          <w:sz w:val="24"/>
          <w:lang w:val="pt-PT"/>
        </w:rPr>
      </w:pPr>
      <w:r w:rsidRPr="002820AF">
        <w:rPr>
          <w:rStyle w:val="FootnoteReference"/>
          <w:sz w:val="24"/>
          <w:lang w:val="es-ES_tradnl"/>
        </w:rPr>
        <w:footnoteRef/>
      </w:r>
      <w:r w:rsidR="002820AF" w:rsidRPr="00C45D04">
        <w:rPr>
          <w:sz w:val="24"/>
          <w:lang w:val="pt-PT"/>
        </w:rPr>
        <w:t xml:space="preserve"> </w:t>
      </w:r>
      <w:r w:rsidR="002820AF" w:rsidRPr="00C45D04">
        <w:rPr>
          <w:sz w:val="24"/>
          <w:lang w:val="pt-PT"/>
        </w:rPr>
        <w:tab/>
      </w:r>
      <w:r w:rsidRPr="00C45D04">
        <w:rPr>
          <w:sz w:val="24"/>
          <w:lang w:val="pt-PT"/>
        </w:rPr>
        <w:t xml:space="preserve">DO C, C/2025/3734, 17.9.2025, ELI: </w:t>
      </w:r>
      <w:r w:rsidR="001C2C2D">
        <w:fldChar w:fldCharType="begin"/>
      </w:r>
      <w:r w:rsidR="001C2C2D" w:rsidRPr="001C2C2D">
        <w:rPr>
          <w:lang w:val="pt-PT"/>
        </w:rPr>
        <w:instrText>HYPERLINK "http://data.europa.eu/eli/C/2025/3734/oj"</w:instrText>
      </w:r>
      <w:r w:rsidR="001C2C2D">
        <w:fldChar w:fldCharType="separate"/>
      </w:r>
      <w:r w:rsidRPr="00C45D04">
        <w:rPr>
          <w:rStyle w:val="Hyperlink"/>
          <w:sz w:val="24"/>
          <w:lang w:val="pt-PT"/>
        </w:rPr>
        <w:t>http://data.europa.eu/eli/C/2025/3734/oj</w:t>
      </w:r>
      <w:r w:rsidR="001C2C2D">
        <w:rPr>
          <w:rStyle w:val="Hyperlink"/>
          <w:sz w:val="24"/>
          <w:lang w:val="pt-PT"/>
        </w:rPr>
        <w:fldChar w:fldCharType="end"/>
      </w:r>
      <w:r w:rsidRPr="00C45D04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3538E" w14:textId="77777777" w:rsidR="00064002" w:rsidRPr="002820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B5242" w14:textId="77777777" w:rsidR="00064002" w:rsidRPr="002820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4512" w14:textId="77777777" w:rsidR="00064002" w:rsidRPr="002820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5097656">
    <w:abstractNumId w:val="9"/>
  </w:num>
  <w:num w:numId="2" w16cid:durableId="1244875379">
    <w:abstractNumId w:val="9"/>
  </w:num>
  <w:num w:numId="3" w16cid:durableId="105581696">
    <w:abstractNumId w:val="7"/>
  </w:num>
  <w:num w:numId="4" w16cid:durableId="78328929">
    <w:abstractNumId w:val="7"/>
  </w:num>
  <w:num w:numId="5" w16cid:durableId="668599195">
    <w:abstractNumId w:val="6"/>
  </w:num>
  <w:num w:numId="6" w16cid:durableId="829520654">
    <w:abstractNumId w:val="6"/>
  </w:num>
  <w:num w:numId="7" w16cid:durableId="1677490460">
    <w:abstractNumId w:val="5"/>
  </w:num>
  <w:num w:numId="8" w16cid:durableId="716859840">
    <w:abstractNumId w:val="5"/>
  </w:num>
  <w:num w:numId="9" w16cid:durableId="214852035">
    <w:abstractNumId w:val="4"/>
  </w:num>
  <w:num w:numId="10" w16cid:durableId="1330258224">
    <w:abstractNumId w:val="4"/>
  </w:num>
  <w:num w:numId="11" w16cid:durableId="772701168">
    <w:abstractNumId w:val="8"/>
  </w:num>
  <w:num w:numId="12" w16cid:durableId="42365418">
    <w:abstractNumId w:val="8"/>
  </w:num>
  <w:num w:numId="13" w16cid:durableId="1881552194">
    <w:abstractNumId w:val="3"/>
  </w:num>
  <w:num w:numId="14" w16cid:durableId="1774591863">
    <w:abstractNumId w:val="3"/>
  </w:num>
  <w:num w:numId="15" w16cid:durableId="1578592145">
    <w:abstractNumId w:val="2"/>
  </w:num>
  <w:num w:numId="16" w16cid:durableId="160583782">
    <w:abstractNumId w:val="2"/>
  </w:num>
  <w:num w:numId="17" w16cid:durableId="1624651706">
    <w:abstractNumId w:val="1"/>
  </w:num>
  <w:num w:numId="18" w16cid:durableId="533806093">
    <w:abstractNumId w:val="1"/>
  </w:num>
  <w:num w:numId="19" w16cid:durableId="1576277000">
    <w:abstractNumId w:val="0"/>
  </w:num>
  <w:num w:numId="20" w16cid:durableId="2057586963">
    <w:abstractNumId w:val="0"/>
  </w:num>
  <w:num w:numId="21" w16cid:durableId="1599824763">
    <w:abstractNumId w:val="9"/>
  </w:num>
  <w:num w:numId="22" w16cid:durableId="682976349">
    <w:abstractNumId w:val="7"/>
  </w:num>
  <w:num w:numId="23" w16cid:durableId="1010523122">
    <w:abstractNumId w:val="6"/>
  </w:num>
  <w:num w:numId="24" w16cid:durableId="1461457030">
    <w:abstractNumId w:val="5"/>
  </w:num>
  <w:num w:numId="25" w16cid:durableId="2056539046">
    <w:abstractNumId w:val="4"/>
  </w:num>
  <w:num w:numId="26" w16cid:durableId="1276402840">
    <w:abstractNumId w:val="8"/>
  </w:num>
  <w:num w:numId="27" w16cid:durableId="852232898">
    <w:abstractNumId w:val="3"/>
  </w:num>
  <w:num w:numId="28" w16cid:durableId="909537100">
    <w:abstractNumId w:val="2"/>
  </w:num>
  <w:num w:numId="29" w16cid:durableId="715394591">
    <w:abstractNumId w:val="1"/>
  </w:num>
  <w:num w:numId="30" w16cid:durableId="1067724626">
    <w:abstractNumId w:val="0"/>
  </w:num>
  <w:num w:numId="31" w16cid:durableId="164707774">
    <w:abstractNumId w:val="9"/>
  </w:num>
  <w:num w:numId="32" w16cid:durableId="1347169911">
    <w:abstractNumId w:val="7"/>
  </w:num>
  <w:num w:numId="33" w16cid:durableId="401417692">
    <w:abstractNumId w:val="6"/>
  </w:num>
  <w:num w:numId="34" w16cid:durableId="506092426">
    <w:abstractNumId w:val="5"/>
  </w:num>
  <w:num w:numId="35" w16cid:durableId="1991054433">
    <w:abstractNumId w:val="4"/>
  </w:num>
  <w:num w:numId="36" w16cid:durableId="21978113">
    <w:abstractNumId w:val="8"/>
  </w:num>
  <w:num w:numId="37" w16cid:durableId="1753425768">
    <w:abstractNumId w:val="3"/>
  </w:num>
  <w:num w:numId="38" w16cid:durableId="1013343536">
    <w:abstractNumId w:val="2"/>
  </w:num>
  <w:num w:numId="39" w16cid:durableId="905409440">
    <w:abstractNumId w:val="1"/>
  </w:num>
  <w:num w:numId="40" w16cid:durableId="1393236102">
    <w:abstractNumId w:val="0"/>
  </w:num>
  <w:num w:numId="41" w16cid:durableId="872811490">
    <w:abstractNumId w:val="10"/>
  </w:num>
  <w:num w:numId="42" w16cid:durableId="2071463471">
    <w:abstractNumId w:val="10"/>
  </w:num>
  <w:num w:numId="43" w16cid:durableId="2094550825">
    <w:abstractNumId w:val="10"/>
  </w:num>
  <w:num w:numId="44" w16cid:durableId="1964800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203/2025"/>
    <w:docVar w:name="dvlangue" w:val="ES"/>
    <w:docVar w:name="dvnumam" w:val="0"/>
    <w:docVar w:name="dvpe" w:val="778.296"/>
    <w:docVar w:name="dvrapporteur" w:val="Ponente: "/>
    <w:docVar w:name="dvstar" w:val="***II"/>
    <w:docVar w:name="dvtitre" w:val="Resolución legislativa del Parlamento Europeo, de 23 de octubre de 2025, sobre la Posición del Consejo en primera lectura con vistas a la adopción del Reglamento del Parlamento Europeo y del Consejo relativo a la prevención de las pérdidas de granza de plástico para reducir la contaminación por microplásticos(09047/1/2025 – C10-0234/2025 – 2023/0373(COD))"/>
  </w:docVars>
  <w:rsids>
    <w:rsidRoot w:val="008756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C2D"/>
    <w:rsid w:val="001F32AE"/>
    <w:rsid w:val="002767FF"/>
    <w:rsid w:val="002820AF"/>
    <w:rsid w:val="002B18FE"/>
    <w:rsid w:val="002B5493"/>
    <w:rsid w:val="00343214"/>
    <w:rsid w:val="00361C00"/>
    <w:rsid w:val="00395FA1"/>
    <w:rsid w:val="00397B2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7C3"/>
    <w:rsid w:val="00786EC0"/>
    <w:rsid w:val="007D1690"/>
    <w:rsid w:val="007E22AD"/>
    <w:rsid w:val="00817416"/>
    <w:rsid w:val="00842779"/>
    <w:rsid w:val="00865F67"/>
    <w:rsid w:val="00875628"/>
    <w:rsid w:val="00881A7B"/>
    <w:rsid w:val="008840E5"/>
    <w:rsid w:val="00887B3E"/>
    <w:rsid w:val="008C2AC6"/>
    <w:rsid w:val="00930C23"/>
    <w:rsid w:val="0093193B"/>
    <w:rsid w:val="009509D8"/>
    <w:rsid w:val="00950B64"/>
    <w:rsid w:val="0095414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E68"/>
    <w:rsid w:val="00BD48FE"/>
    <w:rsid w:val="00BD7BD8"/>
    <w:rsid w:val="00BE6ADC"/>
    <w:rsid w:val="00C05BFE"/>
    <w:rsid w:val="00C23CD4"/>
    <w:rsid w:val="00C45D0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FC972"/>
  <w15:chartTrackingRefBased/>
  <w15:docId w15:val="{004AD445-AB38-4C25-984D-19EB4CD7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1E68"/>
    <w:pPr>
      <w:spacing w:before="480" w:after="240"/>
    </w:pPr>
  </w:style>
  <w:style w:type="paragraph" w:customStyle="1" w:styleId="NormalBold">
    <w:name w:val="NormalBold"/>
    <w:basedOn w:val="Normal"/>
    <w:rsid w:val="00B71E68"/>
    <w:rPr>
      <w:b/>
    </w:rPr>
  </w:style>
  <w:style w:type="paragraph" w:customStyle="1" w:styleId="NormalHanging12a">
    <w:name w:val="NormalHanging12a"/>
    <w:basedOn w:val="Normal"/>
    <w:rsid w:val="00B71E68"/>
    <w:pPr>
      <w:spacing w:after="240"/>
      <w:ind w:left="567" w:hanging="567"/>
    </w:pPr>
  </w:style>
  <w:style w:type="character" w:styleId="Hyperlink">
    <w:name w:val="Hyperlink"/>
    <w:basedOn w:val="DefaultParagraphFont"/>
    <w:rsid w:val="00B71E6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45D04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03266-426D-4D99-A151-D711B580F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370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Fernan Rodriguez</cp:lastModifiedBy>
  <cp:revision>4</cp:revision>
  <cp:lastPrinted>2004-11-19T15:42:00Z</cp:lastPrinted>
  <dcterms:created xsi:type="dcterms:W3CDTF">2025-10-23T06:44:00Z</dcterms:created>
  <dcterms:modified xsi:type="dcterms:W3CDTF">2025-10-23T11:25:00Z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