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3EBE" w14:paraId="0B6B39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E3620A" w14:textId="77777777" w:rsidR="00751A4A" w:rsidRPr="00003EBE" w:rsidRDefault="00B94296" w:rsidP="0010095E">
            <w:pPr>
              <w:pStyle w:val="EPName"/>
            </w:pPr>
            <w:r w:rsidRPr="00003EBE">
              <w:t>Euroopa Parlament</w:t>
            </w:r>
          </w:p>
          <w:p w14:paraId="563501A2" w14:textId="77777777" w:rsidR="00751A4A" w:rsidRPr="00003EB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3EBE">
              <w:t>2024</w:t>
            </w:r>
            <w:r w:rsidR="00817416" w:rsidRPr="00003EBE">
              <w:t>-202</w:t>
            </w:r>
            <w:r w:rsidRPr="00003EBE">
              <w:t>9</w:t>
            </w:r>
          </w:p>
        </w:tc>
        <w:tc>
          <w:tcPr>
            <w:tcW w:w="2268" w:type="dxa"/>
            <w:shd w:val="clear" w:color="auto" w:fill="auto"/>
          </w:tcPr>
          <w:p w14:paraId="4A8C8230" w14:textId="77777777" w:rsidR="00751A4A" w:rsidRPr="00003EBE" w:rsidRDefault="00187494" w:rsidP="0010095E">
            <w:pPr>
              <w:pStyle w:val="EPLogo"/>
            </w:pPr>
            <w:r w:rsidRPr="00003EBE">
              <w:rPr>
                <w:noProof/>
                <w:lang w:eastAsia="ja-JP"/>
              </w:rPr>
              <w:drawing>
                <wp:inline distT="0" distB="0" distL="0" distR="0" wp14:anchorId="1D28737D" wp14:editId="33E352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7EBB4A" w14:textId="77777777" w:rsidR="00D058B8" w:rsidRPr="00003EBE" w:rsidRDefault="00D058B8" w:rsidP="004C5D52">
      <w:pPr>
        <w:pStyle w:val="LineTop"/>
      </w:pPr>
    </w:p>
    <w:p w14:paraId="37E3C439" w14:textId="77777777" w:rsidR="00680577" w:rsidRPr="00003EBE" w:rsidRDefault="00B94296" w:rsidP="00680577">
      <w:pPr>
        <w:pStyle w:val="EPBodyTA1"/>
      </w:pPr>
      <w:r w:rsidRPr="00003EBE">
        <w:t>VASTUVÕETUD TEKSTID</w:t>
      </w:r>
    </w:p>
    <w:p w14:paraId="37EB9D58" w14:textId="77777777" w:rsidR="00D058B8" w:rsidRPr="00003EBE" w:rsidRDefault="00D058B8" w:rsidP="00D058B8">
      <w:pPr>
        <w:pStyle w:val="LineBottom"/>
      </w:pPr>
    </w:p>
    <w:p w14:paraId="64FFFC41" w14:textId="49DE4A0B" w:rsidR="00B94296" w:rsidRPr="00003EBE" w:rsidRDefault="00B94296" w:rsidP="00B94296">
      <w:pPr>
        <w:pStyle w:val="ATHeading1"/>
      </w:pPr>
      <w:bookmarkStart w:id="0" w:name="TANumber"/>
      <w:r w:rsidRPr="00003EBE">
        <w:t>P10_TA(2025)0</w:t>
      </w:r>
      <w:r w:rsidR="00186622" w:rsidRPr="00003EBE">
        <w:t>252</w:t>
      </w:r>
      <w:bookmarkEnd w:id="0"/>
    </w:p>
    <w:p w14:paraId="4B7D27CC" w14:textId="77777777" w:rsidR="00B94296" w:rsidRPr="00003EBE" w:rsidRDefault="00B94296" w:rsidP="00B94296">
      <w:pPr>
        <w:pStyle w:val="ATHeading2"/>
      </w:pPr>
      <w:bookmarkStart w:id="1" w:name="title"/>
      <w:r w:rsidRPr="00003EBE">
        <w:t>Plastigraanulite kao ärahoidmine mikroplastireostuse vähendamiseks</w:t>
      </w:r>
      <w:bookmarkEnd w:id="1"/>
    </w:p>
    <w:p w14:paraId="1B6CA350" w14:textId="77777777" w:rsidR="00B94296" w:rsidRPr="00003EBE" w:rsidRDefault="00B94296" w:rsidP="00B94296">
      <w:pPr>
        <w:rPr>
          <w:i/>
          <w:vanish/>
        </w:rPr>
      </w:pPr>
      <w:r w:rsidRPr="00003EBE">
        <w:rPr>
          <w:i/>
        </w:rPr>
        <w:fldChar w:fldCharType="begin"/>
      </w:r>
      <w:r w:rsidRPr="00003EBE">
        <w:rPr>
          <w:i/>
        </w:rPr>
        <w:instrText xml:space="preserve"> TC"(</w:instrText>
      </w:r>
      <w:bookmarkStart w:id="2" w:name="DocNumber"/>
      <w:r w:rsidRPr="00003EBE">
        <w:rPr>
          <w:i/>
        </w:rPr>
        <w:instrText>A10-0203/2025</w:instrText>
      </w:r>
      <w:bookmarkEnd w:id="2"/>
      <w:r w:rsidRPr="00003EBE">
        <w:rPr>
          <w:i/>
        </w:rPr>
        <w:instrText xml:space="preserve"> - Raportöör: </w:instrText>
      </w:r>
      <w:proofErr w:type="spellStart"/>
      <w:r w:rsidRPr="00003EBE">
        <w:rPr>
          <w:i/>
        </w:rPr>
        <w:instrText>César</w:instrText>
      </w:r>
      <w:proofErr w:type="spellEnd"/>
      <w:r w:rsidRPr="00003EBE">
        <w:rPr>
          <w:i/>
        </w:rPr>
        <w:instrText xml:space="preserve"> </w:instrText>
      </w:r>
      <w:proofErr w:type="spellStart"/>
      <w:r w:rsidRPr="00003EBE">
        <w:rPr>
          <w:i/>
        </w:rPr>
        <w:instrText>Luena</w:instrText>
      </w:r>
      <w:proofErr w:type="spellEnd"/>
      <w:r w:rsidRPr="00003EBE">
        <w:rPr>
          <w:i/>
        </w:rPr>
        <w:instrText xml:space="preserve">)"\l3 \n&gt; \* MERGEFORMAT </w:instrText>
      </w:r>
      <w:r w:rsidRPr="00003EBE">
        <w:rPr>
          <w:i/>
        </w:rPr>
        <w:fldChar w:fldCharType="end"/>
      </w:r>
    </w:p>
    <w:p w14:paraId="31C2049D" w14:textId="77777777" w:rsidR="00B94296" w:rsidRPr="00003EBE" w:rsidRDefault="00B94296" w:rsidP="00B94296">
      <w:pPr>
        <w:rPr>
          <w:vanish/>
        </w:rPr>
      </w:pPr>
      <w:bookmarkStart w:id="3" w:name="Commission"/>
      <w:r w:rsidRPr="00003EBE">
        <w:rPr>
          <w:vanish/>
        </w:rPr>
        <w:t>Keskkonna-, kliima- ja toiduohutuse komisjon</w:t>
      </w:r>
      <w:bookmarkEnd w:id="3"/>
    </w:p>
    <w:p w14:paraId="7B37B89F" w14:textId="77777777" w:rsidR="00B94296" w:rsidRPr="00003EBE" w:rsidRDefault="00B94296" w:rsidP="00B94296">
      <w:pPr>
        <w:rPr>
          <w:vanish/>
        </w:rPr>
      </w:pPr>
      <w:bookmarkStart w:id="4" w:name="PE"/>
      <w:r w:rsidRPr="00003EBE">
        <w:rPr>
          <w:vanish/>
        </w:rPr>
        <w:t>PE778.296</w:t>
      </w:r>
      <w:bookmarkEnd w:id="4"/>
    </w:p>
    <w:p w14:paraId="23B2B7CE" w14:textId="42C6B30E" w:rsidR="00B94296" w:rsidRPr="00003EBE" w:rsidRDefault="00B94296" w:rsidP="00B94296">
      <w:pPr>
        <w:pStyle w:val="ATHeading3"/>
      </w:pPr>
      <w:bookmarkStart w:id="5" w:name="Sujet"/>
      <w:r w:rsidRPr="00003EBE">
        <w:t xml:space="preserve">Euroopa Parlamendi </w:t>
      </w:r>
      <w:r w:rsidR="007358EB" w:rsidRPr="00003EBE">
        <w:t>23</w:t>
      </w:r>
      <w:r w:rsidRPr="00003EBE">
        <w:t>.</w:t>
      </w:r>
      <w:r w:rsidR="007358EB" w:rsidRPr="00003EBE">
        <w:t> oktoobri</w:t>
      </w:r>
      <w:r w:rsidRPr="00003EBE">
        <w:t xml:space="preserve"> 2025.</w:t>
      </w:r>
      <w:r w:rsidR="007358EB" w:rsidRPr="00003EBE">
        <w:t> </w:t>
      </w:r>
      <w:r w:rsidRPr="00003EBE">
        <w:t>aasta seadusandlik resolutsioon nõukogu esimese lugemise seisukoha kohta eesmärgiga võtta vastu Euroopa Parlamendi ja nõukogu määrus plastigraanulite kao ärahoidmise kohta mikroplastireostuse vähendamiseks</w:t>
      </w:r>
      <w:bookmarkEnd w:id="5"/>
      <w:r w:rsidRPr="00003EBE">
        <w:t xml:space="preserve"> </w:t>
      </w:r>
      <w:bookmarkStart w:id="6" w:name="References"/>
      <w:r w:rsidRPr="00003EBE">
        <w:t>(09047/1/2025 – C10</w:t>
      </w:r>
      <w:r w:rsidR="007358EB" w:rsidRPr="00003EBE">
        <w:noBreakHyphen/>
      </w:r>
      <w:r w:rsidRPr="00003EBE">
        <w:t>0234/2025 – 2023/0373(COD))</w:t>
      </w:r>
      <w:bookmarkEnd w:id="6"/>
    </w:p>
    <w:p w14:paraId="7EDEA57D" w14:textId="77777777" w:rsidR="00A97E1A" w:rsidRPr="00003EBE" w:rsidRDefault="00A97E1A" w:rsidP="00A97E1A">
      <w:pPr>
        <w:pStyle w:val="NormalBold"/>
      </w:pPr>
      <w:bookmarkStart w:id="7" w:name="TextBodyBegin"/>
      <w:bookmarkEnd w:id="7"/>
      <w:r w:rsidRPr="00003EBE">
        <w:t>(Seadusandlik tavamenetlus: teine lugemine)</w:t>
      </w:r>
    </w:p>
    <w:p w14:paraId="3E7FB9BA" w14:textId="77777777" w:rsidR="00A97E1A" w:rsidRPr="00003EBE" w:rsidRDefault="00A97E1A" w:rsidP="00A97E1A">
      <w:pPr>
        <w:pStyle w:val="EPComma"/>
      </w:pPr>
      <w:r w:rsidRPr="00003EBE">
        <w:rPr>
          <w:i/>
        </w:rPr>
        <w:t>Euroopa Parlament</w:t>
      </w:r>
      <w:r w:rsidRPr="00003EBE">
        <w:t>,</w:t>
      </w:r>
    </w:p>
    <w:p w14:paraId="4504DE3A" w14:textId="77777777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>võttes arvesse nõukogu esimese lugemise seisukohta (09047/1/2025 – C10</w:t>
      </w:r>
      <w:r w:rsidRPr="00003EBE">
        <w:noBreakHyphen/>
        <w:t>0234/2025),</w:t>
      </w:r>
    </w:p>
    <w:p w14:paraId="66CE1FC0" w14:textId="77777777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>võttes arvesse Itaalia Saadikutekoja poolt protokolli nr 2 (subsidiaarsuse ja proportsionaalsuse põhimõtte kohaldamise kohta) alusel esitatud põhjendatud arvamust, mille kohaselt seadusandliku akti eelnõu ei vasta subsidiaarsuse põhimõttele,</w:t>
      </w:r>
    </w:p>
    <w:p w14:paraId="0CA4E9EF" w14:textId="77777777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>võttes arvesse Euroopa Majandus- ja Sotsiaalkomitee 14. veebruari 2024. aasta arvamust</w:t>
      </w:r>
      <w:r w:rsidRPr="00003EBE">
        <w:rPr>
          <w:vertAlign w:val="superscript"/>
        </w:rPr>
        <w:footnoteReference w:id="1"/>
      </w:r>
      <w:r w:rsidRPr="00003EBE">
        <w:t xml:space="preserve">, </w:t>
      </w:r>
    </w:p>
    <w:p w14:paraId="2DAF3FDB" w14:textId="77777777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>võttes arvesse Regioonide Komitee 18. aprilli 2024. aasta arvamust</w:t>
      </w:r>
      <w:r w:rsidRPr="00003EBE">
        <w:rPr>
          <w:vertAlign w:val="superscript"/>
        </w:rPr>
        <w:footnoteReference w:id="2"/>
      </w:r>
      <w:r w:rsidRPr="00003EBE">
        <w:t>,</w:t>
      </w:r>
    </w:p>
    <w:p w14:paraId="373179B8" w14:textId="77777777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>võttes arvesse oma esimese lugemise seisukohta</w:t>
      </w:r>
      <w:r w:rsidRPr="00003EBE">
        <w:rPr>
          <w:vertAlign w:val="superscript"/>
        </w:rPr>
        <w:footnoteReference w:id="3"/>
      </w:r>
      <w:r w:rsidRPr="00003EBE">
        <w:t xml:space="preserve"> Euroopa Parlamendile ja nõukogule esitatud komisjoni ettepaneku (COM(2023)0645) suhtes,</w:t>
      </w:r>
    </w:p>
    <w:p w14:paraId="0017546D" w14:textId="77777777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>võttes arvesse Euroopa Liidu toimimise lepingu artikli 294 lõiget 7,</w:t>
      </w:r>
    </w:p>
    <w:p w14:paraId="1A0E7F24" w14:textId="77777777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>võttes arvesse vastutava komisjoni poolt kodukorra artikli 75 lõike 4 kohaselt heaks kiidetud esialgset kokkulepet,</w:t>
      </w:r>
    </w:p>
    <w:p w14:paraId="39303BA2" w14:textId="77777777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>võttes arvesse kodukorra artiklit 68,</w:t>
      </w:r>
    </w:p>
    <w:p w14:paraId="0A6C75CA" w14:textId="55A53FE8" w:rsidR="00A97E1A" w:rsidRPr="00003EBE" w:rsidRDefault="00A97E1A" w:rsidP="00A97E1A">
      <w:pPr>
        <w:pStyle w:val="NormalHanging12a"/>
      </w:pPr>
      <w:r w:rsidRPr="00003EBE">
        <w:t>–</w:t>
      </w:r>
      <w:r w:rsidRPr="00003EBE">
        <w:tab/>
        <w:t xml:space="preserve">võttes arvesse keskkonna-, kliima- ja toiduohutuse komisjoni teise lugemise soovitust </w:t>
      </w:r>
      <w:r w:rsidRPr="00003EBE">
        <w:lastRenderedPageBreak/>
        <w:t>(A10</w:t>
      </w:r>
      <w:r w:rsidR="007358EB" w:rsidRPr="00003EBE">
        <w:noBreakHyphen/>
      </w:r>
      <w:r w:rsidRPr="00003EBE">
        <w:t>0203/2025),</w:t>
      </w:r>
    </w:p>
    <w:p w14:paraId="7DEF6FAA" w14:textId="77777777" w:rsidR="00A97E1A" w:rsidRPr="00003EBE" w:rsidRDefault="00A97E1A" w:rsidP="00A97E1A">
      <w:pPr>
        <w:pStyle w:val="NormalHanging12a"/>
      </w:pPr>
      <w:r w:rsidRPr="00003EBE">
        <w:t>1.</w:t>
      </w:r>
      <w:r w:rsidRPr="00003EBE">
        <w:tab/>
        <w:t>kiidab nõukogu esimese lugemise seisukoha heaks;</w:t>
      </w:r>
    </w:p>
    <w:p w14:paraId="659BD02E" w14:textId="77777777" w:rsidR="00A97E1A" w:rsidRPr="00003EBE" w:rsidRDefault="00A97E1A" w:rsidP="00A97E1A">
      <w:pPr>
        <w:pStyle w:val="NormalHanging12a"/>
      </w:pPr>
      <w:r w:rsidRPr="00003EBE">
        <w:t>2.</w:t>
      </w:r>
      <w:r w:rsidRPr="00003EBE">
        <w:tab/>
        <w:t>märgib, et seadusandlik akt võetakse vastu kooskõlas nõukogu seisukohaga;</w:t>
      </w:r>
    </w:p>
    <w:p w14:paraId="258E65A1" w14:textId="77777777" w:rsidR="00A97E1A" w:rsidRPr="00003EBE" w:rsidRDefault="00A97E1A" w:rsidP="00A97E1A">
      <w:pPr>
        <w:pStyle w:val="NormalHanging12a"/>
      </w:pPr>
      <w:r w:rsidRPr="00003EBE">
        <w:t>3.</w:t>
      </w:r>
      <w:r w:rsidRPr="00003EBE">
        <w:tab/>
        <w:t>teeb presidendile ülesandeks kirjutada koos nõukogu eesistujaga seadusandlikule aktile alla vastavalt Euroopa Liidu toimimise lepingu artikli 297 lõikele 1;</w:t>
      </w:r>
    </w:p>
    <w:p w14:paraId="62DDA10F" w14:textId="77777777" w:rsidR="00A97E1A" w:rsidRPr="00003EBE" w:rsidRDefault="00A97E1A" w:rsidP="00A97E1A">
      <w:pPr>
        <w:pStyle w:val="NormalHanging12a"/>
      </w:pPr>
      <w:r w:rsidRPr="00003EBE">
        <w:t>4.</w:t>
      </w:r>
      <w:r w:rsidRPr="00003EBE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003EBE">
        <w:rPr>
          <w:i/>
        </w:rPr>
        <w:t>Euroopa Liidu Teatajas</w:t>
      </w:r>
      <w:r w:rsidRPr="00003EBE">
        <w:t>;</w:t>
      </w:r>
    </w:p>
    <w:p w14:paraId="6B78B8E7" w14:textId="2AB6F5DF" w:rsidR="00B90A35" w:rsidRPr="00003EBE" w:rsidRDefault="00A97E1A" w:rsidP="00B90A35">
      <w:pPr>
        <w:pStyle w:val="NormalHanging12a"/>
      </w:pPr>
      <w:r w:rsidRPr="00003EBE">
        <w:t>5.</w:t>
      </w:r>
      <w:r w:rsidRPr="00003EBE">
        <w:tab/>
        <w:t>teeb presidendile ülesandeks edastada Euroopa Parlamendi seisukoht nõukogule ja komisjonile ning liikmesriikide parlamentidele.</w:t>
      </w:r>
    </w:p>
    <w:p w14:paraId="66F8795A" w14:textId="66C2685A" w:rsidR="00E365E1" w:rsidRPr="00003EBE" w:rsidRDefault="00E365E1" w:rsidP="00B94296"/>
    <w:sectPr w:rsidR="00E365E1" w:rsidRPr="00003EBE" w:rsidSect="00B90A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47709" w14:textId="77777777" w:rsidR="00B94296" w:rsidRPr="00B90A35" w:rsidRDefault="00B94296">
      <w:r w:rsidRPr="00B90A35">
        <w:separator/>
      </w:r>
    </w:p>
  </w:endnote>
  <w:endnote w:type="continuationSeparator" w:id="0">
    <w:p w14:paraId="3A64AE26" w14:textId="77777777" w:rsidR="00B94296" w:rsidRPr="00B90A35" w:rsidRDefault="00B94296">
      <w:r w:rsidRPr="00B90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9CCC7" w14:textId="77777777" w:rsidR="00064002" w:rsidRPr="00B90A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751B6" w14:textId="77777777" w:rsidR="00064002" w:rsidRPr="00B90A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92C67" w14:textId="77777777" w:rsidR="00064002" w:rsidRPr="00B90A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B1CE7" w14:textId="77777777" w:rsidR="00B94296" w:rsidRPr="00B90A35" w:rsidRDefault="00B94296">
      <w:r w:rsidRPr="00B90A35">
        <w:separator/>
      </w:r>
    </w:p>
  </w:footnote>
  <w:footnote w:type="continuationSeparator" w:id="0">
    <w:p w14:paraId="5BE65E74" w14:textId="77777777" w:rsidR="00B94296" w:rsidRPr="00B90A35" w:rsidRDefault="00B94296">
      <w:r w:rsidRPr="00B90A35">
        <w:continuationSeparator/>
      </w:r>
    </w:p>
  </w:footnote>
  <w:footnote w:id="1">
    <w:p w14:paraId="6FA8B8B9" w14:textId="4BDF9643" w:rsidR="00A97E1A" w:rsidRPr="00B90A35" w:rsidRDefault="00A97E1A" w:rsidP="00B90A35">
      <w:pPr>
        <w:pStyle w:val="FootnoteText"/>
        <w:ind w:left="567" w:hanging="567"/>
        <w:rPr>
          <w:sz w:val="24"/>
          <w:lang w:val="et-EE"/>
        </w:rPr>
      </w:pPr>
      <w:r w:rsidRPr="00B90A35">
        <w:rPr>
          <w:rStyle w:val="FootnoteReference"/>
          <w:sz w:val="24"/>
          <w:lang w:val="et-EE"/>
        </w:rPr>
        <w:footnoteRef/>
      </w:r>
      <w:r w:rsidR="00B90A35" w:rsidRPr="00B90A35">
        <w:rPr>
          <w:sz w:val="24"/>
          <w:lang w:val="et-EE"/>
        </w:rPr>
        <w:t xml:space="preserve"> </w:t>
      </w:r>
      <w:r w:rsidR="00B90A35" w:rsidRPr="00B90A35">
        <w:rPr>
          <w:sz w:val="24"/>
          <w:lang w:val="et-EE"/>
        </w:rPr>
        <w:tab/>
      </w:r>
      <w:r w:rsidRPr="00B90A35">
        <w:rPr>
          <w:sz w:val="24"/>
          <w:lang w:val="et-EE"/>
        </w:rPr>
        <w:t>ELT</w:t>
      </w:r>
      <w:r w:rsidR="007358EB">
        <w:rPr>
          <w:sz w:val="24"/>
          <w:lang w:val="et-EE"/>
        </w:rPr>
        <w:t> </w:t>
      </w:r>
      <w:r w:rsidRPr="00B90A35">
        <w:rPr>
          <w:sz w:val="24"/>
          <w:lang w:val="et-EE"/>
        </w:rPr>
        <w:t xml:space="preserve">C, C/2024/2487, 23.4.2024, ELI: </w:t>
      </w:r>
      <w:hyperlink r:id="rId1" w:history="1">
        <w:r w:rsidRPr="00B90A35">
          <w:rPr>
            <w:rStyle w:val="Hyperlink"/>
            <w:sz w:val="24"/>
            <w:lang w:val="et-EE"/>
          </w:rPr>
          <w:t>http://data.europa.eu/eli/C/2024/2487/oj</w:t>
        </w:r>
      </w:hyperlink>
      <w:r w:rsidRPr="00B90A35">
        <w:rPr>
          <w:rStyle w:val="Hyperlink"/>
          <w:sz w:val="24"/>
          <w:lang w:val="et-EE"/>
        </w:rPr>
        <w:t>.</w:t>
      </w:r>
    </w:p>
  </w:footnote>
  <w:footnote w:id="2">
    <w:p w14:paraId="36C37397" w14:textId="6614558E" w:rsidR="00A97E1A" w:rsidRPr="00B90A35" w:rsidRDefault="00A97E1A" w:rsidP="00B90A35">
      <w:pPr>
        <w:pStyle w:val="FootnoteText"/>
        <w:ind w:left="567" w:hanging="567"/>
        <w:rPr>
          <w:sz w:val="24"/>
          <w:lang w:val="et-EE"/>
        </w:rPr>
      </w:pPr>
      <w:r w:rsidRPr="00B90A35">
        <w:rPr>
          <w:rStyle w:val="FootnoteReference"/>
          <w:sz w:val="24"/>
          <w:lang w:val="et-EE"/>
        </w:rPr>
        <w:footnoteRef/>
      </w:r>
      <w:r w:rsidR="00B90A35" w:rsidRPr="00B90A35">
        <w:rPr>
          <w:sz w:val="24"/>
          <w:lang w:val="et-EE"/>
        </w:rPr>
        <w:t xml:space="preserve"> </w:t>
      </w:r>
      <w:r w:rsidR="00B90A35" w:rsidRPr="00B90A35">
        <w:rPr>
          <w:sz w:val="24"/>
          <w:lang w:val="et-EE"/>
        </w:rPr>
        <w:tab/>
      </w:r>
      <w:r w:rsidRPr="00B90A35">
        <w:rPr>
          <w:sz w:val="24"/>
          <w:lang w:val="et-EE"/>
        </w:rPr>
        <w:t>ELT</w:t>
      </w:r>
      <w:r w:rsidR="007358EB">
        <w:rPr>
          <w:sz w:val="24"/>
          <w:lang w:val="et-EE"/>
        </w:rPr>
        <w:t> </w:t>
      </w:r>
      <w:r w:rsidRPr="00B90A35">
        <w:rPr>
          <w:sz w:val="24"/>
          <w:lang w:val="et-EE"/>
        </w:rPr>
        <w:t xml:space="preserve">C, C/2024/3675, 26.6.2024, ELI: </w:t>
      </w:r>
      <w:hyperlink r:id="rId2" w:history="1">
        <w:r w:rsidRPr="00B90A35">
          <w:rPr>
            <w:rStyle w:val="Hyperlink"/>
            <w:sz w:val="24"/>
            <w:lang w:val="et-EE"/>
          </w:rPr>
          <w:t>http://data.europa.eu/eli/C/2024/3675/oj</w:t>
        </w:r>
      </w:hyperlink>
      <w:r w:rsidRPr="00B90A35">
        <w:rPr>
          <w:rStyle w:val="Hyperlink"/>
          <w:sz w:val="24"/>
          <w:lang w:val="et-EE"/>
        </w:rPr>
        <w:t>.</w:t>
      </w:r>
    </w:p>
  </w:footnote>
  <w:footnote w:id="3">
    <w:p w14:paraId="03362E5E" w14:textId="1CC48E64" w:rsidR="00A97E1A" w:rsidRPr="00B90A35" w:rsidRDefault="00A97E1A" w:rsidP="00B90A35">
      <w:pPr>
        <w:pStyle w:val="FootnoteText"/>
        <w:ind w:left="567" w:hanging="567"/>
        <w:rPr>
          <w:sz w:val="24"/>
          <w:lang w:val="et-EE"/>
        </w:rPr>
      </w:pPr>
      <w:r w:rsidRPr="00B90A35">
        <w:rPr>
          <w:rStyle w:val="FootnoteReference"/>
          <w:sz w:val="24"/>
          <w:lang w:val="et-EE"/>
        </w:rPr>
        <w:footnoteRef/>
      </w:r>
      <w:r w:rsidR="00B90A35" w:rsidRPr="00B90A35">
        <w:rPr>
          <w:sz w:val="24"/>
          <w:lang w:val="et-EE"/>
        </w:rPr>
        <w:t xml:space="preserve"> </w:t>
      </w:r>
      <w:r w:rsidR="00B90A35" w:rsidRPr="00B90A35">
        <w:rPr>
          <w:sz w:val="24"/>
          <w:lang w:val="et-EE"/>
        </w:rPr>
        <w:tab/>
      </w:r>
      <w:r w:rsidRPr="00B90A35">
        <w:rPr>
          <w:sz w:val="24"/>
          <w:lang w:val="et-EE"/>
        </w:rPr>
        <w:t>ELT</w:t>
      </w:r>
      <w:r w:rsidR="007358EB">
        <w:rPr>
          <w:sz w:val="24"/>
          <w:lang w:val="et-EE"/>
        </w:rPr>
        <w:t> </w:t>
      </w:r>
      <w:r w:rsidRPr="00B90A35">
        <w:rPr>
          <w:sz w:val="24"/>
          <w:lang w:val="et-EE"/>
        </w:rPr>
        <w:t xml:space="preserve">C, C/2025/3734, 17.9.2025, ELI: </w:t>
      </w:r>
      <w:hyperlink r:id="rId3" w:history="1">
        <w:r w:rsidRPr="00B90A35">
          <w:rPr>
            <w:rStyle w:val="Hyperlink"/>
            <w:sz w:val="24"/>
            <w:lang w:val="et-EE"/>
          </w:rPr>
          <w:t>http://data.europa.eu/eli/C/2025/3734/oj</w:t>
        </w:r>
      </w:hyperlink>
      <w:r w:rsidRPr="00B90A35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F1250" w14:textId="77777777" w:rsidR="00064002" w:rsidRPr="00B90A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A6C9E" w14:textId="77777777" w:rsidR="00064002" w:rsidRPr="00B90A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DF296" w14:textId="77777777" w:rsidR="00064002" w:rsidRPr="00B90A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6563916">
    <w:abstractNumId w:val="9"/>
  </w:num>
  <w:num w:numId="2" w16cid:durableId="1058625770">
    <w:abstractNumId w:val="9"/>
  </w:num>
  <w:num w:numId="3" w16cid:durableId="1215503945">
    <w:abstractNumId w:val="7"/>
  </w:num>
  <w:num w:numId="4" w16cid:durableId="1034117411">
    <w:abstractNumId w:val="7"/>
  </w:num>
  <w:num w:numId="5" w16cid:durableId="369769993">
    <w:abstractNumId w:val="6"/>
  </w:num>
  <w:num w:numId="6" w16cid:durableId="313878613">
    <w:abstractNumId w:val="6"/>
  </w:num>
  <w:num w:numId="7" w16cid:durableId="1039354704">
    <w:abstractNumId w:val="5"/>
  </w:num>
  <w:num w:numId="8" w16cid:durableId="1580287874">
    <w:abstractNumId w:val="5"/>
  </w:num>
  <w:num w:numId="9" w16cid:durableId="1996060301">
    <w:abstractNumId w:val="4"/>
  </w:num>
  <w:num w:numId="10" w16cid:durableId="1109276823">
    <w:abstractNumId w:val="4"/>
  </w:num>
  <w:num w:numId="11" w16cid:durableId="1635480621">
    <w:abstractNumId w:val="8"/>
  </w:num>
  <w:num w:numId="12" w16cid:durableId="771166657">
    <w:abstractNumId w:val="8"/>
  </w:num>
  <w:num w:numId="13" w16cid:durableId="1387728314">
    <w:abstractNumId w:val="3"/>
  </w:num>
  <w:num w:numId="14" w16cid:durableId="1446731017">
    <w:abstractNumId w:val="3"/>
  </w:num>
  <w:num w:numId="15" w16cid:durableId="131364100">
    <w:abstractNumId w:val="2"/>
  </w:num>
  <w:num w:numId="16" w16cid:durableId="745373393">
    <w:abstractNumId w:val="2"/>
  </w:num>
  <w:num w:numId="17" w16cid:durableId="908030280">
    <w:abstractNumId w:val="1"/>
  </w:num>
  <w:num w:numId="18" w16cid:durableId="420493068">
    <w:abstractNumId w:val="1"/>
  </w:num>
  <w:num w:numId="19" w16cid:durableId="1717046965">
    <w:abstractNumId w:val="0"/>
  </w:num>
  <w:num w:numId="20" w16cid:durableId="1204250110">
    <w:abstractNumId w:val="0"/>
  </w:num>
  <w:num w:numId="21" w16cid:durableId="855777682">
    <w:abstractNumId w:val="9"/>
  </w:num>
  <w:num w:numId="22" w16cid:durableId="1269503254">
    <w:abstractNumId w:val="7"/>
  </w:num>
  <w:num w:numId="23" w16cid:durableId="1157452130">
    <w:abstractNumId w:val="6"/>
  </w:num>
  <w:num w:numId="24" w16cid:durableId="617420021">
    <w:abstractNumId w:val="5"/>
  </w:num>
  <w:num w:numId="25" w16cid:durableId="486670483">
    <w:abstractNumId w:val="4"/>
  </w:num>
  <w:num w:numId="26" w16cid:durableId="472214995">
    <w:abstractNumId w:val="8"/>
  </w:num>
  <w:num w:numId="27" w16cid:durableId="732047765">
    <w:abstractNumId w:val="3"/>
  </w:num>
  <w:num w:numId="28" w16cid:durableId="669063687">
    <w:abstractNumId w:val="2"/>
  </w:num>
  <w:num w:numId="29" w16cid:durableId="2038701338">
    <w:abstractNumId w:val="1"/>
  </w:num>
  <w:num w:numId="30" w16cid:durableId="763721222">
    <w:abstractNumId w:val="0"/>
  </w:num>
  <w:num w:numId="31" w16cid:durableId="1190994918">
    <w:abstractNumId w:val="9"/>
  </w:num>
  <w:num w:numId="32" w16cid:durableId="803936337">
    <w:abstractNumId w:val="7"/>
  </w:num>
  <w:num w:numId="33" w16cid:durableId="357897727">
    <w:abstractNumId w:val="6"/>
  </w:num>
  <w:num w:numId="34" w16cid:durableId="985668087">
    <w:abstractNumId w:val="5"/>
  </w:num>
  <w:num w:numId="35" w16cid:durableId="1657033871">
    <w:abstractNumId w:val="4"/>
  </w:num>
  <w:num w:numId="36" w16cid:durableId="967318851">
    <w:abstractNumId w:val="8"/>
  </w:num>
  <w:num w:numId="37" w16cid:durableId="991757024">
    <w:abstractNumId w:val="3"/>
  </w:num>
  <w:num w:numId="38" w16cid:durableId="1626423446">
    <w:abstractNumId w:val="2"/>
  </w:num>
  <w:num w:numId="39" w16cid:durableId="812797266">
    <w:abstractNumId w:val="1"/>
  </w:num>
  <w:num w:numId="40" w16cid:durableId="1494644690">
    <w:abstractNumId w:val="0"/>
  </w:num>
  <w:num w:numId="41" w16cid:durableId="1790313354">
    <w:abstractNumId w:val="10"/>
  </w:num>
  <w:num w:numId="42" w16cid:durableId="1154685533">
    <w:abstractNumId w:val="10"/>
  </w:num>
  <w:num w:numId="43" w16cid:durableId="1330864241">
    <w:abstractNumId w:val="10"/>
  </w:num>
  <w:num w:numId="44" w16cid:durableId="421411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ET"/>
    <w:docVar w:name="dvnumam" w:val="0"/>
    <w:docVar w:name="dvpe" w:val="778.296"/>
    <w:docVar w:name="dvrapporteur" w:val="Raportöör: "/>
    <w:docVar w:name="dvstar" w:val="***II"/>
    <w:docVar w:name="dvtitre" w:val="Euroopa Parlamendi .... 2025. aasta seadusandlik resolutsioon nõukogu esimese lugemise seisukoha kohta eesmärgiga võtta vastu Euroopa Parlamendi ja nõukogu määrus plastigraanulite kao ärahoidmise kohta mikroplastireostuse vähendamiseks(09047/1/2025 – C10-0234/2025 – 2023/0373(COD))"/>
  </w:docVars>
  <w:rsids>
    <w:rsidRoot w:val="00B94296"/>
    <w:rsid w:val="00002272"/>
    <w:rsid w:val="00003EBE"/>
    <w:rsid w:val="00064002"/>
    <w:rsid w:val="000677B9"/>
    <w:rsid w:val="000831BA"/>
    <w:rsid w:val="000A42CC"/>
    <w:rsid w:val="000E7DD9"/>
    <w:rsid w:val="0010095E"/>
    <w:rsid w:val="00125B37"/>
    <w:rsid w:val="00186622"/>
    <w:rsid w:val="00187494"/>
    <w:rsid w:val="001F32AE"/>
    <w:rsid w:val="002767FF"/>
    <w:rsid w:val="002B18FE"/>
    <w:rsid w:val="002B5493"/>
    <w:rsid w:val="00343214"/>
    <w:rsid w:val="00361C00"/>
    <w:rsid w:val="00395FA1"/>
    <w:rsid w:val="003A729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58E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E1A"/>
    <w:rsid w:val="00AB441E"/>
    <w:rsid w:val="00AB6293"/>
    <w:rsid w:val="00AE0928"/>
    <w:rsid w:val="00AF3B82"/>
    <w:rsid w:val="00B12E95"/>
    <w:rsid w:val="00B22876"/>
    <w:rsid w:val="00B558F0"/>
    <w:rsid w:val="00B90A35"/>
    <w:rsid w:val="00B9429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E5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83806"/>
  <w15:chartTrackingRefBased/>
  <w15:docId w15:val="{E038E328-408C-4A08-B4E9-8503777A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97E1A"/>
    <w:pPr>
      <w:spacing w:before="480" w:after="240"/>
    </w:pPr>
  </w:style>
  <w:style w:type="paragraph" w:customStyle="1" w:styleId="NormalBold">
    <w:name w:val="NormalBold"/>
    <w:basedOn w:val="Normal"/>
    <w:rsid w:val="00A97E1A"/>
    <w:rPr>
      <w:b/>
    </w:rPr>
  </w:style>
  <w:style w:type="paragraph" w:customStyle="1" w:styleId="NormalHanging12a">
    <w:name w:val="NormalHanging12a"/>
    <w:basedOn w:val="Normal"/>
    <w:rsid w:val="00A97E1A"/>
    <w:pPr>
      <w:spacing w:after="240"/>
      <w:ind w:left="567" w:hanging="567"/>
    </w:pPr>
  </w:style>
  <w:style w:type="character" w:styleId="Hyperlink">
    <w:name w:val="Hyperlink"/>
    <w:basedOn w:val="DefaultParagraphFont"/>
    <w:rsid w:val="00A97E1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86622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2025-10-23T14:13:00Z</dcterms:created>
  <dcterms:modified xsi:type="dcterms:W3CDTF">2025-10-23T14:13:00Z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