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5EE4" w14:paraId="1A358E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200280" w14:textId="77777777" w:rsidR="00751A4A" w:rsidRPr="002B5EE4" w:rsidRDefault="00F7171D" w:rsidP="0010095E">
            <w:pPr>
              <w:pStyle w:val="EPName"/>
            </w:pPr>
            <w:r w:rsidRPr="002B5EE4">
              <w:t>Parlamento europeo</w:t>
            </w:r>
          </w:p>
          <w:p w14:paraId="2D0CE6D5" w14:textId="77777777" w:rsidR="00751A4A" w:rsidRPr="002B5E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5EE4">
              <w:t>2024</w:t>
            </w:r>
            <w:r w:rsidR="00817416" w:rsidRPr="002B5EE4">
              <w:t>-202</w:t>
            </w:r>
            <w:r w:rsidRPr="002B5EE4">
              <w:t>9</w:t>
            </w:r>
          </w:p>
        </w:tc>
        <w:tc>
          <w:tcPr>
            <w:tcW w:w="2268" w:type="dxa"/>
            <w:shd w:val="clear" w:color="auto" w:fill="auto"/>
          </w:tcPr>
          <w:p w14:paraId="63003672" w14:textId="77777777" w:rsidR="00751A4A" w:rsidRPr="002B5EE4" w:rsidRDefault="00187494" w:rsidP="0010095E">
            <w:pPr>
              <w:pStyle w:val="EPLogo"/>
            </w:pPr>
            <w:r w:rsidRPr="002B5EE4">
              <w:rPr>
                <w:noProof/>
                <w:lang w:eastAsia="ja-JP"/>
              </w:rPr>
              <w:drawing>
                <wp:inline distT="0" distB="0" distL="0" distR="0" wp14:anchorId="4485F7B7" wp14:editId="627D04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AF65D5" w14:textId="77777777" w:rsidR="00D058B8" w:rsidRPr="002B5EE4" w:rsidRDefault="00D058B8" w:rsidP="004C5D52">
      <w:pPr>
        <w:pStyle w:val="LineTop"/>
      </w:pPr>
    </w:p>
    <w:p w14:paraId="4AE24DD5" w14:textId="77777777" w:rsidR="00680577" w:rsidRPr="002B5EE4" w:rsidRDefault="00F7171D" w:rsidP="00680577">
      <w:pPr>
        <w:pStyle w:val="EPBodyTA1"/>
      </w:pPr>
      <w:r w:rsidRPr="002B5EE4">
        <w:t>TESTI APPROVATI</w:t>
      </w:r>
    </w:p>
    <w:p w14:paraId="66D0B9B8" w14:textId="77777777" w:rsidR="00D058B8" w:rsidRPr="002B5EE4" w:rsidRDefault="00D058B8" w:rsidP="00D058B8">
      <w:pPr>
        <w:pStyle w:val="LineBottom"/>
      </w:pPr>
    </w:p>
    <w:p w14:paraId="7071C3C6" w14:textId="7AD366D7" w:rsidR="00F7171D" w:rsidRPr="002B5EE4" w:rsidRDefault="00F7171D" w:rsidP="00F7171D">
      <w:pPr>
        <w:pStyle w:val="ATHeading1"/>
      </w:pPr>
      <w:bookmarkStart w:id="0" w:name="TANumber"/>
      <w:r w:rsidRPr="002B5EE4">
        <w:t>P10_TA(2025)0</w:t>
      </w:r>
      <w:bookmarkEnd w:id="0"/>
      <w:r w:rsidR="002B5EE4" w:rsidRPr="002B5EE4">
        <w:t>252</w:t>
      </w:r>
    </w:p>
    <w:p w14:paraId="57706D67" w14:textId="77777777" w:rsidR="00F7171D" w:rsidRPr="002B5EE4" w:rsidRDefault="00F7171D" w:rsidP="00F7171D">
      <w:pPr>
        <w:pStyle w:val="ATHeading2"/>
      </w:pPr>
      <w:bookmarkStart w:id="1" w:name="title"/>
      <w:r w:rsidRPr="002B5EE4">
        <w:t>Prevenzione delle dispersioni di pellet di plastica per ridurre l'inquinamento da microplastiche</w:t>
      </w:r>
      <w:bookmarkEnd w:id="1"/>
    </w:p>
    <w:p w14:paraId="0F21E69B" w14:textId="77777777" w:rsidR="00F7171D" w:rsidRPr="002B5EE4" w:rsidRDefault="00F7171D" w:rsidP="00F7171D">
      <w:pPr>
        <w:rPr>
          <w:i/>
          <w:vanish/>
        </w:rPr>
      </w:pPr>
      <w:r w:rsidRPr="002B5EE4">
        <w:rPr>
          <w:i/>
        </w:rPr>
        <w:fldChar w:fldCharType="begin"/>
      </w:r>
      <w:r w:rsidRPr="002B5EE4">
        <w:rPr>
          <w:i/>
        </w:rPr>
        <w:instrText xml:space="preserve"> TC"(</w:instrText>
      </w:r>
      <w:bookmarkStart w:id="2" w:name="DocNumber"/>
      <w:r w:rsidRPr="002B5EE4">
        <w:rPr>
          <w:i/>
        </w:rPr>
        <w:instrText>A10-0203/2025</w:instrText>
      </w:r>
      <w:bookmarkEnd w:id="2"/>
      <w:r w:rsidRPr="002B5EE4">
        <w:rPr>
          <w:i/>
        </w:rPr>
        <w:instrText xml:space="preserve"> - Relatore: César Luena)"\l3 \n&gt; \* MERGEFORMAT </w:instrText>
      </w:r>
      <w:r w:rsidRPr="002B5EE4">
        <w:rPr>
          <w:i/>
        </w:rPr>
        <w:fldChar w:fldCharType="end"/>
      </w:r>
    </w:p>
    <w:p w14:paraId="22988826" w14:textId="77777777" w:rsidR="00F7171D" w:rsidRPr="002B5EE4" w:rsidRDefault="00F7171D" w:rsidP="00F7171D">
      <w:pPr>
        <w:rPr>
          <w:vanish/>
        </w:rPr>
      </w:pPr>
      <w:bookmarkStart w:id="3" w:name="Commission"/>
      <w:r w:rsidRPr="002B5EE4">
        <w:rPr>
          <w:vanish/>
        </w:rPr>
        <w:t>Commissione per l'ambiente, il clima e la sicurezza alimentare</w:t>
      </w:r>
      <w:bookmarkEnd w:id="3"/>
    </w:p>
    <w:p w14:paraId="50ABEA5A" w14:textId="77777777" w:rsidR="00F7171D" w:rsidRPr="002B5EE4" w:rsidRDefault="00F7171D" w:rsidP="00F7171D">
      <w:pPr>
        <w:rPr>
          <w:vanish/>
        </w:rPr>
      </w:pPr>
      <w:bookmarkStart w:id="4" w:name="PE"/>
      <w:r w:rsidRPr="002B5EE4">
        <w:rPr>
          <w:vanish/>
        </w:rPr>
        <w:t>PE778.296</w:t>
      </w:r>
      <w:bookmarkEnd w:id="4"/>
    </w:p>
    <w:p w14:paraId="6E4A62A6" w14:textId="77777777" w:rsidR="00F7171D" w:rsidRPr="002B5EE4" w:rsidRDefault="00F7171D" w:rsidP="00F7171D">
      <w:pPr>
        <w:pStyle w:val="ATHeading3"/>
      </w:pPr>
      <w:bookmarkStart w:id="5" w:name="Sujet"/>
      <w:r w:rsidRPr="002B5EE4">
        <w:t>Risoluzione legislativa del Parlamento europeo del 23 ottobre 2025 sulla posizione del Consiglio in prima lettura in vista dell'adozione del regolamento del Parlamento europeo e del Consiglio sulla prevenzione delle dispersioni di pellet di plastica per ridurre l'inquinamento da microplastiche</w:t>
      </w:r>
      <w:bookmarkEnd w:id="5"/>
      <w:r w:rsidRPr="002B5EE4">
        <w:t xml:space="preserve"> </w:t>
      </w:r>
      <w:bookmarkStart w:id="6" w:name="References"/>
      <w:r w:rsidRPr="002B5EE4">
        <w:t>(09047/1/2025 – C10-0234/2025 – 2023/0373(COD))</w:t>
      </w:r>
      <w:bookmarkEnd w:id="6"/>
    </w:p>
    <w:p w14:paraId="3B96C2E7" w14:textId="77777777" w:rsidR="00ED5BC6" w:rsidRPr="002B5EE4" w:rsidRDefault="00ED5BC6" w:rsidP="004B3202">
      <w:pPr>
        <w:pStyle w:val="NormalBold"/>
        <w:spacing w:before="240"/>
      </w:pPr>
      <w:r w:rsidRPr="002B5EE4">
        <w:t>(Procedura legislativa ordinaria: seconda lettura)</w:t>
      </w:r>
    </w:p>
    <w:p w14:paraId="21BFEC84" w14:textId="77777777" w:rsidR="00ED5BC6" w:rsidRPr="002B5EE4" w:rsidRDefault="00ED5BC6" w:rsidP="00ED5BC6">
      <w:pPr>
        <w:pStyle w:val="EPComma"/>
      </w:pPr>
      <w:r w:rsidRPr="002B5EE4">
        <w:rPr>
          <w:i/>
        </w:rPr>
        <w:t>Il Parlamento europeo</w:t>
      </w:r>
      <w:r w:rsidRPr="002B5EE4">
        <w:t>,</w:t>
      </w:r>
    </w:p>
    <w:p w14:paraId="5AE13A33" w14:textId="77777777" w:rsidR="00ED5BC6" w:rsidRPr="002B5EE4" w:rsidRDefault="00ED5BC6" w:rsidP="00ED5BC6">
      <w:pPr>
        <w:pStyle w:val="NormalHanging12a"/>
      </w:pPr>
      <w:r w:rsidRPr="002B5EE4">
        <w:t>–</w:t>
      </w:r>
      <w:r w:rsidRPr="002B5EE4">
        <w:tab/>
        <w:t>vista la posizione del Consiglio in prima lettura (09047/1/2025 – C10</w:t>
      </w:r>
      <w:r w:rsidRPr="002B5EE4">
        <w:noBreakHyphen/>
        <w:t>0234/2025),</w:t>
      </w:r>
    </w:p>
    <w:p w14:paraId="0D82A3DA" w14:textId="77777777" w:rsidR="00ED5BC6" w:rsidRPr="002B5EE4" w:rsidRDefault="00ED5BC6" w:rsidP="00ED5BC6">
      <w:pPr>
        <w:pStyle w:val="NormalHanging12a"/>
      </w:pPr>
      <w:r w:rsidRPr="002B5EE4">
        <w:t>–</w:t>
      </w:r>
      <w:r w:rsidRPr="002B5EE4">
        <w:tab/>
        <w:t>visto il parere motivato inviato dalla Camera dei deputati italiana, nel quadro del protocollo n. 2 sull'applicazione dei principi di sussidiarietà e di proporzionalità, in cui si dichiara la mancata conformità del progetto di atto legislativo al principio di sussidiarietà,</w:t>
      </w:r>
    </w:p>
    <w:p w14:paraId="67D49632" w14:textId="77777777" w:rsidR="00ED5BC6" w:rsidRPr="002B5EE4" w:rsidRDefault="00ED5BC6" w:rsidP="00ED5BC6">
      <w:pPr>
        <w:pStyle w:val="NormalHanging12a"/>
      </w:pPr>
      <w:r w:rsidRPr="002B5EE4">
        <w:t>–</w:t>
      </w:r>
      <w:r w:rsidRPr="002B5EE4">
        <w:tab/>
        <w:t>visto il parere del Comitato economico e sociale europeo del 14 febbraio 2024</w:t>
      </w:r>
      <w:r w:rsidRPr="002B5EE4">
        <w:rPr>
          <w:rStyle w:val="FootnoteReference"/>
        </w:rPr>
        <w:footnoteReference w:id="1"/>
      </w:r>
      <w:r w:rsidRPr="002B5EE4">
        <w:t>,</w:t>
      </w:r>
    </w:p>
    <w:p w14:paraId="6192D840" w14:textId="77777777" w:rsidR="00ED5BC6" w:rsidRPr="002B5EE4" w:rsidRDefault="00ED5BC6" w:rsidP="00ED5BC6">
      <w:pPr>
        <w:pStyle w:val="NormalHanging12a"/>
      </w:pPr>
      <w:r w:rsidRPr="002B5EE4">
        <w:t>–</w:t>
      </w:r>
      <w:r w:rsidRPr="002B5EE4">
        <w:tab/>
        <w:t>visto il parere del Comitato delle regioni del 18 aprile 2024</w:t>
      </w:r>
      <w:r w:rsidRPr="002B5EE4">
        <w:rPr>
          <w:rStyle w:val="FootnoteReference"/>
        </w:rPr>
        <w:footnoteReference w:id="2"/>
      </w:r>
      <w:r w:rsidRPr="002B5EE4">
        <w:t>,</w:t>
      </w:r>
    </w:p>
    <w:p w14:paraId="597EF227" w14:textId="77777777" w:rsidR="00ED5BC6" w:rsidRPr="002B5EE4" w:rsidRDefault="00ED5BC6" w:rsidP="00ED5BC6">
      <w:pPr>
        <w:pStyle w:val="NormalHanging12a"/>
      </w:pPr>
      <w:r w:rsidRPr="002B5EE4">
        <w:t>–</w:t>
      </w:r>
      <w:r w:rsidRPr="002B5EE4">
        <w:tab/>
        <w:t>vista la sua posizione in prima lettura</w:t>
      </w:r>
      <w:r w:rsidRPr="002B5EE4">
        <w:rPr>
          <w:rStyle w:val="FootnoteReference"/>
        </w:rPr>
        <w:footnoteReference w:id="3"/>
      </w:r>
      <w:r w:rsidRPr="002B5EE4">
        <w:t xml:space="preserve"> sulla proposta della Commissione al Parlamento europeo e al Consiglio (COM(2023)0645),</w:t>
      </w:r>
    </w:p>
    <w:p w14:paraId="761CB960" w14:textId="77777777" w:rsidR="00ED5BC6" w:rsidRPr="002B5EE4" w:rsidRDefault="00ED5BC6" w:rsidP="00ED5BC6">
      <w:pPr>
        <w:pStyle w:val="NormalHanging12a"/>
      </w:pPr>
      <w:r w:rsidRPr="002B5EE4">
        <w:t>–</w:t>
      </w:r>
      <w:r w:rsidRPr="002B5EE4">
        <w:tab/>
        <w:t>visto l'articolo 294, paragrafo 7, del trattato sul funzionamento dell'Unione europea,</w:t>
      </w:r>
    </w:p>
    <w:p w14:paraId="470097B4" w14:textId="77777777" w:rsidR="00ED5BC6" w:rsidRPr="002B5EE4" w:rsidRDefault="00ED5BC6" w:rsidP="00ED5BC6">
      <w:pPr>
        <w:pStyle w:val="NormalHanging12a"/>
      </w:pPr>
      <w:r w:rsidRPr="002B5EE4">
        <w:t>–</w:t>
      </w:r>
      <w:r w:rsidRPr="002B5EE4">
        <w:tab/>
        <w:t>visto l'accordo provvisorio approvato dalla commissione competente a norma dell'articolo 75, paragrafo 4, del suo regolamento,</w:t>
      </w:r>
    </w:p>
    <w:p w14:paraId="7CC8A9BB" w14:textId="77777777" w:rsidR="00ED5BC6" w:rsidRPr="002B5EE4" w:rsidRDefault="00ED5BC6" w:rsidP="00ED5BC6">
      <w:pPr>
        <w:pStyle w:val="NormalHanging12a"/>
      </w:pPr>
      <w:r w:rsidRPr="002B5EE4">
        <w:lastRenderedPageBreak/>
        <w:t>–</w:t>
      </w:r>
      <w:r w:rsidRPr="002B5EE4">
        <w:tab/>
        <w:t>visto l'articolo 68 del suo regolamento,</w:t>
      </w:r>
    </w:p>
    <w:p w14:paraId="392466DE" w14:textId="77777777" w:rsidR="00ED5BC6" w:rsidRPr="002B5EE4" w:rsidRDefault="00ED5BC6" w:rsidP="00ED5BC6">
      <w:pPr>
        <w:pStyle w:val="NormalHanging12a"/>
      </w:pPr>
      <w:r w:rsidRPr="002B5EE4">
        <w:t>–</w:t>
      </w:r>
      <w:r w:rsidRPr="002B5EE4">
        <w:tab/>
        <w:t>vista la raccomandazione per la seconda lettura della commissione per l'ambiente, il clima e la sicurezza alimentare (A10</w:t>
      </w:r>
      <w:r w:rsidRPr="002B5EE4">
        <w:noBreakHyphen/>
        <w:t>0203/2025),</w:t>
      </w:r>
    </w:p>
    <w:p w14:paraId="448B16E8" w14:textId="77777777" w:rsidR="00ED5BC6" w:rsidRPr="002B5EE4" w:rsidRDefault="00ED5BC6" w:rsidP="00ED5BC6">
      <w:pPr>
        <w:pStyle w:val="NormalHanging12a"/>
      </w:pPr>
      <w:r w:rsidRPr="002B5EE4">
        <w:t>1.</w:t>
      </w:r>
      <w:r w:rsidRPr="002B5EE4">
        <w:tab/>
        <w:t>approva la posizione del Consiglio in prima lettura;</w:t>
      </w:r>
    </w:p>
    <w:p w14:paraId="26FAAE54" w14:textId="77777777" w:rsidR="00ED5BC6" w:rsidRPr="002B5EE4" w:rsidRDefault="00ED5BC6" w:rsidP="00ED5BC6">
      <w:pPr>
        <w:pStyle w:val="NormalHanging12a"/>
      </w:pPr>
      <w:r w:rsidRPr="002B5EE4">
        <w:t>2.</w:t>
      </w:r>
      <w:r w:rsidRPr="002B5EE4">
        <w:tab/>
        <w:t>constata che l'atto è adottato in conformità della posizione del Consiglio;</w:t>
      </w:r>
    </w:p>
    <w:p w14:paraId="79FEA381" w14:textId="77777777" w:rsidR="00ED5BC6" w:rsidRPr="002B5EE4" w:rsidRDefault="00ED5BC6" w:rsidP="00ED5BC6">
      <w:pPr>
        <w:pStyle w:val="NormalHanging12a"/>
      </w:pPr>
      <w:r w:rsidRPr="002B5EE4">
        <w:t>3.</w:t>
      </w:r>
      <w:r w:rsidRPr="002B5EE4">
        <w:tab/>
        <w:t>incarica la sua Presidente di firmare l'atto congiuntamente al Presidente del Consiglio, a norma dell'articolo 297, paragrafo 1, del trattato sul funzionamento dell'Unione europea;</w:t>
      </w:r>
    </w:p>
    <w:p w14:paraId="38D387A5" w14:textId="7DC85407" w:rsidR="00ED5BC6" w:rsidRPr="002B5EE4" w:rsidRDefault="00ED5BC6" w:rsidP="00ED5BC6">
      <w:pPr>
        <w:pStyle w:val="NormalHanging12a"/>
      </w:pPr>
      <w:r w:rsidRPr="002B5EE4">
        <w:t>4.</w:t>
      </w:r>
      <w:r w:rsidRPr="002B5EE4">
        <w:tab/>
        <w:t xml:space="preserve">incarica il suo Segretario generale di firmare l'atto, previa verifica che tutte le procedure siano state debitamente espletate, e di procedere, d'intesa con </w:t>
      </w:r>
      <w:r w:rsidR="004B3202" w:rsidRPr="002B5EE4">
        <w:t xml:space="preserve">la </w:t>
      </w:r>
      <w:r w:rsidRPr="002B5EE4">
        <w:t>Segretari</w:t>
      </w:r>
      <w:r w:rsidR="004B3202" w:rsidRPr="002B5EE4">
        <w:t>a</w:t>
      </w:r>
      <w:r w:rsidRPr="002B5EE4">
        <w:t xml:space="preserve"> generale del Consiglio, a pubblicarlo nella </w:t>
      </w:r>
      <w:r w:rsidRPr="002B5EE4">
        <w:rPr>
          <w:i/>
        </w:rPr>
        <w:t>Gazzetta ufficiale dell'Unione europea</w:t>
      </w:r>
      <w:r w:rsidRPr="002B5EE4">
        <w:t>;</w:t>
      </w:r>
    </w:p>
    <w:p w14:paraId="34F82985" w14:textId="4A90559F" w:rsidR="00E365E1" w:rsidRPr="002B5EE4" w:rsidRDefault="00ED5BC6" w:rsidP="00934911">
      <w:pPr>
        <w:pStyle w:val="NormalHanging12a"/>
      </w:pPr>
      <w:r w:rsidRPr="002B5EE4">
        <w:t>5.</w:t>
      </w:r>
      <w:r w:rsidRPr="002B5EE4">
        <w:tab/>
        <w:t>incarica la sua Presidente di trasmettere la posizione del Parlamento al Consiglio e alla Commissione nonché ai parlamenti nazionali.</w:t>
      </w:r>
    </w:p>
    <w:sectPr w:rsidR="00E365E1" w:rsidRPr="002B5EE4" w:rsidSect="009D73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C1F05" w14:textId="77777777" w:rsidR="00F7171D" w:rsidRPr="009D7390" w:rsidRDefault="00F7171D">
      <w:r w:rsidRPr="009D7390">
        <w:separator/>
      </w:r>
    </w:p>
  </w:endnote>
  <w:endnote w:type="continuationSeparator" w:id="0">
    <w:p w14:paraId="70BE5C9F" w14:textId="77777777" w:rsidR="00F7171D" w:rsidRPr="009D7390" w:rsidRDefault="00F7171D">
      <w:r w:rsidRPr="009D73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1A1C" w14:textId="77777777" w:rsidR="00064002" w:rsidRPr="009D73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938E" w14:textId="77777777" w:rsidR="00064002" w:rsidRPr="009D73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20C24" w14:textId="77777777" w:rsidR="00064002" w:rsidRPr="009D73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90453" w14:textId="77777777" w:rsidR="00F7171D" w:rsidRPr="009D7390" w:rsidRDefault="00F7171D">
      <w:r w:rsidRPr="009D7390">
        <w:separator/>
      </w:r>
    </w:p>
  </w:footnote>
  <w:footnote w:type="continuationSeparator" w:id="0">
    <w:p w14:paraId="45CB89CC" w14:textId="77777777" w:rsidR="00F7171D" w:rsidRPr="009D7390" w:rsidRDefault="00F7171D">
      <w:r w:rsidRPr="009D7390">
        <w:continuationSeparator/>
      </w:r>
    </w:p>
  </w:footnote>
  <w:footnote w:id="1">
    <w:p w14:paraId="290DB144" w14:textId="438B6910" w:rsidR="00ED5BC6" w:rsidRPr="004B3202" w:rsidRDefault="00ED5BC6" w:rsidP="009D7390">
      <w:pPr>
        <w:pStyle w:val="FootnoteText"/>
        <w:ind w:left="567" w:hanging="567"/>
        <w:rPr>
          <w:sz w:val="24"/>
          <w:lang w:val="fi-FI"/>
        </w:rPr>
      </w:pPr>
      <w:r w:rsidRPr="009D7390">
        <w:rPr>
          <w:rStyle w:val="FootnoteReference"/>
          <w:sz w:val="24"/>
          <w:lang w:val="it-IT"/>
        </w:rPr>
        <w:footnoteRef/>
      </w:r>
      <w:r w:rsidR="009D7390" w:rsidRPr="004B3202">
        <w:rPr>
          <w:sz w:val="24"/>
          <w:lang w:val="fi-FI"/>
        </w:rPr>
        <w:t xml:space="preserve"> </w:t>
      </w:r>
      <w:r w:rsidR="009D7390" w:rsidRPr="004B3202">
        <w:rPr>
          <w:sz w:val="24"/>
          <w:lang w:val="fi-FI"/>
        </w:rPr>
        <w:tab/>
      </w:r>
      <w:r w:rsidRPr="004B3202">
        <w:rPr>
          <w:sz w:val="24"/>
          <w:lang w:val="fi-FI"/>
        </w:rPr>
        <w:t xml:space="preserve">GU C, C/2024/2487, 23.4.2024, ELI: </w:t>
      </w:r>
      <w:hyperlink r:id="rId1" w:history="1">
        <w:r w:rsidRPr="004B3202">
          <w:rPr>
            <w:rStyle w:val="Hyperlink"/>
            <w:sz w:val="24"/>
            <w:lang w:val="fi-FI"/>
          </w:rPr>
          <w:t>http://data.europa.eu/eli/C/2024/2487/oj</w:t>
        </w:r>
      </w:hyperlink>
      <w:r w:rsidRPr="004B3202">
        <w:rPr>
          <w:sz w:val="24"/>
          <w:lang w:val="fi-FI"/>
        </w:rPr>
        <w:t>.</w:t>
      </w:r>
    </w:p>
  </w:footnote>
  <w:footnote w:id="2">
    <w:p w14:paraId="0D563CCC" w14:textId="7F74474B" w:rsidR="00ED5BC6" w:rsidRPr="004B3202" w:rsidRDefault="00ED5BC6" w:rsidP="009D7390">
      <w:pPr>
        <w:pStyle w:val="FootnoteText"/>
        <w:ind w:left="567" w:hanging="567"/>
        <w:rPr>
          <w:sz w:val="24"/>
          <w:lang w:val="fi-FI"/>
        </w:rPr>
      </w:pPr>
      <w:r w:rsidRPr="009D7390">
        <w:rPr>
          <w:rStyle w:val="FootnoteReference"/>
          <w:sz w:val="24"/>
          <w:lang w:val="it-IT"/>
        </w:rPr>
        <w:footnoteRef/>
      </w:r>
      <w:r w:rsidR="009D7390" w:rsidRPr="004B3202">
        <w:rPr>
          <w:sz w:val="24"/>
          <w:lang w:val="fi-FI"/>
        </w:rPr>
        <w:t xml:space="preserve"> </w:t>
      </w:r>
      <w:r w:rsidR="009D7390" w:rsidRPr="004B3202">
        <w:rPr>
          <w:sz w:val="24"/>
          <w:lang w:val="fi-FI"/>
        </w:rPr>
        <w:tab/>
      </w:r>
      <w:r w:rsidRPr="004B3202">
        <w:rPr>
          <w:sz w:val="24"/>
          <w:lang w:val="fi-FI"/>
        </w:rPr>
        <w:t xml:space="preserve">GU C, C/2024/3675, 26.6.2024, ELI: </w:t>
      </w:r>
      <w:hyperlink r:id="rId2" w:history="1">
        <w:r w:rsidRPr="004B3202">
          <w:rPr>
            <w:rStyle w:val="Hyperlink"/>
            <w:sz w:val="24"/>
            <w:lang w:val="fi-FI"/>
          </w:rPr>
          <w:t>http://data.europa.eu/eli/C/2024/3675/oj</w:t>
        </w:r>
      </w:hyperlink>
      <w:r w:rsidRPr="004B3202">
        <w:rPr>
          <w:sz w:val="24"/>
          <w:lang w:val="fi-FI"/>
        </w:rPr>
        <w:t>.</w:t>
      </w:r>
    </w:p>
  </w:footnote>
  <w:footnote w:id="3">
    <w:p w14:paraId="40670F56" w14:textId="6E88E2C4" w:rsidR="00ED5BC6" w:rsidRPr="004B3202" w:rsidRDefault="00ED5BC6" w:rsidP="009D7390">
      <w:pPr>
        <w:pStyle w:val="FootnoteText"/>
        <w:ind w:left="567" w:hanging="567"/>
        <w:rPr>
          <w:sz w:val="24"/>
          <w:lang w:val="fi-FI"/>
        </w:rPr>
      </w:pPr>
      <w:r w:rsidRPr="009D7390">
        <w:rPr>
          <w:rStyle w:val="FootnoteReference"/>
          <w:sz w:val="24"/>
          <w:lang w:val="it-IT"/>
        </w:rPr>
        <w:footnoteRef/>
      </w:r>
      <w:r w:rsidR="009D7390" w:rsidRPr="004B3202">
        <w:rPr>
          <w:sz w:val="24"/>
          <w:lang w:val="fi-FI"/>
        </w:rPr>
        <w:t xml:space="preserve"> </w:t>
      </w:r>
      <w:r w:rsidR="009D7390" w:rsidRPr="004B3202">
        <w:rPr>
          <w:sz w:val="24"/>
          <w:lang w:val="fi-FI"/>
        </w:rPr>
        <w:tab/>
      </w:r>
      <w:r w:rsidRPr="004B3202">
        <w:rPr>
          <w:sz w:val="24"/>
          <w:lang w:val="fi-FI"/>
        </w:rPr>
        <w:t xml:space="preserve">GU C, C/2025/3734, 17.9.2025, ELI: </w:t>
      </w:r>
      <w:hyperlink r:id="rId3" w:history="1">
        <w:r w:rsidRPr="004B3202">
          <w:rPr>
            <w:rStyle w:val="Hyperlink"/>
            <w:sz w:val="24"/>
            <w:lang w:val="fi-FI"/>
          </w:rPr>
          <w:t>http://data.europa.eu/eli/C/2025/3734/oj</w:t>
        </w:r>
      </w:hyperlink>
      <w:r w:rsidRPr="004B3202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1DCB1" w14:textId="77777777" w:rsidR="00064002" w:rsidRPr="009D73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F248A" w14:textId="77777777" w:rsidR="00064002" w:rsidRPr="009D73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4BBE0" w14:textId="77777777" w:rsidR="00064002" w:rsidRPr="009D73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6823796">
    <w:abstractNumId w:val="9"/>
  </w:num>
  <w:num w:numId="2" w16cid:durableId="380372444">
    <w:abstractNumId w:val="9"/>
  </w:num>
  <w:num w:numId="3" w16cid:durableId="181433501">
    <w:abstractNumId w:val="7"/>
  </w:num>
  <w:num w:numId="4" w16cid:durableId="1051879981">
    <w:abstractNumId w:val="7"/>
  </w:num>
  <w:num w:numId="5" w16cid:durableId="2126463760">
    <w:abstractNumId w:val="6"/>
  </w:num>
  <w:num w:numId="6" w16cid:durableId="1781990208">
    <w:abstractNumId w:val="6"/>
  </w:num>
  <w:num w:numId="7" w16cid:durableId="819231686">
    <w:abstractNumId w:val="5"/>
  </w:num>
  <w:num w:numId="8" w16cid:durableId="1538734271">
    <w:abstractNumId w:val="5"/>
  </w:num>
  <w:num w:numId="9" w16cid:durableId="1914242482">
    <w:abstractNumId w:val="4"/>
  </w:num>
  <w:num w:numId="10" w16cid:durableId="2132239436">
    <w:abstractNumId w:val="4"/>
  </w:num>
  <w:num w:numId="11" w16cid:durableId="33893204">
    <w:abstractNumId w:val="8"/>
  </w:num>
  <w:num w:numId="12" w16cid:durableId="846021413">
    <w:abstractNumId w:val="8"/>
  </w:num>
  <w:num w:numId="13" w16cid:durableId="993531884">
    <w:abstractNumId w:val="3"/>
  </w:num>
  <w:num w:numId="14" w16cid:durableId="971600119">
    <w:abstractNumId w:val="3"/>
  </w:num>
  <w:num w:numId="15" w16cid:durableId="1451171420">
    <w:abstractNumId w:val="2"/>
  </w:num>
  <w:num w:numId="16" w16cid:durableId="1068310822">
    <w:abstractNumId w:val="2"/>
  </w:num>
  <w:num w:numId="17" w16cid:durableId="1683120648">
    <w:abstractNumId w:val="1"/>
  </w:num>
  <w:num w:numId="18" w16cid:durableId="410740475">
    <w:abstractNumId w:val="1"/>
  </w:num>
  <w:num w:numId="19" w16cid:durableId="1299188786">
    <w:abstractNumId w:val="0"/>
  </w:num>
  <w:num w:numId="20" w16cid:durableId="226501819">
    <w:abstractNumId w:val="0"/>
  </w:num>
  <w:num w:numId="21" w16cid:durableId="513694714">
    <w:abstractNumId w:val="9"/>
  </w:num>
  <w:num w:numId="22" w16cid:durableId="1308168798">
    <w:abstractNumId w:val="7"/>
  </w:num>
  <w:num w:numId="23" w16cid:durableId="1812820034">
    <w:abstractNumId w:val="6"/>
  </w:num>
  <w:num w:numId="24" w16cid:durableId="245311770">
    <w:abstractNumId w:val="5"/>
  </w:num>
  <w:num w:numId="25" w16cid:durableId="582766874">
    <w:abstractNumId w:val="4"/>
  </w:num>
  <w:num w:numId="26" w16cid:durableId="1160198229">
    <w:abstractNumId w:val="8"/>
  </w:num>
  <w:num w:numId="27" w16cid:durableId="770973239">
    <w:abstractNumId w:val="3"/>
  </w:num>
  <w:num w:numId="28" w16cid:durableId="168177332">
    <w:abstractNumId w:val="2"/>
  </w:num>
  <w:num w:numId="29" w16cid:durableId="1486778903">
    <w:abstractNumId w:val="1"/>
  </w:num>
  <w:num w:numId="30" w16cid:durableId="1132094536">
    <w:abstractNumId w:val="0"/>
  </w:num>
  <w:num w:numId="31" w16cid:durableId="552078350">
    <w:abstractNumId w:val="9"/>
  </w:num>
  <w:num w:numId="32" w16cid:durableId="383718085">
    <w:abstractNumId w:val="7"/>
  </w:num>
  <w:num w:numId="33" w16cid:durableId="1254246742">
    <w:abstractNumId w:val="6"/>
  </w:num>
  <w:num w:numId="34" w16cid:durableId="1877767859">
    <w:abstractNumId w:val="5"/>
  </w:num>
  <w:num w:numId="35" w16cid:durableId="347148019">
    <w:abstractNumId w:val="4"/>
  </w:num>
  <w:num w:numId="36" w16cid:durableId="461776363">
    <w:abstractNumId w:val="8"/>
  </w:num>
  <w:num w:numId="37" w16cid:durableId="319626767">
    <w:abstractNumId w:val="3"/>
  </w:num>
  <w:num w:numId="38" w16cid:durableId="1354499191">
    <w:abstractNumId w:val="2"/>
  </w:num>
  <w:num w:numId="39" w16cid:durableId="766116376">
    <w:abstractNumId w:val="1"/>
  </w:num>
  <w:num w:numId="40" w16cid:durableId="966205972">
    <w:abstractNumId w:val="0"/>
  </w:num>
  <w:num w:numId="41" w16cid:durableId="1757284737">
    <w:abstractNumId w:val="10"/>
  </w:num>
  <w:num w:numId="42" w16cid:durableId="141890189">
    <w:abstractNumId w:val="10"/>
  </w:num>
  <w:num w:numId="43" w16cid:durableId="894316385">
    <w:abstractNumId w:val="10"/>
  </w:num>
  <w:num w:numId="44" w16cid:durableId="1873419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IT"/>
    <w:docVar w:name="dvnumam" w:val="0"/>
    <w:docVar w:name="dvpe" w:val="778.296"/>
    <w:docVar w:name="dvrapporteur" w:val="Relatore: "/>
    <w:docVar w:name="dvstar" w:val="***II"/>
    <w:docVar w:name="dvtitre" w:val="Risoluzione legislativa del Parlamento europeo del 23 ottobre 2025 sulla posizione del Consiglio in prima lettura in vista dell'adozione del regolamento del Parlamento europeo e del Consiglio sulla prevenzione delle dispersioni di pellet di plastica per ridurre l'inquinamento da microplastiche(09047/1/2025 – C10-0234/2025 – 2023/0373(COD))"/>
  </w:docVars>
  <w:rsids>
    <w:rsidRoot w:val="00F717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5EE4"/>
    <w:rsid w:val="00343214"/>
    <w:rsid w:val="00361C00"/>
    <w:rsid w:val="00395FA1"/>
    <w:rsid w:val="003C75BB"/>
    <w:rsid w:val="003E15D4"/>
    <w:rsid w:val="00411CCE"/>
    <w:rsid w:val="0041666E"/>
    <w:rsid w:val="00421060"/>
    <w:rsid w:val="004364A6"/>
    <w:rsid w:val="00471C19"/>
    <w:rsid w:val="004867E3"/>
    <w:rsid w:val="00494A28"/>
    <w:rsid w:val="004B3202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911"/>
    <w:rsid w:val="009509D8"/>
    <w:rsid w:val="00950B64"/>
    <w:rsid w:val="00981893"/>
    <w:rsid w:val="009D739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24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BC6"/>
    <w:rsid w:val="00F04346"/>
    <w:rsid w:val="00F075DC"/>
    <w:rsid w:val="00F149E9"/>
    <w:rsid w:val="00F5134D"/>
    <w:rsid w:val="00F7171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F7EDB"/>
  <w15:chartTrackingRefBased/>
  <w15:docId w15:val="{DF5EA1F7-3770-4050-9C14-DEE17E319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D5BC6"/>
    <w:pPr>
      <w:spacing w:before="480" w:after="240"/>
    </w:pPr>
  </w:style>
  <w:style w:type="paragraph" w:customStyle="1" w:styleId="NormalBold">
    <w:name w:val="NormalBold"/>
    <w:basedOn w:val="Normal"/>
    <w:rsid w:val="00ED5BC6"/>
    <w:rPr>
      <w:b/>
    </w:rPr>
  </w:style>
  <w:style w:type="paragraph" w:customStyle="1" w:styleId="NormalHanging12a">
    <w:name w:val="NormalHanging12a"/>
    <w:basedOn w:val="Normal"/>
    <w:rsid w:val="00ED5BC6"/>
    <w:pPr>
      <w:spacing w:after="240"/>
      <w:ind w:left="567" w:hanging="567"/>
    </w:pPr>
  </w:style>
  <w:style w:type="character" w:styleId="Hyperlink">
    <w:name w:val="Hyperlink"/>
    <w:basedOn w:val="DefaultParagraphFont"/>
    <w:rsid w:val="00ED5BC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B3202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2159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AR_3</cp:lastModifiedBy>
  <cp:revision>2</cp:revision>
  <cp:lastPrinted>2004-11-19T15:42:00Z</cp:lastPrinted>
  <dcterms:created xsi:type="dcterms:W3CDTF">2025-10-23T12:51:00Z</dcterms:created>
  <dcterms:modified xsi:type="dcterms:W3CDTF">2025-10-23T12:51:00Z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