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14E3" w14:paraId="69C2F3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AF94A8" w14:textId="77777777" w:rsidR="00751A4A" w:rsidRPr="00C014E3" w:rsidRDefault="007A7A75" w:rsidP="0010095E">
            <w:pPr>
              <w:pStyle w:val="EPName"/>
            </w:pPr>
            <w:r w:rsidRPr="00C014E3">
              <w:t>Europos Parlamentas</w:t>
            </w:r>
          </w:p>
          <w:p w14:paraId="26E6E82B" w14:textId="77777777" w:rsidR="00751A4A" w:rsidRPr="00C014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14E3">
              <w:t>2024</w:t>
            </w:r>
            <w:r w:rsidR="00817416" w:rsidRPr="00C014E3">
              <w:t>-202</w:t>
            </w:r>
            <w:r w:rsidRPr="00C014E3">
              <w:t>9</w:t>
            </w:r>
          </w:p>
        </w:tc>
        <w:tc>
          <w:tcPr>
            <w:tcW w:w="2268" w:type="dxa"/>
            <w:shd w:val="clear" w:color="auto" w:fill="auto"/>
          </w:tcPr>
          <w:p w14:paraId="03658C45" w14:textId="77777777" w:rsidR="00751A4A" w:rsidRPr="00C014E3" w:rsidRDefault="00187494" w:rsidP="0010095E">
            <w:pPr>
              <w:pStyle w:val="EPLogo"/>
            </w:pPr>
            <w:r w:rsidRPr="00C014E3">
              <w:rPr>
                <w:noProof/>
                <w:lang w:eastAsia="ja-JP"/>
              </w:rPr>
              <w:drawing>
                <wp:inline distT="0" distB="0" distL="0" distR="0" wp14:anchorId="4CCB5637" wp14:editId="2FB76C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15BD04" w14:textId="77777777" w:rsidR="00D058B8" w:rsidRPr="00C014E3" w:rsidRDefault="00D058B8" w:rsidP="004C5D52">
      <w:pPr>
        <w:pStyle w:val="LineTop"/>
      </w:pPr>
    </w:p>
    <w:p w14:paraId="18013971" w14:textId="77777777" w:rsidR="00680577" w:rsidRPr="00C014E3" w:rsidRDefault="007A7A75" w:rsidP="00680577">
      <w:pPr>
        <w:pStyle w:val="EPBodyTA1"/>
      </w:pPr>
      <w:r w:rsidRPr="00C014E3">
        <w:t>PRIIMTI TEKSTAI</w:t>
      </w:r>
    </w:p>
    <w:p w14:paraId="0205689D" w14:textId="77777777" w:rsidR="00D058B8" w:rsidRPr="00C014E3" w:rsidRDefault="00D058B8" w:rsidP="00D058B8">
      <w:pPr>
        <w:pStyle w:val="LineBottom"/>
      </w:pPr>
    </w:p>
    <w:p w14:paraId="248B0A3B" w14:textId="13EF33EA" w:rsidR="007A7A75" w:rsidRPr="00C014E3" w:rsidRDefault="007A7A75" w:rsidP="007A7A75">
      <w:pPr>
        <w:pStyle w:val="ATHeading1"/>
      </w:pPr>
      <w:bookmarkStart w:id="0" w:name="TANumber"/>
      <w:r w:rsidRPr="00C014E3">
        <w:t>P10_TA(2025)0</w:t>
      </w:r>
      <w:r w:rsidR="005B6799">
        <w:t>252</w:t>
      </w:r>
      <w:bookmarkEnd w:id="0"/>
    </w:p>
    <w:p w14:paraId="05143FF3" w14:textId="77777777" w:rsidR="007A7A75" w:rsidRPr="00C014E3" w:rsidRDefault="007A7A75" w:rsidP="007A7A75">
      <w:pPr>
        <w:pStyle w:val="ATHeading2"/>
      </w:pPr>
      <w:bookmarkStart w:id="1" w:name="title"/>
      <w:r w:rsidRPr="00C014E3">
        <w:t xml:space="preserve">Plastiko granulių patekimo į aplinką prevencija siekiant mažinti taršą </w:t>
      </w:r>
      <w:proofErr w:type="spellStart"/>
      <w:r w:rsidRPr="00C014E3">
        <w:t>mikroplastiku</w:t>
      </w:r>
      <w:bookmarkEnd w:id="1"/>
      <w:proofErr w:type="spellEnd"/>
    </w:p>
    <w:p w14:paraId="74E5EE78" w14:textId="77777777" w:rsidR="007A7A75" w:rsidRPr="00C014E3" w:rsidRDefault="007A7A75" w:rsidP="007A7A75">
      <w:pPr>
        <w:rPr>
          <w:i/>
          <w:vanish/>
        </w:rPr>
      </w:pPr>
      <w:r w:rsidRPr="00C014E3">
        <w:rPr>
          <w:i/>
        </w:rPr>
        <w:fldChar w:fldCharType="begin"/>
      </w:r>
      <w:r w:rsidRPr="00C014E3">
        <w:rPr>
          <w:i/>
        </w:rPr>
        <w:instrText xml:space="preserve"> TC"(</w:instrText>
      </w:r>
      <w:bookmarkStart w:id="2" w:name="DocNumber"/>
      <w:r w:rsidRPr="00C014E3">
        <w:rPr>
          <w:i/>
        </w:rPr>
        <w:instrText>A10-0203/2025</w:instrText>
      </w:r>
      <w:bookmarkEnd w:id="2"/>
      <w:r w:rsidRPr="00C014E3">
        <w:rPr>
          <w:i/>
        </w:rPr>
        <w:instrText xml:space="preserve"> - Pranešėjas: César Luena)"\l3 \n&gt; \* MERGEFORMAT </w:instrText>
      </w:r>
      <w:r w:rsidRPr="00C014E3">
        <w:rPr>
          <w:i/>
        </w:rPr>
        <w:fldChar w:fldCharType="end"/>
      </w:r>
    </w:p>
    <w:p w14:paraId="33FA5D57" w14:textId="77777777" w:rsidR="007A7A75" w:rsidRPr="00C014E3" w:rsidRDefault="007A7A75" w:rsidP="007A7A75">
      <w:pPr>
        <w:rPr>
          <w:vanish/>
        </w:rPr>
      </w:pPr>
      <w:bookmarkStart w:id="3" w:name="Commission"/>
      <w:r w:rsidRPr="00C014E3">
        <w:rPr>
          <w:vanish/>
        </w:rPr>
        <w:t>Aplinkos, klimato ir maisto saugos komitetas</w:t>
      </w:r>
      <w:bookmarkEnd w:id="3"/>
    </w:p>
    <w:p w14:paraId="26DBB43D" w14:textId="77777777" w:rsidR="007A7A75" w:rsidRPr="00C014E3" w:rsidRDefault="007A7A75" w:rsidP="007A7A75">
      <w:pPr>
        <w:rPr>
          <w:vanish/>
        </w:rPr>
      </w:pPr>
      <w:bookmarkStart w:id="4" w:name="PE"/>
      <w:r w:rsidRPr="00C014E3">
        <w:rPr>
          <w:vanish/>
        </w:rPr>
        <w:t>PE778.296</w:t>
      </w:r>
      <w:bookmarkEnd w:id="4"/>
    </w:p>
    <w:p w14:paraId="559E55A3" w14:textId="04A69D8F" w:rsidR="007A7A75" w:rsidRPr="00C014E3" w:rsidRDefault="006F5253" w:rsidP="007A7A75">
      <w:pPr>
        <w:pStyle w:val="ATHeading3"/>
      </w:pPr>
      <w:bookmarkStart w:id="5" w:name="Sujet"/>
      <w:r>
        <w:t xml:space="preserve">2025 m. spalio 23 d. </w:t>
      </w:r>
      <w:r w:rsidR="007A7A75" w:rsidRPr="00C014E3">
        <w:t xml:space="preserve">Europos Parlamento teisėkūros rezoliucija dėl per pirmąjį svarstymą priimtos Tarybos pozicijos siekiant priimti Europos Parlamento ir Tarybos reglamentą dėl plastiko granulių patekimo į aplinką prevencijos siekiant mažinti taršą </w:t>
      </w:r>
      <w:proofErr w:type="spellStart"/>
      <w:r w:rsidR="007A7A75" w:rsidRPr="00C014E3">
        <w:t>mikroplastiku</w:t>
      </w:r>
      <w:bookmarkEnd w:id="5"/>
      <w:proofErr w:type="spellEnd"/>
      <w:r w:rsidR="007A7A75" w:rsidRPr="00C014E3">
        <w:t xml:space="preserve"> </w:t>
      </w:r>
      <w:bookmarkStart w:id="6" w:name="References"/>
      <w:r w:rsidR="007A7A75" w:rsidRPr="00C014E3">
        <w:t>(09047/1/2025 – C10-0234/2025 – 2023/0373(COD))</w:t>
      </w:r>
      <w:bookmarkEnd w:id="6"/>
    </w:p>
    <w:p w14:paraId="36482103" w14:textId="77777777" w:rsidR="007A7A75" w:rsidRPr="00C014E3" w:rsidRDefault="007A7A75" w:rsidP="007A7A75"/>
    <w:p w14:paraId="5C16B4B7" w14:textId="77777777" w:rsidR="005E1C70" w:rsidRPr="00C014E3" w:rsidRDefault="005E1C70" w:rsidP="005E1C70">
      <w:pPr>
        <w:pStyle w:val="NormalBold"/>
      </w:pPr>
      <w:bookmarkStart w:id="7" w:name="TextBodyBegin"/>
      <w:bookmarkEnd w:id="7"/>
      <w:r w:rsidRPr="00C014E3">
        <w:t>(Įprasta teisėkūros procedūra: antrasis svarstymas)</w:t>
      </w:r>
    </w:p>
    <w:p w14:paraId="6E1FC5BE" w14:textId="77777777" w:rsidR="005E1C70" w:rsidRPr="00C014E3" w:rsidRDefault="005E1C70" w:rsidP="005E1C70">
      <w:pPr>
        <w:pStyle w:val="EPComma"/>
      </w:pPr>
      <w:r w:rsidRPr="00C014E3">
        <w:rPr>
          <w:i/>
        </w:rPr>
        <w:t>Europos Parlamentas</w:t>
      </w:r>
      <w:r w:rsidRPr="00C014E3">
        <w:t>,</w:t>
      </w:r>
    </w:p>
    <w:p w14:paraId="53F1EE20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per pirmąjį svarstymą priimtą Tarybos poziciją (09047/1/2025 – C10</w:t>
      </w:r>
      <w:r w:rsidRPr="00C014E3">
        <w:noBreakHyphen/>
        <w:t>0234/2025),</w:t>
      </w:r>
    </w:p>
    <w:p w14:paraId="0349353E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Italijos Deputatų Rūmų pagal Protokolą Nr. 2 dėl subsidiarumo ir proporcingumo principų taikymo pateiktą pagrįstą nuomonę, kurioje tvirtinama, kad teisėkūros procedūra priimamo akto projektas neatitinka subsidiarumo principo,</w:t>
      </w:r>
    </w:p>
    <w:p w14:paraId="2A8C496A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2024 m. vasario 14 d. Europos ekonomikos ir socialinių reikalų komiteto nuomonę</w:t>
      </w:r>
      <w:r w:rsidRPr="00C014E3">
        <w:rPr>
          <w:vertAlign w:val="superscript"/>
        </w:rPr>
        <w:footnoteReference w:id="1"/>
      </w:r>
      <w:r w:rsidRPr="00C014E3">
        <w:t xml:space="preserve">, </w:t>
      </w:r>
    </w:p>
    <w:p w14:paraId="62E942B2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2024 m. balandžio 18 d. Regionų komiteto rezoliuciją</w:t>
      </w:r>
      <w:r w:rsidRPr="00C014E3">
        <w:rPr>
          <w:vertAlign w:val="superscript"/>
        </w:rPr>
        <w:footnoteReference w:id="2"/>
      </w:r>
      <w:r w:rsidRPr="00C014E3">
        <w:t>,</w:t>
      </w:r>
    </w:p>
    <w:p w14:paraId="29B099AE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per pirmąjį svarstymą priimtą savo poziciją</w:t>
      </w:r>
      <w:r w:rsidRPr="00C014E3">
        <w:rPr>
          <w:vertAlign w:val="superscript"/>
        </w:rPr>
        <w:footnoteReference w:id="3"/>
      </w:r>
      <w:r w:rsidRPr="00C014E3">
        <w:t xml:space="preserve"> dėl Komisijos pasiūlymo Parlamentui ir Tarybai (COM(2023)0645),</w:t>
      </w:r>
    </w:p>
    <w:p w14:paraId="77047B14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Sutarties dėl Europos Sąjungos veikimo 294 straipsnio 7 dalį,</w:t>
      </w:r>
    </w:p>
    <w:p w14:paraId="01F2AA6D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preliminarų susitarimą, kurį atsakingas komitetas patvirtino pagal Darbo tvarkos taisyklių 75 straipsnio 4 dalį,</w:t>
      </w:r>
    </w:p>
    <w:p w14:paraId="5580CA53" w14:textId="77777777" w:rsidR="005E1C70" w:rsidRPr="00C014E3" w:rsidRDefault="005E1C70" w:rsidP="005E1C70">
      <w:pPr>
        <w:pStyle w:val="NormalHanging12a"/>
      </w:pPr>
      <w:r w:rsidRPr="00C014E3">
        <w:lastRenderedPageBreak/>
        <w:t>–</w:t>
      </w:r>
      <w:r w:rsidRPr="00C014E3">
        <w:tab/>
        <w:t>atsižvelgdamas į Darbo tvarkos taisyklių 68 straipsnį,</w:t>
      </w:r>
    </w:p>
    <w:p w14:paraId="48DEAADF" w14:textId="77777777" w:rsidR="005E1C70" w:rsidRPr="00C014E3" w:rsidRDefault="005E1C70" w:rsidP="005E1C70">
      <w:pPr>
        <w:pStyle w:val="NormalHanging12a"/>
      </w:pPr>
      <w:r w:rsidRPr="00C014E3">
        <w:t>–</w:t>
      </w:r>
      <w:r w:rsidRPr="00C014E3">
        <w:tab/>
        <w:t>atsižvelgdamas į Aplinkos, klimato ir maisto saugos komiteto rekomendaciją antrajam svarstymui (A10-0203/2025),</w:t>
      </w:r>
    </w:p>
    <w:p w14:paraId="214DF9E4" w14:textId="77777777" w:rsidR="005E1C70" w:rsidRPr="00C014E3" w:rsidRDefault="005E1C70" w:rsidP="005E1C70">
      <w:pPr>
        <w:pStyle w:val="NormalHanging12a"/>
      </w:pPr>
      <w:r w:rsidRPr="00C014E3">
        <w:t>1.</w:t>
      </w:r>
      <w:r w:rsidRPr="00C014E3">
        <w:tab/>
        <w:t>pritaria per pirmąjį svarstymą priimtai Tarybos pozicijai;</w:t>
      </w:r>
    </w:p>
    <w:p w14:paraId="4778613E" w14:textId="77777777" w:rsidR="005E1C70" w:rsidRPr="00C014E3" w:rsidRDefault="005E1C70" w:rsidP="005E1C70">
      <w:pPr>
        <w:pStyle w:val="NormalHanging12a"/>
      </w:pPr>
      <w:r w:rsidRPr="00C014E3">
        <w:t>2.</w:t>
      </w:r>
      <w:r w:rsidRPr="00C014E3">
        <w:tab/>
        <w:t>pažymi, kad aktas priimtas remiantis Tarybos pozicija;</w:t>
      </w:r>
    </w:p>
    <w:p w14:paraId="703750F3" w14:textId="77777777" w:rsidR="005E1C70" w:rsidRPr="00C014E3" w:rsidRDefault="005E1C70" w:rsidP="005E1C70">
      <w:pPr>
        <w:pStyle w:val="NormalHanging12a"/>
      </w:pPr>
      <w:r w:rsidRPr="00C014E3">
        <w:t>3.</w:t>
      </w:r>
      <w:r w:rsidRPr="00C014E3">
        <w:tab/>
        <w:t>paveda Pirmininkei pasirašyti aktą su Tarybos pirmininku pagal Sutarties dėl Europos Sąjungos veikimo 297 straipsnio 1 dalį;</w:t>
      </w:r>
    </w:p>
    <w:p w14:paraId="15297AC8" w14:textId="41BD863F" w:rsidR="005E1C70" w:rsidRPr="00C014E3" w:rsidRDefault="005E1C70" w:rsidP="005E1C70">
      <w:pPr>
        <w:pStyle w:val="NormalHanging12a"/>
      </w:pPr>
      <w:r w:rsidRPr="00C014E3">
        <w:t>4.</w:t>
      </w:r>
      <w:r w:rsidRPr="00C014E3">
        <w:tab/>
        <w:t>paveda generaliniam sekretoriui pasirašyti aktą, patikrinus, ar tinkamai įvykdytos visos procedūros, ir, susitarus su Tarybos generalin</w:t>
      </w:r>
      <w:r w:rsidR="00E24E0A">
        <w:t>e</w:t>
      </w:r>
      <w:r w:rsidRPr="00C014E3">
        <w:t xml:space="preserve"> sekretor</w:t>
      </w:r>
      <w:r w:rsidR="00E24E0A">
        <w:t>e</w:t>
      </w:r>
      <w:r w:rsidRPr="00C014E3">
        <w:t xml:space="preserve">, pasirūpinti, kad šis aktas būtų paskelbtas </w:t>
      </w:r>
      <w:r w:rsidRPr="00C014E3">
        <w:rPr>
          <w:i/>
        </w:rPr>
        <w:t>Europos Sąjungos oficialiajame leidinyje</w:t>
      </w:r>
      <w:r w:rsidRPr="00C014E3">
        <w:t>;</w:t>
      </w:r>
    </w:p>
    <w:p w14:paraId="64A57424" w14:textId="19CBBBFA" w:rsidR="00E365E1" w:rsidRPr="00C014E3" w:rsidRDefault="005E1C70" w:rsidP="006F5253">
      <w:pPr>
        <w:ind w:left="567" w:hanging="567"/>
      </w:pPr>
      <w:r w:rsidRPr="00C014E3">
        <w:t>5.</w:t>
      </w:r>
      <w:r w:rsidRPr="00C014E3">
        <w:tab/>
        <w:t>paveda Pirmininkei perduoti Parlamento poziciją Tarybai, Komisijai ir nacionaliniams parlamentams.</w:t>
      </w:r>
    </w:p>
    <w:sectPr w:rsidR="00E365E1" w:rsidRPr="00C014E3" w:rsidSect="00C014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D377A" w14:textId="77777777" w:rsidR="007A7A75" w:rsidRPr="00C014E3" w:rsidRDefault="007A7A75">
      <w:r w:rsidRPr="00C014E3">
        <w:separator/>
      </w:r>
    </w:p>
  </w:endnote>
  <w:endnote w:type="continuationSeparator" w:id="0">
    <w:p w14:paraId="102CA1A8" w14:textId="77777777" w:rsidR="007A7A75" w:rsidRPr="00C014E3" w:rsidRDefault="007A7A75">
      <w:r w:rsidRPr="00C014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0D11" w14:textId="77777777" w:rsidR="00064002" w:rsidRPr="00C014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0C2C3" w14:textId="77777777" w:rsidR="00064002" w:rsidRPr="00C014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3CC9" w14:textId="77777777" w:rsidR="00064002" w:rsidRPr="00C014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B6865" w14:textId="77777777" w:rsidR="007A7A75" w:rsidRPr="00C014E3" w:rsidRDefault="007A7A75">
      <w:r w:rsidRPr="00C014E3">
        <w:separator/>
      </w:r>
    </w:p>
  </w:footnote>
  <w:footnote w:type="continuationSeparator" w:id="0">
    <w:p w14:paraId="55C1E25D" w14:textId="77777777" w:rsidR="007A7A75" w:rsidRPr="00C014E3" w:rsidRDefault="007A7A75">
      <w:r w:rsidRPr="00C014E3">
        <w:continuationSeparator/>
      </w:r>
    </w:p>
  </w:footnote>
  <w:footnote w:id="1">
    <w:p w14:paraId="14B40DE2" w14:textId="4190FBBB" w:rsidR="005E1C70" w:rsidRPr="00C014E3" w:rsidRDefault="005E1C70" w:rsidP="00C014E3">
      <w:pPr>
        <w:pStyle w:val="FootnoteText"/>
        <w:ind w:left="567" w:hanging="567"/>
        <w:rPr>
          <w:sz w:val="24"/>
          <w:lang w:val="lt-LT"/>
        </w:rPr>
      </w:pPr>
      <w:r w:rsidRPr="00C014E3">
        <w:rPr>
          <w:rStyle w:val="FootnoteReference"/>
          <w:sz w:val="24"/>
          <w:lang w:val="lt-LT"/>
        </w:rPr>
        <w:footnoteRef/>
      </w:r>
      <w:r w:rsidR="00C014E3" w:rsidRPr="00C014E3">
        <w:rPr>
          <w:sz w:val="24"/>
          <w:lang w:val="lt-LT"/>
        </w:rPr>
        <w:t xml:space="preserve"> </w:t>
      </w:r>
      <w:r w:rsidR="00C014E3" w:rsidRPr="00C014E3">
        <w:rPr>
          <w:sz w:val="24"/>
          <w:lang w:val="lt-LT"/>
        </w:rPr>
        <w:tab/>
      </w:r>
      <w:r w:rsidRPr="00C014E3">
        <w:rPr>
          <w:sz w:val="24"/>
          <w:lang w:val="lt-LT"/>
        </w:rPr>
        <w:t xml:space="preserve">OL C, C/2024/2487, 2024 4 23, ELI: </w:t>
      </w:r>
      <w:hyperlink r:id="rId1" w:history="1">
        <w:r w:rsidRPr="00C014E3">
          <w:rPr>
            <w:rStyle w:val="Hyperlink"/>
            <w:sz w:val="24"/>
            <w:lang w:val="lt-LT"/>
          </w:rPr>
          <w:t>http://data.europa.eu/eli/C/2024/2487/oj</w:t>
        </w:r>
      </w:hyperlink>
      <w:r w:rsidRPr="00C014E3">
        <w:rPr>
          <w:rStyle w:val="Hyperlink"/>
          <w:sz w:val="24"/>
          <w:lang w:val="lt-LT"/>
        </w:rPr>
        <w:t>.</w:t>
      </w:r>
    </w:p>
  </w:footnote>
  <w:footnote w:id="2">
    <w:p w14:paraId="5A8562DA" w14:textId="50EBAE80" w:rsidR="005E1C70" w:rsidRPr="00C014E3" w:rsidRDefault="005E1C70" w:rsidP="00C014E3">
      <w:pPr>
        <w:pStyle w:val="FootnoteText"/>
        <w:ind w:left="567" w:hanging="567"/>
        <w:rPr>
          <w:sz w:val="24"/>
          <w:lang w:val="lt-LT"/>
        </w:rPr>
      </w:pPr>
      <w:r w:rsidRPr="00C014E3">
        <w:rPr>
          <w:rStyle w:val="FootnoteReference"/>
          <w:sz w:val="24"/>
          <w:lang w:val="lt-LT"/>
        </w:rPr>
        <w:footnoteRef/>
      </w:r>
      <w:r w:rsidR="00C014E3" w:rsidRPr="00C014E3">
        <w:rPr>
          <w:sz w:val="24"/>
          <w:lang w:val="lt-LT"/>
        </w:rPr>
        <w:t xml:space="preserve"> </w:t>
      </w:r>
      <w:r w:rsidR="00C014E3" w:rsidRPr="00C014E3">
        <w:rPr>
          <w:sz w:val="24"/>
          <w:lang w:val="lt-LT"/>
        </w:rPr>
        <w:tab/>
      </w:r>
      <w:r w:rsidRPr="00C014E3">
        <w:rPr>
          <w:sz w:val="24"/>
          <w:lang w:val="lt-LT"/>
        </w:rPr>
        <w:t xml:space="preserve">OL C, C/2024/3675, 2024 6 26, ELI: </w:t>
      </w:r>
      <w:hyperlink r:id="rId2" w:history="1">
        <w:r w:rsidRPr="00C014E3">
          <w:rPr>
            <w:rStyle w:val="Hyperlink"/>
            <w:sz w:val="24"/>
            <w:lang w:val="lt-LT"/>
          </w:rPr>
          <w:t>http://data.europa.eu/eli/C/2024/3675/oj</w:t>
        </w:r>
      </w:hyperlink>
      <w:r w:rsidRPr="00C014E3">
        <w:rPr>
          <w:rStyle w:val="Hyperlink"/>
          <w:sz w:val="24"/>
          <w:lang w:val="lt-LT"/>
        </w:rPr>
        <w:t>.</w:t>
      </w:r>
    </w:p>
  </w:footnote>
  <w:footnote w:id="3">
    <w:p w14:paraId="4A2E3789" w14:textId="135CCB09" w:rsidR="005E1C70" w:rsidRPr="00C014E3" w:rsidRDefault="005E1C70" w:rsidP="00C014E3">
      <w:pPr>
        <w:pStyle w:val="FootnoteText"/>
        <w:ind w:left="567" w:hanging="567"/>
        <w:rPr>
          <w:sz w:val="24"/>
          <w:lang w:val="lt-LT"/>
        </w:rPr>
      </w:pPr>
      <w:r w:rsidRPr="00C014E3">
        <w:rPr>
          <w:rStyle w:val="FootnoteReference"/>
          <w:sz w:val="24"/>
          <w:lang w:val="lt-LT"/>
        </w:rPr>
        <w:footnoteRef/>
      </w:r>
      <w:r w:rsidR="00C014E3" w:rsidRPr="00C014E3">
        <w:rPr>
          <w:sz w:val="24"/>
          <w:lang w:val="lt-LT"/>
        </w:rPr>
        <w:t xml:space="preserve"> </w:t>
      </w:r>
      <w:r w:rsidR="00C014E3" w:rsidRPr="00C014E3">
        <w:rPr>
          <w:sz w:val="24"/>
          <w:lang w:val="lt-LT"/>
        </w:rPr>
        <w:tab/>
      </w:r>
      <w:r w:rsidRPr="00C014E3">
        <w:rPr>
          <w:sz w:val="24"/>
          <w:lang w:val="lt-LT"/>
        </w:rPr>
        <w:t xml:space="preserve">OL C, C/2025/3734, 2025 9 17, ELI: </w:t>
      </w:r>
      <w:hyperlink r:id="rId3" w:history="1">
        <w:r w:rsidRPr="00C014E3">
          <w:rPr>
            <w:rStyle w:val="Hyperlink"/>
            <w:sz w:val="24"/>
            <w:lang w:val="lt-LT"/>
          </w:rPr>
          <w:t>http://data.europa.eu/eli/C/2025/3734/oj</w:t>
        </w:r>
      </w:hyperlink>
      <w:r w:rsidRPr="00C014E3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BDC9" w14:textId="77777777" w:rsidR="00064002" w:rsidRPr="00C014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82C6" w14:textId="77777777" w:rsidR="00064002" w:rsidRPr="00C014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7426" w14:textId="77777777" w:rsidR="00064002" w:rsidRPr="00C014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7471366">
    <w:abstractNumId w:val="9"/>
  </w:num>
  <w:num w:numId="2" w16cid:durableId="2066951409">
    <w:abstractNumId w:val="9"/>
  </w:num>
  <w:num w:numId="3" w16cid:durableId="1869874581">
    <w:abstractNumId w:val="7"/>
  </w:num>
  <w:num w:numId="4" w16cid:durableId="1294602859">
    <w:abstractNumId w:val="7"/>
  </w:num>
  <w:num w:numId="5" w16cid:durableId="366443337">
    <w:abstractNumId w:val="6"/>
  </w:num>
  <w:num w:numId="6" w16cid:durableId="1877622581">
    <w:abstractNumId w:val="6"/>
  </w:num>
  <w:num w:numId="7" w16cid:durableId="2088847143">
    <w:abstractNumId w:val="5"/>
  </w:num>
  <w:num w:numId="8" w16cid:durableId="675114474">
    <w:abstractNumId w:val="5"/>
  </w:num>
  <w:num w:numId="9" w16cid:durableId="553851677">
    <w:abstractNumId w:val="4"/>
  </w:num>
  <w:num w:numId="10" w16cid:durableId="466779532">
    <w:abstractNumId w:val="4"/>
  </w:num>
  <w:num w:numId="11" w16cid:durableId="819424462">
    <w:abstractNumId w:val="8"/>
  </w:num>
  <w:num w:numId="12" w16cid:durableId="154417516">
    <w:abstractNumId w:val="8"/>
  </w:num>
  <w:num w:numId="13" w16cid:durableId="503590771">
    <w:abstractNumId w:val="3"/>
  </w:num>
  <w:num w:numId="14" w16cid:durableId="2125884426">
    <w:abstractNumId w:val="3"/>
  </w:num>
  <w:num w:numId="15" w16cid:durableId="82068662">
    <w:abstractNumId w:val="2"/>
  </w:num>
  <w:num w:numId="16" w16cid:durableId="1255286888">
    <w:abstractNumId w:val="2"/>
  </w:num>
  <w:num w:numId="17" w16cid:durableId="1780754390">
    <w:abstractNumId w:val="1"/>
  </w:num>
  <w:num w:numId="18" w16cid:durableId="1249273659">
    <w:abstractNumId w:val="1"/>
  </w:num>
  <w:num w:numId="19" w16cid:durableId="967204367">
    <w:abstractNumId w:val="0"/>
  </w:num>
  <w:num w:numId="20" w16cid:durableId="1138642267">
    <w:abstractNumId w:val="0"/>
  </w:num>
  <w:num w:numId="21" w16cid:durableId="1321736684">
    <w:abstractNumId w:val="9"/>
  </w:num>
  <w:num w:numId="22" w16cid:durableId="1535073855">
    <w:abstractNumId w:val="7"/>
  </w:num>
  <w:num w:numId="23" w16cid:durableId="744499895">
    <w:abstractNumId w:val="6"/>
  </w:num>
  <w:num w:numId="24" w16cid:durableId="688525127">
    <w:abstractNumId w:val="5"/>
  </w:num>
  <w:num w:numId="25" w16cid:durableId="518010671">
    <w:abstractNumId w:val="4"/>
  </w:num>
  <w:num w:numId="26" w16cid:durableId="1487935188">
    <w:abstractNumId w:val="8"/>
  </w:num>
  <w:num w:numId="27" w16cid:durableId="504132999">
    <w:abstractNumId w:val="3"/>
  </w:num>
  <w:num w:numId="28" w16cid:durableId="456918750">
    <w:abstractNumId w:val="2"/>
  </w:num>
  <w:num w:numId="29" w16cid:durableId="1693654464">
    <w:abstractNumId w:val="1"/>
  </w:num>
  <w:num w:numId="30" w16cid:durableId="808329539">
    <w:abstractNumId w:val="0"/>
  </w:num>
  <w:num w:numId="31" w16cid:durableId="1725909825">
    <w:abstractNumId w:val="9"/>
  </w:num>
  <w:num w:numId="32" w16cid:durableId="1819955104">
    <w:abstractNumId w:val="7"/>
  </w:num>
  <w:num w:numId="33" w16cid:durableId="730274422">
    <w:abstractNumId w:val="6"/>
  </w:num>
  <w:num w:numId="34" w16cid:durableId="2113428842">
    <w:abstractNumId w:val="5"/>
  </w:num>
  <w:num w:numId="35" w16cid:durableId="1717587734">
    <w:abstractNumId w:val="4"/>
  </w:num>
  <w:num w:numId="36" w16cid:durableId="1921868984">
    <w:abstractNumId w:val="8"/>
  </w:num>
  <w:num w:numId="37" w16cid:durableId="1609004686">
    <w:abstractNumId w:val="3"/>
  </w:num>
  <w:num w:numId="38" w16cid:durableId="1885629281">
    <w:abstractNumId w:val="2"/>
  </w:num>
  <w:num w:numId="39" w16cid:durableId="539441344">
    <w:abstractNumId w:val="1"/>
  </w:num>
  <w:num w:numId="40" w16cid:durableId="426776047">
    <w:abstractNumId w:val="0"/>
  </w:num>
  <w:num w:numId="41" w16cid:durableId="2122532289">
    <w:abstractNumId w:val="10"/>
  </w:num>
  <w:num w:numId="42" w16cid:durableId="1596210636">
    <w:abstractNumId w:val="10"/>
  </w:num>
  <w:num w:numId="43" w16cid:durableId="1559128373">
    <w:abstractNumId w:val="10"/>
  </w:num>
  <w:num w:numId="44" w16cid:durableId="1626812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LT"/>
    <w:docVar w:name="dvnumam" w:val="0"/>
    <w:docVar w:name="dvpe" w:val="778.296"/>
    <w:docVar w:name="dvrapporteur" w:val="Pranešėjas: "/>
    <w:docVar w:name="dvstar" w:val="***II"/>
    <w:docVar w:name="dvtitre" w:val="Europos Parlamento teisėkūros rezoliucija dėl per pirmąjį svarstymą priimtos Tarybos pozicijos siekiant priimti Europos Parlamento ir Tarybos reglamentą dėl plastiko granulių patekimo į aplinką prevencijos siekiant mažinti taršą mikroplastiku(09047/1/2025 – C10-0234/2025 – 2023/0373(COD))"/>
  </w:docVars>
  <w:rsids>
    <w:rsidRoot w:val="007A7A75"/>
    <w:rsid w:val="00002272"/>
    <w:rsid w:val="00064002"/>
    <w:rsid w:val="000677B9"/>
    <w:rsid w:val="000831BA"/>
    <w:rsid w:val="000A42CC"/>
    <w:rsid w:val="000E292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799"/>
    <w:rsid w:val="005C2568"/>
    <w:rsid w:val="005E1C70"/>
    <w:rsid w:val="005F1B17"/>
    <w:rsid w:val="006037C0"/>
    <w:rsid w:val="006631B6"/>
    <w:rsid w:val="00680577"/>
    <w:rsid w:val="006F5253"/>
    <w:rsid w:val="006F74FA"/>
    <w:rsid w:val="00731ADD"/>
    <w:rsid w:val="00734777"/>
    <w:rsid w:val="00746E62"/>
    <w:rsid w:val="00747932"/>
    <w:rsid w:val="00751A4A"/>
    <w:rsid w:val="00756632"/>
    <w:rsid w:val="00762C74"/>
    <w:rsid w:val="00786EC0"/>
    <w:rsid w:val="007A7A7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4E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E0A"/>
    <w:rsid w:val="00E257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797BE"/>
  <w15:chartTrackingRefBased/>
  <w15:docId w15:val="{97FB2E86-44CE-422D-927C-C7991C5F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1C70"/>
    <w:pPr>
      <w:spacing w:before="480" w:after="240"/>
    </w:pPr>
  </w:style>
  <w:style w:type="paragraph" w:customStyle="1" w:styleId="NormalBold">
    <w:name w:val="NormalBold"/>
    <w:basedOn w:val="Normal"/>
    <w:rsid w:val="005E1C70"/>
    <w:rPr>
      <w:b/>
    </w:rPr>
  </w:style>
  <w:style w:type="paragraph" w:customStyle="1" w:styleId="NormalHanging12a">
    <w:name w:val="NormalHanging12a"/>
    <w:basedOn w:val="Normal"/>
    <w:rsid w:val="005E1C70"/>
    <w:pPr>
      <w:spacing w:after="240"/>
      <w:ind w:left="567" w:hanging="567"/>
    </w:pPr>
  </w:style>
  <w:style w:type="character" w:styleId="Hyperlink">
    <w:name w:val="Hyperlink"/>
    <w:basedOn w:val="DefaultParagraphFont"/>
    <w:rsid w:val="005E1C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2025-10-23T10:41:00Z</dcterms:created>
  <dcterms:modified xsi:type="dcterms:W3CDTF">2025-10-23T10:41:00Z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