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B75" w14:paraId="742FCD20" w14:textId="77777777" w:rsidTr="0010095E">
        <w:trPr>
          <w:trHeight w:hRule="exact" w:val="1418"/>
        </w:trPr>
        <w:tc>
          <w:tcPr>
            <w:tcW w:w="6804" w:type="dxa"/>
            <w:shd w:val="clear" w:color="auto" w:fill="auto"/>
            <w:vAlign w:val="center"/>
          </w:tcPr>
          <w:p w14:paraId="01A7F52B" w14:textId="77777777" w:rsidR="00751A4A" w:rsidRPr="009F3B75" w:rsidRDefault="00635B2A" w:rsidP="0010095E">
            <w:pPr>
              <w:pStyle w:val="EPName"/>
            </w:pPr>
            <w:r w:rsidRPr="009F3B75">
              <w:t>Evropský parlament</w:t>
            </w:r>
          </w:p>
          <w:p w14:paraId="237521E7" w14:textId="77777777" w:rsidR="00751A4A" w:rsidRPr="009F3B75" w:rsidRDefault="005F1B17" w:rsidP="005F1B17">
            <w:pPr>
              <w:pStyle w:val="EPTerm"/>
              <w:rPr>
                <w:rStyle w:val="HideTWBExt"/>
                <w:noProof w:val="0"/>
                <w:vanish w:val="0"/>
                <w:color w:val="auto"/>
              </w:rPr>
            </w:pPr>
            <w:r w:rsidRPr="009F3B75">
              <w:t>2024</w:t>
            </w:r>
            <w:r w:rsidR="00817416" w:rsidRPr="009F3B75">
              <w:t>-202</w:t>
            </w:r>
            <w:r w:rsidRPr="009F3B75">
              <w:t>9</w:t>
            </w:r>
          </w:p>
        </w:tc>
        <w:tc>
          <w:tcPr>
            <w:tcW w:w="2268" w:type="dxa"/>
            <w:shd w:val="clear" w:color="auto" w:fill="auto"/>
          </w:tcPr>
          <w:p w14:paraId="5FA265FF" w14:textId="77777777" w:rsidR="00751A4A" w:rsidRPr="009F3B75" w:rsidRDefault="00187494" w:rsidP="0010095E">
            <w:pPr>
              <w:pStyle w:val="EPLogo"/>
            </w:pPr>
            <w:r w:rsidRPr="009F3B75">
              <w:rPr>
                <w:noProof/>
                <w:lang w:eastAsia="ja-JP"/>
              </w:rPr>
              <w:drawing>
                <wp:inline distT="0" distB="0" distL="0" distR="0" wp14:anchorId="5449E48D" wp14:editId="31D1E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DD32EB" w14:textId="77777777" w:rsidR="00D058B8" w:rsidRPr="009F3B75" w:rsidRDefault="00D058B8" w:rsidP="004C5D52">
      <w:pPr>
        <w:pStyle w:val="LineTop"/>
      </w:pPr>
    </w:p>
    <w:p w14:paraId="08F7499A" w14:textId="77777777" w:rsidR="00680577" w:rsidRPr="009F3B75" w:rsidRDefault="00635B2A" w:rsidP="00680577">
      <w:pPr>
        <w:pStyle w:val="EPBodyTA1"/>
      </w:pPr>
      <w:r w:rsidRPr="009F3B75">
        <w:t>PŘIJATÉ TEXTY</w:t>
      </w:r>
    </w:p>
    <w:p w14:paraId="11CF3F76" w14:textId="77777777" w:rsidR="00D058B8" w:rsidRPr="009F3B75" w:rsidRDefault="00D058B8" w:rsidP="00D058B8">
      <w:pPr>
        <w:pStyle w:val="LineBottom"/>
      </w:pPr>
    </w:p>
    <w:p w14:paraId="56C25347" w14:textId="3BAEDD02" w:rsidR="00635B2A" w:rsidRPr="009F3B75" w:rsidRDefault="00635B2A" w:rsidP="00635B2A">
      <w:pPr>
        <w:pStyle w:val="ATHeading1"/>
      </w:pPr>
      <w:bookmarkStart w:id="0" w:name="TANumber"/>
      <w:r w:rsidRPr="009F3B75">
        <w:t>P10_TA(2025)0</w:t>
      </w:r>
      <w:bookmarkEnd w:id="0"/>
      <w:r w:rsidR="00DE7C4F">
        <w:t>254</w:t>
      </w:r>
    </w:p>
    <w:p w14:paraId="7801BA95" w14:textId="77777777" w:rsidR="00635B2A" w:rsidRPr="009F3B75" w:rsidRDefault="00635B2A" w:rsidP="00635B2A">
      <w:pPr>
        <w:pStyle w:val="ATHeading2"/>
      </w:pPr>
      <w:bookmarkStart w:id="1" w:name="title"/>
      <w:r w:rsidRPr="009F3B75">
        <w:t>Konference OSN o změně klimatu 2025, Belém, Brazílie (COP30)</w:t>
      </w:r>
      <w:bookmarkEnd w:id="1"/>
    </w:p>
    <w:p w14:paraId="755FE6A1" w14:textId="77777777" w:rsidR="00635B2A" w:rsidRPr="009F3B75" w:rsidRDefault="00635B2A" w:rsidP="00635B2A">
      <w:pPr>
        <w:rPr>
          <w:i/>
          <w:vanish/>
        </w:rPr>
      </w:pPr>
      <w:r w:rsidRPr="009F3B75">
        <w:rPr>
          <w:i/>
        </w:rPr>
        <w:fldChar w:fldCharType="begin"/>
      </w:r>
      <w:r w:rsidRPr="009F3B75">
        <w:rPr>
          <w:i/>
        </w:rPr>
        <w:instrText xml:space="preserve"> TC"(</w:instrText>
      </w:r>
      <w:bookmarkStart w:id="2" w:name="DocNumber"/>
      <w:r w:rsidRPr="009F3B75">
        <w:rPr>
          <w:i/>
        </w:rPr>
        <w:instrText>B10-0445/2025</w:instrText>
      </w:r>
      <w:bookmarkEnd w:id="2"/>
      <w:r w:rsidRPr="009F3B75">
        <w:rPr>
          <w:i/>
        </w:rPr>
        <w:instrText xml:space="preserve">)"\l3 \n&gt; \* MERGEFORMAT </w:instrText>
      </w:r>
      <w:r w:rsidRPr="009F3B75">
        <w:rPr>
          <w:i/>
        </w:rPr>
        <w:fldChar w:fldCharType="end"/>
      </w:r>
    </w:p>
    <w:p w14:paraId="7B1F9C1B" w14:textId="77777777" w:rsidR="00635B2A" w:rsidRPr="009F3B75" w:rsidRDefault="00635B2A" w:rsidP="00635B2A">
      <w:pPr>
        <w:rPr>
          <w:vanish/>
        </w:rPr>
      </w:pPr>
      <w:bookmarkStart w:id="3" w:name="PE"/>
      <w:r w:rsidRPr="009F3B75">
        <w:rPr>
          <w:vanish/>
        </w:rPr>
        <w:t>PE772.168</w:t>
      </w:r>
      <w:bookmarkEnd w:id="3"/>
    </w:p>
    <w:p w14:paraId="06B4AE20" w14:textId="6E5556BF" w:rsidR="00635B2A" w:rsidRPr="009F3B75" w:rsidRDefault="00635B2A" w:rsidP="00635B2A">
      <w:pPr>
        <w:pStyle w:val="ATHeading3"/>
      </w:pPr>
      <w:bookmarkStart w:id="4" w:name="Sujet"/>
      <w:r w:rsidRPr="009F3B75">
        <w:t>Usnesení Evropského parlamentu ze dne</w:t>
      </w:r>
      <w:r w:rsidR="003F3466">
        <w:t xml:space="preserve"> 2</w:t>
      </w:r>
      <w:r w:rsidR="00717B6D">
        <w:t>3</w:t>
      </w:r>
      <w:r w:rsidR="003F3466">
        <w:t>. října</w:t>
      </w:r>
      <w:r w:rsidRPr="009F3B75">
        <w:t xml:space="preserve"> 2025 o Konferenci OSN o změně klimatu konané v roce 2025 v brazilském Belému (COP30)</w:t>
      </w:r>
      <w:bookmarkEnd w:id="4"/>
      <w:r w:rsidRPr="009F3B75">
        <w:t xml:space="preserve"> </w:t>
      </w:r>
      <w:bookmarkStart w:id="5" w:name="References"/>
      <w:r w:rsidRPr="009F3B75">
        <w:t>(2025/2666(RSP))</w:t>
      </w:r>
      <w:bookmarkEnd w:id="5"/>
    </w:p>
    <w:p w14:paraId="36DE102E" w14:textId="77777777" w:rsidR="00514785" w:rsidRPr="009F3B75" w:rsidRDefault="00514785" w:rsidP="00514785">
      <w:pPr>
        <w:pStyle w:val="EPComma"/>
      </w:pPr>
      <w:bookmarkStart w:id="6" w:name="TextBodyBegin"/>
      <w:bookmarkEnd w:id="6"/>
      <w:r w:rsidRPr="009F3B75">
        <w:rPr>
          <w:i/>
        </w:rPr>
        <w:t>Evropský parlament</w:t>
      </w:r>
      <w:r w:rsidRPr="009F3B75">
        <w:t>,</w:t>
      </w:r>
    </w:p>
    <w:p w14:paraId="001F78FA" w14:textId="77777777" w:rsidR="00514785" w:rsidRPr="009F3B75" w:rsidRDefault="00514785" w:rsidP="00514785">
      <w:pPr>
        <w:pStyle w:val="NormalHanging12a"/>
      </w:pPr>
      <w:r w:rsidRPr="009F3B75">
        <w:t>–</w:t>
      </w:r>
      <w:r w:rsidRPr="009F3B75">
        <w:tab/>
        <w:t>s ohledem na Rámcovou úmluvu Organizace spojených národů o změně klimatu (UNFCCC) a na Kjótský protokol k této úmluvě,</w:t>
      </w:r>
    </w:p>
    <w:p w14:paraId="5270AE24" w14:textId="77777777" w:rsidR="00514785" w:rsidRPr="009F3B75" w:rsidRDefault="00514785" w:rsidP="00514785">
      <w:pPr>
        <w:pStyle w:val="NormalHanging12a"/>
      </w:pPr>
      <w:r w:rsidRPr="009F3B75">
        <w:t>–</w:t>
      </w:r>
      <w:r w:rsidRPr="009F3B75">
        <w:tab/>
        <w:t>s ohledem na dohodu přijatou dne 12. prosince 2015 na 21. zasedání konference smluvních stran Rámcové úmluvy OSN o změně klimatu (COP21) v Paříži (Pařížská dohoda),</w:t>
      </w:r>
    </w:p>
    <w:p w14:paraId="47D57212" w14:textId="77777777" w:rsidR="00514785" w:rsidRPr="009F3B75" w:rsidRDefault="00514785" w:rsidP="00514785">
      <w:pPr>
        <w:pStyle w:val="NormalHanging12a"/>
      </w:pPr>
      <w:r w:rsidRPr="009F3B75">
        <w:t>–</w:t>
      </w:r>
      <w:r w:rsidRPr="009F3B75">
        <w:tab/>
        <w:t>s ohledem na 29. konferenci smluvních stran UNFCCC (COP29), na 19. zasedání konference smluvních stran jednající jako shromáždění smluvních stran Kjótského protokolu (CMP 19), na šesté zasedání konference smluvních stran sloužící jako zasedání smluvních stran Pařížské dohody (CMA 6) a na Glasgowský klimatický pakt přijatý dne 13. listopadu 2021 na 26. konferenci smluvních stran UNFCCC (COP26) v Glasgow,</w:t>
      </w:r>
    </w:p>
    <w:p w14:paraId="62860057" w14:textId="77777777" w:rsidR="00514785" w:rsidRPr="009F3B75" w:rsidRDefault="00514785" w:rsidP="00514785">
      <w:pPr>
        <w:pStyle w:val="NormalHanging12a"/>
      </w:pPr>
      <w:r w:rsidRPr="009F3B75">
        <w:t>–</w:t>
      </w:r>
      <w:r w:rsidRPr="009F3B75">
        <w:tab/>
        <w:t>s ohledem na dohodu uzavřenou na 27. konferenci smluvních stran UNFCCC (COP27) o vytvoření zvláštního fondu pro kompenzaci ztrát a škod, na zřízení přechodného výboru zaměřeného na zahájení fungování nových mechanismů financování umožňujících reagovat na ztráty a škody na 28. konferenci smluvních stran UNFCCC (COP28) a na Santiagskou síť pro kompenzaci ztrát a škod,</w:t>
      </w:r>
    </w:p>
    <w:p w14:paraId="49C807B6" w14:textId="77777777" w:rsidR="00514785" w:rsidRPr="009F3B75" w:rsidRDefault="00514785" w:rsidP="00514785">
      <w:pPr>
        <w:pStyle w:val="NormalHanging12a"/>
      </w:pPr>
      <w:r w:rsidRPr="009F3B75">
        <w:t>–</w:t>
      </w:r>
      <w:r w:rsidRPr="009F3B75">
        <w:tab/>
        <w:t>s ohledem na své usnesení ze dne 14. listopadu 2024 o Konferenci OSN o změně klimatu konané v roce 2024 v ázerbájdžánském Baku (COP29)</w:t>
      </w:r>
      <w:r w:rsidRPr="009F3B75">
        <w:rPr>
          <w:vertAlign w:val="superscript"/>
        </w:rPr>
        <w:footnoteReference w:id="1"/>
      </w:r>
      <w:r w:rsidRPr="009F3B75">
        <w:t>,</w:t>
      </w:r>
    </w:p>
    <w:p w14:paraId="19DC9F7F" w14:textId="77777777" w:rsidR="00514785" w:rsidRPr="009F3B75" w:rsidRDefault="00514785" w:rsidP="00514785">
      <w:pPr>
        <w:pStyle w:val="NormalHanging12a"/>
      </w:pPr>
      <w:r w:rsidRPr="009F3B75">
        <w:t>–</w:t>
      </w:r>
      <w:r w:rsidRPr="009F3B75">
        <w:tab/>
        <w:t>s ohledem na dohodu uzavřenou na konferenci COP29 o novém kolektivním kvantifikovaném cíli (NCQG) pro financování opatření v oblasti klimatu a cíli ztrojnásobit financování pro rozvojové země na 300 miliard USD ročně do roku 2035 a zajistit úsilí všech aktérů spolupracovat s cílem zvýšit financování pro rozvojové země z veřejných a soukromých zdrojů na 1,3 bilionu USD ročně do roku 2035,</w:t>
      </w:r>
    </w:p>
    <w:p w14:paraId="3FDF7E77" w14:textId="77777777" w:rsidR="00514785" w:rsidRPr="009F3B75" w:rsidRDefault="00514785" w:rsidP="00514785">
      <w:pPr>
        <w:pStyle w:val="NormalHanging12a"/>
      </w:pPr>
      <w:r w:rsidRPr="009F3B75">
        <w:lastRenderedPageBreak/>
        <w:t>–</w:t>
      </w:r>
      <w:r w:rsidRPr="009F3B75">
        <w:tab/>
        <w:t>s ohledem na Agendu OSN pro udržitelný rozvoj 2030 a na cíle udržitelného rozvoje,</w:t>
      </w:r>
    </w:p>
    <w:p w14:paraId="7C035EF6" w14:textId="77777777" w:rsidR="00514785" w:rsidRPr="009F3B75" w:rsidRDefault="00514785" w:rsidP="00514785">
      <w:pPr>
        <w:pStyle w:val="NormalHanging12a"/>
      </w:pPr>
      <w:r w:rsidRPr="009F3B75">
        <w:t>–</w:t>
      </w:r>
      <w:r w:rsidRPr="009F3B75">
        <w:tab/>
        <w:t>s ohledem na své usnesení ze dne 9. července 2025 o provádění a plnění cílů udržitelného rozvoje s ohledem na politické fórum na vysoké úrovni v roce 2025</w:t>
      </w:r>
      <w:r w:rsidRPr="009F3B75">
        <w:rPr>
          <w:vertAlign w:val="superscript"/>
        </w:rPr>
        <w:footnoteReference w:id="2"/>
      </w:r>
      <w:r w:rsidRPr="009F3B75">
        <w:t>,</w:t>
      </w:r>
    </w:p>
    <w:p w14:paraId="285F0B5D" w14:textId="77777777" w:rsidR="00514785" w:rsidRPr="009F3B75" w:rsidRDefault="00514785" w:rsidP="00514785">
      <w:pPr>
        <w:pStyle w:val="NormalHanging12a"/>
      </w:pPr>
      <w:r w:rsidRPr="009F3B75">
        <w:t xml:space="preserve">– </w:t>
      </w:r>
      <w:r w:rsidRPr="009F3B75">
        <w:tab/>
        <w:t>s ohledem na zvláštní zprávu Mezivládního panelu pro změnu klimatu (IPCC) z roku 2018 o dopadech globálního oteplování o 1,5 °C oproti hodnotám před průmyslovou revolucí, jeho zvláštní zprávu o změně klimatu a půdě, zvláštní zprávu o oceánech a kryosféře v měnícím se klimatu a jeho šestou hodnotící zprávu (AR6),</w:t>
      </w:r>
    </w:p>
    <w:p w14:paraId="6143BC56" w14:textId="77777777" w:rsidR="00514785" w:rsidRPr="009F3B75" w:rsidRDefault="00514785" w:rsidP="00514785">
      <w:pPr>
        <w:pStyle w:val="NormalHanging12a"/>
      </w:pPr>
      <w:r w:rsidRPr="009F3B75">
        <w:t>–</w:t>
      </w:r>
      <w:r w:rsidRPr="009F3B75">
        <w:tab/>
        <w:t>s ohledem na souhrnnou zprávu UNFCCC o vnitrostátně stanovených příspěvcích podle Pařížské dohody ze dne 28. října 2024,</w:t>
      </w:r>
    </w:p>
    <w:p w14:paraId="7E9D0901" w14:textId="77777777" w:rsidR="00514785" w:rsidRPr="009F3B75" w:rsidRDefault="00514785" w:rsidP="00514785">
      <w:pPr>
        <w:pStyle w:val="NormalHanging12a"/>
      </w:pPr>
      <w:r w:rsidRPr="009F3B75">
        <w:t>–</w:t>
      </w:r>
      <w:r w:rsidRPr="009F3B75">
        <w:tab/>
        <w:t>s ohledem na zprávu Světové meteorologické organizace (WMO) ze dne 19. března 2025 nazvanou „Stav globálního klimatu v roce 2024“,</w:t>
      </w:r>
    </w:p>
    <w:p w14:paraId="696F5C6E" w14:textId="77777777" w:rsidR="00514785" w:rsidRPr="009F3B75" w:rsidRDefault="00514785" w:rsidP="00514785">
      <w:pPr>
        <w:pStyle w:val="NormalHanging12a"/>
      </w:pPr>
      <w:r w:rsidRPr="009F3B75">
        <w:t>–</w:t>
      </w:r>
      <w:r w:rsidRPr="009F3B75">
        <w:tab/>
        <w:t>s ohledem na zprávu o stavu klimatu v Evropě ze dne 15. dubna 2025, kterou sestavila služba programu Copernicus pro změnu klimatu a WMO,</w:t>
      </w:r>
    </w:p>
    <w:p w14:paraId="7039C58B" w14:textId="77777777" w:rsidR="00514785" w:rsidRPr="009F3B75" w:rsidRDefault="00514785" w:rsidP="00514785">
      <w:pPr>
        <w:pStyle w:val="NormalHanging12a"/>
      </w:pPr>
      <w:r w:rsidRPr="009F3B75">
        <w:t>–</w:t>
      </w:r>
      <w:r w:rsidRPr="009F3B75">
        <w:tab/>
        <w:t>s ohledem na zprávu Programu OSN pro životní prostředí (UNEP) o nedostatečném úsilí při snižování emisí za rok 2024, uveřejněnou dne 24. října 2024,</w:t>
      </w:r>
    </w:p>
    <w:p w14:paraId="735C60AD" w14:textId="77777777" w:rsidR="00514785" w:rsidRPr="009F3B75" w:rsidRDefault="00514785" w:rsidP="00514785">
      <w:pPr>
        <w:pStyle w:val="NormalHanging12a"/>
      </w:pPr>
      <w:r w:rsidRPr="009F3B75">
        <w:t>–</w:t>
      </w:r>
      <w:r w:rsidRPr="009F3B75">
        <w:tab/>
        <w:t>s ohledem na sdělení Komise ze dne 11. prosince 2019 nazvané „Zelená dohoda pro Evropu“ (COM(2019)0640),</w:t>
      </w:r>
    </w:p>
    <w:p w14:paraId="39F5BE5D" w14:textId="77777777" w:rsidR="00514785" w:rsidRPr="009F3B75" w:rsidRDefault="00514785" w:rsidP="00514785">
      <w:pPr>
        <w:pStyle w:val="NormalHanging12a"/>
      </w:pPr>
      <w:r w:rsidRPr="009F3B75">
        <w:t>–</w:t>
      </w:r>
      <w:r w:rsidRPr="009F3B75">
        <w:tab/>
        <w:t>s ohledem na sdělení Komise ze dne 26. února 2025 nazvané „Sdělení o Dohodě o čistém průmyslu: společný plán konkurenceschopnosti a dekarbonizace“ (COM(2025)0085),</w:t>
      </w:r>
    </w:p>
    <w:p w14:paraId="2394D6D2" w14:textId="77777777" w:rsidR="00514785" w:rsidRPr="009F3B75" w:rsidRDefault="00514785" w:rsidP="00514785">
      <w:pPr>
        <w:pStyle w:val="NormalHanging12a"/>
      </w:pPr>
      <w:r w:rsidRPr="009F3B75">
        <w:t>–</w:t>
      </w:r>
      <w:r w:rsidRPr="009F3B75">
        <w:tab/>
        <w:t>s ohledem na právní předpisy EU, které transformují cíle EU, totiž snížit do roku 2030 čisté emise ve srovnání s úrovní z roku 1990 nejméně o 55 % a dosáhnout závazného cíle EU v oblasti klimatické neutrality do roku 2050 (balíček „Fit for 55“), do konkrétních politických opatření v nejrůznějších odvětvích,</w:t>
      </w:r>
    </w:p>
    <w:p w14:paraId="2001F262" w14:textId="77777777" w:rsidR="00514785" w:rsidRPr="009F3B75" w:rsidRDefault="00514785" w:rsidP="00514785">
      <w:pPr>
        <w:pStyle w:val="NormalHanging12a"/>
        <w:rPr>
          <w:i/>
        </w:rPr>
      </w:pPr>
      <w:r w:rsidRPr="009F3B75">
        <w:t>–</w:t>
      </w:r>
      <w:r w:rsidRPr="009F3B75">
        <w:tab/>
        <w:t>s ohledem na rozhodnutí Evropského parlamentu a Rady (EU) 2022/591 ze dne 6. dubna 2022 o všeobecném akčním programu Unie pro životní prostředí na období do roku 2030</w:t>
      </w:r>
      <w:r w:rsidRPr="009F3B75">
        <w:rPr>
          <w:vertAlign w:val="superscript"/>
        </w:rPr>
        <w:footnoteReference w:id="3"/>
      </w:r>
      <w:r w:rsidRPr="009F3B75">
        <w:t>, na zprávu Evropské agentury pro životní prostředí ze dne 20. února 2025, která monitoruje pokrok při plnění cílů 8. akčního programu pro životní prostředí, a zprávu Evropské komise ze dne 13. března 2024 o přezkumu v polovině období týkajícího se 8. akčního programu pro životní prostředí (COM(2024)0123),</w:t>
      </w:r>
    </w:p>
    <w:p w14:paraId="05BC6702" w14:textId="77777777" w:rsidR="00514785" w:rsidRPr="009F3B75" w:rsidRDefault="00514785" w:rsidP="00514785">
      <w:pPr>
        <w:pStyle w:val="NormalHanging12a"/>
      </w:pPr>
      <w:r w:rsidRPr="009F3B75">
        <w:t>–</w:t>
      </w:r>
      <w:r w:rsidRPr="009F3B75">
        <w:tab/>
        <w:t>s ohledem na své usnesení ze dne 28. listopadu 2019 o stavu klimatické a environmentální nouze</w:t>
      </w:r>
      <w:r w:rsidRPr="009F3B75">
        <w:rPr>
          <w:vertAlign w:val="superscript"/>
        </w:rPr>
        <w:footnoteReference w:id="4"/>
      </w:r>
      <w:r w:rsidRPr="009F3B75">
        <w:t>,</w:t>
      </w:r>
    </w:p>
    <w:p w14:paraId="27C85D31" w14:textId="77777777" w:rsidR="00514785" w:rsidRPr="009F3B75" w:rsidRDefault="00514785" w:rsidP="00514785">
      <w:pPr>
        <w:pStyle w:val="NormalHanging12a"/>
      </w:pPr>
      <w:r w:rsidRPr="009F3B75">
        <w:t>–</w:t>
      </w:r>
      <w:r w:rsidRPr="009F3B75">
        <w:tab/>
        <w:t>s ohledem na sdělení Komise ze dne 6. února 2024 nazvané „Zajištění naší budoucnosti – Klimatický cíl pro Evropu na rok 2040 a cesta ke klimatické neutralitě do roku 2050 vybudováním udržitelné, spravedlivé a prosperující společnosti“ (COM(2024)0063),</w:t>
      </w:r>
    </w:p>
    <w:p w14:paraId="4CABF3BF" w14:textId="77777777" w:rsidR="00514785" w:rsidRPr="009F3B75" w:rsidRDefault="00514785" w:rsidP="00514785">
      <w:pPr>
        <w:pStyle w:val="NormalHanging12a"/>
      </w:pPr>
      <w:r w:rsidRPr="009F3B75">
        <w:lastRenderedPageBreak/>
        <w:t>–</w:t>
      </w:r>
      <w:r w:rsidRPr="009F3B75">
        <w:tab/>
        <w:t>s ohledem na sdělení Komise ze dne 12. března 2024 nazvané „Řízení klimatických rizik – ochrana lidí a prosperity“ (COM(2024)0091),</w:t>
      </w:r>
    </w:p>
    <w:p w14:paraId="7BB2C325" w14:textId="77777777" w:rsidR="00514785" w:rsidRPr="009F3B75" w:rsidRDefault="00514785" w:rsidP="00514785">
      <w:pPr>
        <w:pStyle w:val="NormalHanging12a"/>
      </w:pPr>
      <w:r w:rsidRPr="009F3B75">
        <w:t>–</w:t>
      </w:r>
      <w:r w:rsidRPr="009F3B75">
        <w:tab/>
        <w:t>s ohledem na sdělení Komise ze dne 27. května 2025 nazvané „Celounijní posouzení konečných aktualizovaných vnitrostátních plánů v oblasti energetiky a klimatu – Plnění cílů Unie v oblasti energetiky a klimatu do roku 2030“ (COM(2025)0274),</w:t>
      </w:r>
    </w:p>
    <w:p w14:paraId="13F55DB4" w14:textId="77777777" w:rsidR="00514785" w:rsidRPr="009F3B75" w:rsidRDefault="00514785" w:rsidP="00514785">
      <w:pPr>
        <w:pStyle w:val="NormalHanging12a"/>
      </w:pPr>
      <w:r w:rsidRPr="009F3B75">
        <w:t>–</w:t>
      </w:r>
      <w:r w:rsidRPr="009F3B75">
        <w:tab/>
        <w:t>s ohledem na zprávu Evropské agentury pro životní prostředí ze dne 11. března 2024 nazvanou „Evropské posouzení rizik v oblasti klimatu“,</w:t>
      </w:r>
    </w:p>
    <w:p w14:paraId="47186E39" w14:textId="77777777" w:rsidR="00514785" w:rsidRPr="009F3B75" w:rsidRDefault="00514785" w:rsidP="00514785">
      <w:pPr>
        <w:pStyle w:val="NormalHanging12a"/>
      </w:pPr>
      <w:r w:rsidRPr="009F3B75">
        <w:t>–</w:t>
      </w:r>
      <w:r w:rsidRPr="009F3B75">
        <w:tab/>
        <w:t>s ohledem na zprávu Evropského vědeckého poradního výboru pro změnu klimatu ze dne 15. června 2023 s názvem „Scientific advice for the determination of an EU-wide 2040 climate target and a greenhouse gas budget for 2030–2050“ (Vědecké poradenství pro stanovení klimatického cíle pro celou EU na rok 2040 a rozpočtu emisí skleníkových plynů na období 2030–2050),</w:t>
      </w:r>
    </w:p>
    <w:p w14:paraId="0F496484" w14:textId="77777777" w:rsidR="00514785" w:rsidRPr="009F3B75" w:rsidRDefault="00514785" w:rsidP="00514785">
      <w:pPr>
        <w:pStyle w:val="NormalHanging12a"/>
      </w:pPr>
      <w:r w:rsidRPr="009F3B75">
        <w:t>–</w:t>
      </w:r>
      <w:r w:rsidRPr="009F3B75">
        <w:tab/>
        <w:t>s ohledem na zprávu Evropského vědeckého poradního výboru pro změnu klimatu ze dne 2. června 2025 nazvanou „Scientific advice for amending the European Climate Law – Setting climate goals to strengthen EU strategic priorities“ (Vědecké poradenství pro změnu evropského právního rámce pro klima – stanovení cílů v oblasti klimatu za účelem posílení strategických priorit EU),</w:t>
      </w:r>
    </w:p>
    <w:p w14:paraId="0DA1CD56" w14:textId="77777777" w:rsidR="00514785" w:rsidRPr="009F3B75" w:rsidRDefault="00514785" w:rsidP="00514785">
      <w:pPr>
        <w:pStyle w:val="NormalHanging12a"/>
      </w:pPr>
      <w:r w:rsidRPr="009F3B75">
        <w:t>–</w:t>
      </w:r>
      <w:r w:rsidRPr="009F3B75">
        <w:tab/>
        <w:t>s ohledem na společné sdělení Komise a vysoké představitelky Unie pro zahraniční věci a bezpečnostní politiku ze dne 28. června 2023 nazvané „Nový pohled na provázanost klimatu a bezpečnosti: Řešení dopadu změny klimatu a zhoršování životního prostředí na mír, bezpečnost a obranu“ (JOIN(2023)0019) a na společný pracovní dokument útvarů Komise a vysoké představitelky Unie pro zahraniční věci a bezpečnostní politiku ze dne 17. února 2025 nazvaný „Zpráva o pokroku při provádění společného sdělení – Nový pohled na provázanost klimatu a bezpečnosti“ (SWD(2025)0049),</w:t>
      </w:r>
    </w:p>
    <w:p w14:paraId="134F0442" w14:textId="77777777" w:rsidR="00514785" w:rsidRPr="009F3B75" w:rsidRDefault="00514785" w:rsidP="00514785">
      <w:pPr>
        <w:pStyle w:val="NormalHanging12a"/>
      </w:pPr>
      <w:r w:rsidRPr="009F3B75">
        <w:t>–</w:t>
      </w:r>
      <w:r w:rsidRPr="009F3B75">
        <w:tab/>
        <w:t>s ohledem na celosvětový rámec pro nakládání s chemickými látkami – pro planetu bez škodlivých účinků chemických látek a odpadů, který byl přijat na páté Mezinárodní konferenci o nakládání s chemickými látkami, uspořádané v rámci programu UNEP v září 2023,</w:t>
      </w:r>
    </w:p>
    <w:p w14:paraId="59630B4D" w14:textId="77777777" w:rsidR="00514785" w:rsidRPr="009F3B75" w:rsidRDefault="00514785" w:rsidP="00514785">
      <w:pPr>
        <w:pStyle w:val="NormalHanging12a"/>
      </w:pPr>
      <w:r w:rsidRPr="009F3B75">
        <w:t>–</w:t>
      </w:r>
      <w:r w:rsidRPr="009F3B75">
        <w:tab/>
        <w:t>s ohledem na celosvětový rámec pro biologickou rozmanitost z Kchun-mingu a Montréalu, který byl dohodnut v září 2022 na 15. zasedání konference smluvních stran Úmluvy OSN o biologické rozmanitosti (CBD COP15) a na 16. zasedání konference smluvních stran Úmluvy OSN o biologické rozmanitosti (CBD COP 16), které skončilo v únoru 2025,</w:t>
      </w:r>
    </w:p>
    <w:p w14:paraId="47B57312" w14:textId="77777777" w:rsidR="00514785" w:rsidRPr="009F3B75" w:rsidRDefault="00514785" w:rsidP="00514785">
      <w:pPr>
        <w:pStyle w:val="NormalHanging12a"/>
      </w:pPr>
      <w:r w:rsidRPr="009F3B75">
        <w:t>–</w:t>
      </w:r>
      <w:r w:rsidRPr="009F3B75">
        <w:tab/>
        <w:t>s ohledem na dohodu v rámci Úmluvy Organizace spojených národů o mořském právu o zachování a udržitelném využívání mořské biologické rozmanitosti v oblastech za hranicemi národní jurisdikce (dohoda o BBNJ nebo Úmluva o mořském právu) přijatou dne 19. června 2023,</w:t>
      </w:r>
    </w:p>
    <w:p w14:paraId="170C5B2C" w14:textId="77777777" w:rsidR="00514785" w:rsidRPr="009F3B75" w:rsidRDefault="00514785" w:rsidP="00514785">
      <w:pPr>
        <w:pStyle w:val="NormalHanging12a"/>
      </w:pPr>
      <w:r w:rsidRPr="009F3B75">
        <w:t>–</w:t>
      </w:r>
      <w:r w:rsidRPr="009F3B75">
        <w:tab/>
        <w:t>s ohledem na nařízení Evropského parlamentu a Rady (EU) 2024/1991 ze dne 24. června 2024 o obnově přírody a o změně nařízení (EU) 2022/869</w:t>
      </w:r>
      <w:r w:rsidRPr="009F3B75">
        <w:rPr>
          <w:rStyle w:val="FootnoteReference"/>
        </w:rPr>
        <w:footnoteReference w:id="5"/>
      </w:r>
      <w:r w:rsidRPr="009F3B75">
        <w:t xml:space="preserve"> („právní rámec pro obnovu přírody“),</w:t>
      </w:r>
    </w:p>
    <w:p w14:paraId="50127476" w14:textId="77777777" w:rsidR="00514785" w:rsidRPr="009F3B75" w:rsidRDefault="00514785" w:rsidP="00514785">
      <w:pPr>
        <w:pStyle w:val="NormalHanging12a"/>
      </w:pPr>
      <w:r w:rsidRPr="009F3B75">
        <w:lastRenderedPageBreak/>
        <w:t>–</w:t>
      </w:r>
      <w:r w:rsidRPr="009F3B75">
        <w:tab/>
        <w:t>s ohledem na svůj postoj ze dne 10. dubna 2024 o návrhu směrnice Evropského parlamentu a Rady o monitorování a odolnosti půdy</w:t>
      </w:r>
      <w:r w:rsidRPr="009F3B75">
        <w:rPr>
          <w:rStyle w:val="FootnoteReference"/>
        </w:rPr>
        <w:footnoteReference w:id="6"/>
      </w:r>
      <w:r w:rsidRPr="009F3B75">
        <w:t>,</w:t>
      </w:r>
    </w:p>
    <w:p w14:paraId="6F0AA5A9" w14:textId="77777777" w:rsidR="00514785" w:rsidRPr="009F3B75" w:rsidRDefault="00514785" w:rsidP="00514785">
      <w:pPr>
        <w:pStyle w:val="NormalHanging12a"/>
      </w:pPr>
      <w:r w:rsidRPr="009F3B75">
        <w:t>–</w:t>
      </w:r>
      <w:r w:rsidRPr="009F3B75">
        <w:tab/>
        <w:t>s ohledem na nařízení Evropského parlamentu a Rady (EU) 2024/3012 ze dne 27. listopadu 2024, kterým se zřizuje rámec Unie pro certifikaci trvalého pohlcování uhlíku, uhlíkového zemědělství a ukládání uhlíku do produktů</w:t>
      </w:r>
      <w:r w:rsidRPr="009F3B75">
        <w:rPr>
          <w:rStyle w:val="FootnoteReference"/>
        </w:rPr>
        <w:footnoteReference w:id="7"/>
      </w:r>
      <w:r w:rsidRPr="009F3B75">
        <w:t>,</w:t>
      </w:r>
    </w:p>
    <w:p w14:paraId="06823996" w14:textId="77777777" w:rsidR="00514785" w:rsidRPr="009F3B75" w:rsidRDefault="00514785" w:rsidP="00514785">
      <w:pPr>
        <w:pStyle w:val="NormalHanging12a"/>
        <w:rPr>
          <w:szCs w:val="24"/>
        </w:rPr>
      </w:pPr>
      <w:r w:rsidRPr="009F3B75">
        <w:t>–</w:t>
      </w:r>
      <w:r w:rsidRPr="009F3B75">
        <w:tab/>
        <w:t>s ohledem na nařízení Evropského parlamentu a Rady (EU) 2024/1787 ze dne 13. června 2024 o snižování emisí metanu v odvětví energetiky a o </w:t>
      </w:r>
      <w:r w:rsidRPr="009F3B75">
        <w:rPr>
          <w:color w:val="333333"/>
          <w:shd w:val="clear" w:color="auto" w:fill="FFFFFF"/>
        </w:rPr>
        <w:t>změně nařízení (EU) 2019/942</w:t>
      </w:r>
      <w:r w:rsidRPr="009F3B75">
        <w:rPr>
          <w:rStyle w:val="FootnoteReference"/>
          <w:bCs/>
          <w:color w:val="333333"/>
          <w:szCs w:val="24"/>
          <w:shd w:val="clear" w:color="auto" w:fill="FFFFFF"/>
        </w:rPr>
        <w:footnoteReference w:id="8"/>
      </w:r>
      <w:r w:rsidRPr="009F3B75">
        <w:t>,</w:t>
      </w:r>
    </w:p>
    <w:p w14:paraId="4CE7E644" w14:textId="77777777" w:rsidR="00514785" w:rsidRPr="009F3B75" w:rsidRDefault="00514785" w:rsidP="00514785">
      <w:pPr>
        <w:pStyle w:val="NormalHanging12a"/>
        <w:rPr>
          <w:b/>
          <w:i/>
        </w:rPr>
      </w:pPr>
      <w:r w:rsidRPr="009F3B75">
        <w:rPr>
          <w:b/>
          <w:i/>
        </w:rPr>
        <w:t>–</w:t>
      </w:r>
      <w:r w:rsidRPr="009F3B75">
        <w:rPr>
          <w:b/>
          <w:i/>
        </w:rPr>
        <w:tab/>
      </w:r>
      <w:r w:rsidRPr="009F3B75">
        <w:t>s ohledem na rezoluci Rady OSN pro lidská práva ze dne 12. července 2019 o lidských právech a změně klimatu (A/HRC/RES/41/21),</w:t>
      </w:r>
    </w:p>
    <w:p w14:paraId="77799012" w14:textId="77777777" w:rsidR="00514785" w:rsidRPr="009F3B75" w:rsidRDefault="00514785" w:rsidP="00514785">
      <w:pPr>
        <w:pStyle w:val="NormalHanging12a"/>
      </w:pPr>
      <w:r w:rsidRPr="009F3B75">
        <w:t>–</w:t>
      </w:r>
      <w:r w:rsidRPr="009F3B75">
        <w:tab/>
        <w:t>s ohledem na prohlášení o podpoře podmínek pro spravedlivou transformaci na mezinárodní úrovni ze dne 4. listopadu 2021, které bylo přijato na 26. konferenci smluvních stran (COP26),</w:t>
      </w:r>
    </w:p>
    <w:p w14:paraId="0D990CC9" w14:textId="77777777" w:rsidR="00514785" w:rsidRPr="009F3B75" w:rsidRDefault="00514785" w:rsidP="00514785">
      <w:pPr>
        <w:pStyle w:val="NormalHanging12a"/>
      </w:pPr>
      <w:r w:rsidRPr="009F3B75">
        <w:t>–</w:t>
      </w:r>
      <w:r w:rsidRPr="009F3B75">
        <w:tab/>
        <w:t>s ohledem na závěry Rady ze dne 10. října 2025 o financování opatření v oblasti klimatu s ohledem na 30. konferenci smluvních stran UNFCCC (COP30) v Belému,</w:t>
      </w:r>
    </w:p>
    <w:p w14:paraId="438C3371" w14:textId="0D041913" w:rsidR="00514785" w:rsidRPr="009F3B75" w:rsidRDefault="00514785" w:rsidP="00514785">
      <w:pPr>
        <w:pStyle w:val="NormalHanging12a"/>
      </w:pPr>
      <w:r w:rsidRPr="009F3B75">
        <w:t>–</w:t>
      </w:r>
      <w:r w:rsidRPr="009F3B75">
        <w:tab/>
        <w:t>s ohledem na otázky položené Komisi a Radě týkající se konference OSN o změně klimatu konané v roce 2025 v brazilském Belému (COP30) (O-000028/2025 – B10</w:t>
      </w:r>
      <w:r w:rsidRPr="009F3B75">
        <w:noBreakHyphen/>
        <w:t>00</w:t>
      </w:r>
      <w:r w:rsidR="00717B6D">
        <w:t>11</w:t>
      </w:r>
      <w:r w:rsidRPr="009F3B75">
        <w:t>/2025 and O-000029/2025 – B10</w:t>
      </w:r>
      <w:r w:rsidRPr="009F3B75">
        <w:noBreakHyphen/>
        <w:t>00</w:t>
      </w:r>
      <w:r w:rsidR="00717B6D">
        <w:t>12</w:t>
      </w:r>
      <w:r w:rsidRPr="009F3B75">
        <w:t>/2025),</w:t>
      </w:r>
    </w:p>
    <w:p w14:paraId="749E4745" w14:textId="77777777" w:rsidR="00514785" w:rsidRPr="009F3B75" w:rsidRDefault="00514785" w:rsidP="00514785">
      <w:pPr>
        <w:pStyle w:val="NormalHanging12a"/>
      </w:pPr>
      <w:r w:rsidRPr="009F3B75">
        <w:t>–</w:t>
      </w:r>
      <w:r w:rsidRPr="009F3B75">
        <w:tab/>
        <w:t>s ohledem na čl. 142 odst. 5 a čl. 136 odst. 2 jednacího řádu,</w:t>
      </w:r>
    </w:p>
    <w:p w14:paraId="77211E5F" w14:textId="77777777" w:rsidR="00514785" w:rsidRPr="009F3B75" w:rsidRDefault="00514785" w:rsidP="00514785">
      <w:pPr>
        <w:pStyle w:val="NormalHanging12a"/>
      </w:pPr>
      <w:r w:rsidRPr="009F3B75">
        <w:t>–</w:t>
      </w:r>
      <w:r w:rsidRPr="009F3B75">
        <w:tab/>
        <w:t>s ohledem na návrh usnesení Výboru pro životní prostředí, klima a bezpečnost potravin,</w:t>
      </w:r>
    </w:p>
    <w:p w14:paraId="4C97098A" w14:textId="77777777" w:rsidR="00514785" w:rsidRPr="009F3B75" w:rsidRDefault="00514785" w:rsidP="00514785">
      <w:pPr>
        <w:pStyle w:val="NormalHanging12a"/>
      </w:pPr>
      <w:r w:rsidRPr="009F3B75">
        <w:t>A.</w:t>
      </w:r>
      <w:r w:rsidRPr="009F3B75">
        <w:tab/>
        <w:t>vzhledem k tomu, že vyhlásil stav klimatické a environmentální nouze a zavázal se k urychlenému boji proti této hrozbě a k jejímu omezení; vzhledem k tomu, že z nedávno uveřejněných vědeckých studií</w:t>
      </w:r>
      <w:r w:rsidRPr="009F3B75">
        <w:rPr>
          <w:vertAlign w:val="superscript"/>
        </w:rPr>
        <w:footnoteReference w:id="9"/>
      </w:r>
      <w:r w:rsidRPr="009F3B75">
        <w:t xml:space="preserve"> vyplývá, že globální oteplování a zvyšování hladiny moří způsobené člověkem se postupuje ještě rychleji, než se dříve předpokládalo;</w:t>
      </w:r>
    </w:p>
    <w:p w14:paraId="5955C3AE" w14:textId="77777777" w:rsidR="00514785" w:rsidRPr="009F3B75" w:rsidRDefault="00514785" w:rsidP="00514785">
      <w:pPr>
        <w:pStyle w:val="NormalHanging12a"/>
      </w:pPr>
      <w:r w:rsidRPr="009F3B75">
        <w:t>B.</w:t>
      </w:r>
      <w:r w:rsidRPr="009F3B75">
        <w:tab/>
        <w:t>vzhledem k tomu, že dne 4. listopadu 2016 vstoupila v platnost Pařížská dohoda; vzhledem k tomu, že v roce 2025 si připomeneme desáté výročí přijetí Pařížské dohody;</w:t>
      </w:r>
    </w:p>
    <w:p w14:paraId="4A40CE2A" w14:textId="77777777" w:rsidR="00514785" w:rsidRPr="009F3B75" w:rsidRDefault="00514785" w:rsidP="00514785">
      <w:pPr>
        <w:pStyle w:val="NormalHanging12a"/>
      </w:pPr>
      <w:r w:rsidRPr="009F3B75">
        <w:t>C.</w:t>
      </w:r>
      <w:r w:rsidRPr="009F3B75">
        <w:tab/>
        <w:t>vzhledem k tomu, že podle zprávy UNEP o nedostatečném úsilí při snižování emisí za rok 2024</w:t>
      </w:r>
      <w:r w:rsidRPr="009F3B75">
        <w:rPr>
          <w:vertAlign w:val="superscript"/>
        </w:rPr>
        <w:footnoteReference w:id="10"/>
      </w:r>
      <w:r w:rsidRPr="009F3B75">
        <w:t xml:space="preserve"> by plné provedení nepodmíněných vnitrostátně stanovených příspěvků dohodnutých pro rok 2030 v rámci Pařížské dohody vedlo svět do konce století </w:t>
      </w:r>
      <w:r w:rsidRPr="009F3B75">
        <w:lastRenderedPageBreak/>
        <w:t>k omezení zvýšení teploty o 2,8 °C a plné provedení podmíněných vnitrostátně stanovených příspěvků by toto zvýšení teploty snížilo na 2,6 °C;</w:t>
      </w:r>
    </w:p>
    <w:p w14:paraId="333206F0" w14:textId="77777777" w:rsidR="00514785" w:rsidRPr="009F3B75" w:rsidRDefault="00514785" w:rsidP="00514785">
      <w:pPr>
        <w:pStyle w:val="NormalHanging12a"/>
      </w:pPr>
      <w:r w:rsidRPr="009F3B75">
        <w:t>D.</w:t>
      </w:r>
      <w:r w:rsidRPr="009F3B75">
        <w:tab/>
        <w:t>vzhledem k tomu, že souhrnná zpráva</w:t>
      </w:r>
      <w:r w:rsidRPr="009F3B75">
        <w:rPr>
          <w:vertAlign w:val="superscript"/>
        </w:rPr>
        <w:footnoteReference w:id="11"/>
      </w:r>
      <w:r w:rsidRPr="009F3B75">
        <w:t xml:space="preserve"> o vnitrostátně stanovených příspěvcích z roku 2024 uvádí, že celková celosvětová úroveň emisí skleníkových plynů v roce 2030 by měla být o 2,6 % nižší než v roce 2019; vzhledem k tomu, že podle zprávy Mezivládního panelu pro změnu klimatu (IPCC) je v zájmu udržení nárůstu globální teploty pod 1,5 °C třeba do roku 2030 snížit emise skleníkových plynů o 43 % ve srovnání s rokem 2019;</w:t>
      </w:r>
    </w:p>
    <w:p w14:paraId="2140EB53" w14:textId="77777777" w:rsidR="00514785" w:rsidRPr="009F3B75" w:rsidRDefault="00514785" w:rsidP="00514785">
      <w:pPr>
        <w:pStyle w:val="NormalHanging12a"/>
      </w:pPr>
      <w:r w:rsidRPr="009F3B75">
        <w:t>E.</w:t>
      </w:r>
      <w:r w:rsidRPr="009F3B75">
        <w:tab/>
        <w:t>vzhledem k tomu, že EU by měla zůstat vůdčí silou v mezinárodních jednáních o klimatu; vzhledem k tomu, že o dosažení globálních cílů v oblasti klimatu musí společně usilovat všechny smluvní strany; vzhledem k tomu, že dekarbonizace v samotné EU nebude stačit; vzhledem k tomu, že Spojené státy produkují 23,8 % celosvětových kumulativních emisí CO₂, členské státy EU 16,5 %, Čína 15 %, Rusko 6,7 % a Spojené království 4,4 %; vzhledem k tomu, že EU je v současné době čtvrtým největším ročním producentem emisí CO₂ na světě, což představuje přibližně 6 % celosvětových emisí, hned po Číně, Spojených státech a Indii; vzhledem k tomu, že EU představuje 5,7 % světové populace a 14,7 % světového HDP</w:t>
      </w:r>
      <w:r w:rsidRPr="009F3B75">
        <w:rPr>
          <w:vertAlign w:val="superscript"/>
        </w:rPr>
        <w:footnoteReference w:id="12"/>
      </w:r>
      <w:r w:rsidRPr="009F3B75">
        <w:t>;</w:t>
      </w:r>
    </w:p>
    <w:p w14:paraId="5290833A" w14:textId="77777777" w:rsidR="00514785" w:rsidRPr="009F3B75" w:rsidRDefault="00514785" w:rsidP="00514785">
      <w:pPr>
        <w:pStyle w:val="NormalHanging12a"/>
      </w:pPr>
      <w:r w:rsidRPr="009F3B75">
        <w:t>F.</w:t>
      </w:r>
      <w:r w:rsidRPr="009F3B75">
        <w:tab/>
        <w:t>vzhledem k tomu, že cesty k omezení globálního oteplování na 1,5 °C vyžadují dosažení, aby v období po roce 2050 bylo dosaženo čistých negativních emisí;</w:t>
      </w:r>
    </w:p>
    <w:p w14:paraId="0D072B21" w14:textId="77777777" w:rsidR="00514785" w:rsidRPr="009F3B75" w:rsidRDefault="00514785" w:rsidP="00514785">
      <w:pPr>
        <w:pStyle w:val="NormalHanging12a"/>
      </w:pPr>
      <w:r w:rsidRPr="009F3B75">
        <w:t>G.</w:t>
      </w:r>
      <w:r w:rsidRPr="009F3B75">
        <w:tab/>
        <w:t>vzhledem k tomu, že většina opatření zaměřených na zmírňování změny klimatu, která jsou uvedena v šesté hodnotící zprávě Mezivládního panel pro změnu klimatu (IPCC), zveřejněné v roce 2023, zahrnuje zachycování a ukládání uhlíku a pohlcování uhlíku;</w:t>
      </w:r>
    </w:p>
    <w:p w14:paraId="670E4968" w14:textId="77777777" w:rsidR="00514785" w:rsidRPr="009F3B75" w:rsidRDefault="00514785" w:rsidP="00514785">
      <w:pPr>
        <w:pStyle w:val="NormalHanging12a"/>
        <w:rPr>
          <w:bCs/>
        </w:rPr>
      </w:pPr>
      <w:r w:rsidRPr="009F3B75">
        <w:t>H.</w:t>
      </w:r>
      <w:r w:rsidRPr="009F3B75">
        <w:tab/>
        <w:t>vzhledem k tomu, že IPCC odhaduje, že globální uhlíkový rozpočet pro 67% pravděpodobnost omezení globálního oteplování na 1,5 °C činí přibližně 400 gigatun CO₂ počínaje rokem 2020</w:t>
      </w:r>
      <w:r w:rsidRPr="009F3B75">
        <w:rPr>
          <w:bCs/>
          <w:vertAlign w:val="superscript"/>
        </w:rPr>
        <w:footnoteReference w:id="13"/>
      </w:r>
      <w:r w:rsidRPr="009F3B75">
        <w:t>; vzhledem k tomu, že se očekává, že při současných úrovních celosvětových emisí bude tento globální uhlíkový rozpočet vyčerpán do roku 2030;</w:t>
      </w:r>
    </w:p>
    <w:p w14:paraId="2A23125E" w14:textId="77777777" w:rsidR="00514785" w:rsidRPr="009F3B75" w:rsidRDefault="00514785" w:rsidP="00514785">
      <w:pPr>
        <w:pStyle w:val="NormalHanging12a"/>
      </w:pPr>
      <w:r w:rsidRPr="009F3B75">
        <w:t>I.</w:t>
      </w:r>
      <w:r w:rsidRPr="009F3B75">
        <w:tab/>
        <w:t>vzhledem k tomu, že na zvyšování celosvětové teploty se od průmyslové revoluce zhruba 30 % podílí metan; vzhledem k tomu, že Unie na konferenci COP26 společně zavedla globální metanový závazek (GMP), jehož účelem je snížit do roku 2030 emise metanu o 30 % ve srovnání s úrovněmi v roce 2020; vzhledem k tomu, že zpráva Mezinárodní energetické agentury z května 2025 nazvaná „Global Methane Tracker 2025“ (Přehled celosvětových emisí metanu v roce 2025) dokládá, že emise metanu stále rostou a že plnění globálního metanového závazku je stále neuspokojivé;</w:t>
      </w:r>
    </w:p>
    <w:p w14:paraId="1E847618" w14:textId="77777777" w:rsidR="00514785" w:rsidRPr="009F3B75" w:rsidRDefault="00514785" w:rsidP="00514785">
      <w:pPr>
        <w:pStyle w:val="NormalHanging12a"/>
      </w:pPr>
      <w:r w:rsidRPr="009F3B75">
        <w:t>J.</w:t>
      </w:r>
      <w:r w:rsidRPr="009F3B75">
        <w:tab/>
        <w:t xml:space="preserve">vzhledem k tomu, že podle závěrů IPCC pohltila pevnina a oceány za posledních šest </w:t>
      </w:r>
      <w:r w:rsidRPr="009F3B75">
        <w:lastRenderedPageBreak/>
        <w:t>desetiletí 56 % emisí CO₂ způsobených člověkem</w:t>
      </w:r>
      <w:r w:rsidRPr="009F3B75">
        <w:rPr>
          <w:vertAlign w:val="superscript"/>
        </w:rPr>
        <w:footnoteReference w:id="14"/>
      </w:r>
      <w:r w:rsidRPr="009F3B75">
        <w:t>;</w:t>
      </w:r>
    </w:p>
    <w:p w14:paraId="5AB3374E" w14:textId="77777777" w:rsidR="00514785" w:rsidRPr="009F3B75" w:rsidRDefault="00514785" w:rsidP="00514785">
      <w:pPr>
        <w:pStyle w:val="NormalHanging12a"/>
      </w:pPr>
      <w:r w:rsidRPr="009F3B75">
        <w:t>K.</w:t>
      </w:r>
      <w:r w:rsidRPr="009F3B75">
        <w:tab/>
        <w:t>vzhledem k tomu, že bylo překročeno šest z devíti mezí naší planety, jak je určilo středisko Stockholm Resiliency Center</w:t>
      </w:r>
      <w:r w:rsidRPr="009F3B75">
        <w:rPr>
          <w:vertAlign w:val="superscript"/>
        </w:rPr>
        <w:footnoteReference w:id="15"/>
      </w:r>
      <w:r w:rsidRPr="009F3B75">
        <w:t>, včetně meze naší planety v oblasti klimatu;</w:t>
      </w:r>
    </w:p>
    <w:p w14:paraId="285D9B35" w14:textId="77777777" w:rsidR="00514785" w:rsidRPr="009F3B75" w:rsidRDefault="00514785" w:rsidP="00514785">
      <w:pPr>
        <w:pStyle w:val="NormalHanging12a"/>
      </w:pPr>
      <w:r w:rsidRPr="009F3B75">
        <w:t>L.</w:t>
      </w:r>
      <w:r w:rsidRPr="009F3B75">
        <w:tab/>
        <w:t>vzhledem k tomu, že UNEP popisuje vzájemně propojené mimořádné situace v oblasti životního prostředí, jako jsou změna klimatu, znečištění a úbytek biologické rozmanitosti, jako „trojí planetární krizi“, neboť změna klimatu zhoršuje úbytek biologické rozmanitosti, znečištění urychluje změnu klimatu i zhroucení ekosystémů a úbytek biologické rozmanitosti oslabuje odolnost vůči změně klimatu;</w:t>
      </w:r>
    </w:p>
    <w:p w14:paraId="2A17FB00" w14:textId="77777777" w:rsidR="00514785" w:rsidRPr="009F3B75" w:rsidRDefault="00514785" w:rsidP="00514785">
      <w:pPr>
        <w:pStyle w:val="NormalHanging12a"/>
      </w:pPr>
      <w:r w:rsidRPr="009F3B75">
        <w:t>M.</w:t>
      </w:r>
      <w:r w:rsidRPr="009F3B75">
        <w:tab/>
        <w:t>vzhledem k tomu, že ochrana, zachování a obnova biologické rozmanitosti a ekosystémů, včetně většího úsilí o zastavení a zvrácení procesu odlesňování a degradace lesů, představují opatření, která jsou nezbytná pro dosažení teplotního cíle Pařížské dohody;</w:t>
      </w:r>
    </w:p>
    <w:p w14:paraId="7504F20F" w14:textId="77777777" w:rsidR="00514785" w:rsidRPr="009F3B75" w:rsidRDefault="00514785" w:rsidP="00514785">
      <w:pPr>
        <w:pStyle w:val="NormalHanging12a"/>
      </w:pPr>
      <w:r w:rsidRPr="009F3B75">
        <w:t>N.</w:t>
      </w:r>
      <w:r w:rsidRPr="009F3B75">
        <w:tab/>
        <w:t>vzhledem k tomu, že celosvětový rámec pro biologickou rozmanitost (GBF) z Kchun-mingu a Montréalu obsahuje konkrétní opatření k zastavení a zvrácení úbytku přírody, včetně cíle obnovit do roku 2030 30 % všech degradovaných ekosystémů a cíle zachovat 30 % půdy, vod a moří;</w:t>
      </w:r>
    </w:p>
    <w:p w14:paraId="59C71917" w14:textId="77777777" w:rsidR="00514785" w:rsidRPr="009F3B75" w:rsidRDefault="00514785" w:rsidP="00514785">
      <w:pPr>
        <w:pStyle w:val="NormalHanging12a"/>
      </w:pPr>
      <w:r w:rsidRPr="009F3B75">
        <w:t>O.</w:t>
      </w:r>
      <w:r w:rsidRPr="009F3B75">
        <w:tab/>
        <w:t>vzhledem k tomu, že rok 2024 byl nejteplejším rokem, jaký byl kdy zaznamenán, a že globální teploty poprvé překročily 1,5 °C oproti hodnotám před průmyslovou revolucí; vzhledem k tomu, že data z programu Copernicus za první polovinu roku 2025 vykazují dosud nejvyšší zaznamenané teploty, přičemž pouze rok 2024 byl v měsíci květnu teplejší</w:t>
      </w:r>
      <w:r w:rsidRPr="009F3B75">
        <w:rPr>
          <w:vertAlign w:val="superscript"/>
        </w:rPr>
        <w:footnoteReference w:id="16"/>
      </w:r>
      <w:r w:rsidRPr="009F3B75">
        <w:t>; vzhledem k tomu, že každý z posledních deseti roků se rovněž zařadil mezi deset nejteplejších let v historii; vzhledem k tomu, že Evropa je nejrychleji se oteplujícím kontinentem na světě a podle programu Copernicus se od roku 1998 otepluje v porovnání s celosvětovým průměrem zhruba dvakrát rychleji</w:t>
      </w:r>
      <w:r w:rsidRPr="009F3B75">
        <w:rPr>
          <w:vertAlign w:val="superscript"/>
        </w:rPr>
        <w:footnoteReference w:id="17"/>
      </w:r>
      <w:r w:rsidRPr="009F3B75">
        <w:t>;</w:t>
      </w:r>
    </w:p>
    <w:p w14:paraId="461A7A12" w14:textId="77777777" w:rsidR="00514785" w:rsidRPr="009F3B75" w:rsidRDefault="00514785" w:rsidP="00514785">
      <w:pPr>
        <w:pStyle w:val="NormalHanging12a"/>
      </w:pPr>
      <w:r w:rsidRPr="009F3B75">
        <w:t>P.</w:t>
      </w:r>
      <w:r w:rsidRPr="009F3B75">
        <w:tab/>
        <w:t>vzhledem k tomu, že Valné shromáždění Organizace spojených národů uznalo právo na přístup k čistému, zdravému a udržitelnému životnímu prostředí jako všeobecné lidské právo</w:t>
      </w:r>
      <w:r w:rsidRPr="009F3B75">
        <w:rPr>
          <w:vertAlign w:val="superscript"/>
        </w:rPr>
        <w:footnoteReference w:id="18"/>
      </w:r>
      <w:r w:rsidRPr="009F3B75">
        <w:t xml:space="preserve"> a článek 37 Listiny základních práv Evropské unie zakotvuje zásadu, že ochrana životního prostředí musí být začleněny do politik Unie;</w:t>
      </w:r>
    </w:p>
    <w:p w14:paraId="00C9E1E7" w14:textId="77777777" w:rsidR="00514785" w:rsidRPr="009F3B75" w:rsidRDefault="00514785" w:rsidP="00514785">
      <w:pPr>
        <w:pStyle w:val="NormalHanging12a"/>
      </w:pPr>
      <w:r w:rsidRPr="009F3B75">
        <w:t>Q.</w:t>
      </w:r>
      <w:r w:rsidRPr="009F3B75">
        <w:tab/>
        <w:t xml:space="preserve">vzhledem k tomu, že znečištění ovzduší představuje vážnou hrozbu pro životní prostředí a veřejné zdraví a je neoddělitelně spjato s klimatickou krizí, a to jak z hlediska </w:t>
      </w:r>
      <w:r w:rsidRPr="009F3B75">
        <w:lastRenderedPageBreak/>
        <w:t>sdílených zdrojů energie, jako je spalování fosilních paliv, tak z hlediska potřeby integrovaných politických řešení; vzhledem k tomu, že znečišťující látky s krátkou životností, které ovlivňují klima, jako je methan a černý uhlík, jsou odpovědné za téměř polovinu současného globálního oteplování a mají závažné dopady na zdraví, zejména u zranitelných skupin obyvatelstva</w:t>
      </w:r>
      <w:r w:rsidRPr="009F3B75">
        <w:rPr>
          <w:vertAlign w:val="superscript"/>
        </w:rPr>
        <w:footnoteReference w:id="19"/>
      </w:r>
      <w:r w:rsidRPr="009F3B75">
        <w:t>;</w:t>
      </w:r>
    </w:p>
    <w:p w14:paraId="5BEC1AD5" w14:textId="77777777" w:rsidR="00514785" w:rsidRPr="009F3B75" w:rsidRDefault="00514785" w:rsidP="00514785">
      <w:pPr>
        <w:pStyle w:val="NormalHanging12a"/>
      </w:pPr>
      <w:r w:rsidRPr="009F3B75">
        <w:t>R.</w:t>
      </w:r>
      <w:r w:rsidRPr="009F3B75">
        <w:tab/>
        <w:t>vzhledem k tomu, že Spojené státy se již podruhé rozhodly jednostranně odstoupit od Pařížské dohody; vzhledem k tomu, že ústup USA od mnohostrannosti a od poskytování rozvojové pomoci, humanitární pomoci a mezinárodního financování opatření v oblasti klimatu zanechá značnou mezeru; vzhledem k tomu, že EU má odpovědnost a strategický zájem, pokud jde o pomoc zaplnit tuto mezeru;</w:t>
      </w:r>
    </w:p>
    <w:p w14:paraId="0BCE34E6" w14:textId="77777777" w:rsidR="00514785" w:rsidRPr="009F3B75" w:rsidRDefault="00514785" w:rsidP="00514785">
      <w:pPr>
        <w:pStyle w:val="NormalHanging12a"/>
      </w:pPr>
      <w:r w:rsidRPr="009F3B75">
        <w:t>S.</w:t>
      </w:r>
      <w:r w:rsidRPr="009F3B75">
        <w:tab/>
        <w:t>vzhledem k tomu, že zásadním cílem ekologické transformace v souladu s článkem 2 Pařížské dohody je sladění globálních finančních toků s cestou k dosažení hospodářství s nulovými čistými emisemi, které je odolné vůči změně klimatu;</w:t>
      </w:r>
    </w:p>
    <w:p w14:paraId="00D0207E" w14:textId="77777777" w:rsidR="00514785" w:rsidRPr="009F3B75" w:rsidRDefault="00514785" w:rsidP="00514785">
      <w:pPr>
        <w:pStyle w:val="NormalHanging12a"/>
      </w:pPr>
      <w:r w:rsidRPr="009F3B75">
        <w:t>T.</w:t>
      </w:r>
      <w:r w:rsidRPr="009F3B75">
        <w:tab/>
        <w:t>vzhledem k tomu, že ve zprávě Stálého finančního výboru UNFCCC z roku 2021 nazvané „První zpráva o určení potřeb smluvních stran z řad rozvojových zemí“ se uvádí, že národní zprávy předložené smluvními stranami UNFCCC z řad rozvojových zemí svědčí o tom, že kumulativní výše nákladů na uspokojení jejich potřeb do roku 2030 v souvislosti s prováděním Rámcové úmluvy OSN o změně klimatu a Pařížské dohody dosahuje 5,8–5,9 bilionu USD</w:t>
      </w:r>
      <w:r w:rsidRPr="009F3B75">
        <w:rPr>
          <w:vertAlign w:val="superscript"/>
        </w:rPr>
        <w:footnoteReference w:id="20"/>
      </w:r>
      <w:r w:rsidRPr="009F3B75">
        <w:t>; vzhledem k tomu, že nový kolektivní kvantifikovaný cíl UNFCCC pro financování opatření v oblasti klimatu obsahuje závazek zvýšit do roku 2035 objem finančních prostředků nejméně na 1,3 bilionu USD ročně;</w:t>
      </w:r>
    </w:p>
    <w:p w14:paraId="4B7B3972" w14:textId="77777777" w:rsidR="00514785" w:rsidRPr="009F3B75" w:rsidRDefault="00514785" w:rsidP="00514785">
      <w:pPr>
        <w:pStyle w:val="NormalHanging12a"/>
      </w:pPr>
      <w:r w:rsidRPr="009F3B75">
        <w:t>U.</w:t>
      </w:r>
      <w:r w:rsidRPr="009F3B75">
        <w:tab/>
        <w:t>vzhledem k tomu, že smlouva o nešíření fosilních paliv je iniciativa inspirovaná Smlouvou o nešíření jaderných zbraní a vyzývá k uzavření závazné mezinárodní smlouvy, která by zastavila další šíření fosilních paliv, postupně ukončila stávající výrobu a podpořila spravedlivou globální transformaci; vzhledem k tomu, že Smlouvu o nešíření fosilních paliv dosud podpořilo pouze 17 zemí, z nichž žádná není členským státem EU</w:t>
      </w:r>
      <w:r w:rsidRPr="009F3B75">
        <w:rPr>
          <w:vertAlign w:val="superscript"/>
        </w:rPr>
        <w:footnoteReference w:id="21"/>
      </w:r>
      <w:r w:rsidRPr="009F3B75">
        <w:t>;</w:t>
      </w:r>
    </w:p>
    <w:p w14:paraId="5157A2AE" w14:textId="77777777" w:rsidR="00514785" w:rsidRPr="009F3B75" w:rsidRDefault="00514785" w:rsidP="00514785">
      <w:pPr>
        <w:pStyle w:val="NormalHanging12a"/>
      </w:pPr>
      <w:r w:rsidRPr="009F3B75">
        <w:t>V.</w:t>
      </w:r>
      <w:r w:rsidRPr="009F3B75">
        <w:tab/>
        <w:t xml:space="preserve">vzhledem k tomu, že Evropský vědecký poradní výbor pro změnu klimatu (ESABCC) doporučuje v souladu se stávajícími závazky urychleně a v plném rozsahu ukončit dotace na fosilní paliva v EU; vzhledem k tomu, že 8. akční program pro životní prostředí požaduje stanovení jasné lhůty pro ukončení těchto dotací v souladu s těmito </w:t>
      </w:r>
      <w:r w:rsidRPr="009F3B75">
        <w:lastRenderedPageBreak/>
        <w:t>ambicemi v oblasti klimatu;</w:t>
      </w:r>
    </w:p>
    <w:p w14:paraId="2A08D177" w14:textId="77777777" w:rsidR="00514785" w:rsidRPr="009F3B75" w:rsidRDefault="00514785" w:rsidP="00514785">
      <w:pPr>
        <w:pStyle w:val="NormalHanging12a"/>
      </w:pPr>
      <w:r w:rsidRPr="009F3B75">
        <w:t>W.</w:t>
      </w:r>
      <w:r w:rsidRPr="009F3B75">
        <w:tab/>
        <w:t>vzhledem k tomu, že děti jsou obzvláště zranitelné vůči dopadům změny klimatu, včetně smrtelných nemocí, znečištění, nedostatku potravin a vody a extrémních povětrnostních jevů; vzhledem k tomu, že téměř 1 miliarda dětí žije ve 33 zemích klasifikovaných jako země s „mimořádně vysokým rizikem“ v důsledku kombinované expozice vůči klimatickým a environmentálním rizikům a vysoké míry zranitelnosti</w:t>
      </w:r>
      <w:r w:rsidRPr="009F3B75">
        <w:rPr>
          <w:vertAlign w:val="superscript"/>
        </w:rPr>
        <w:footnoteReference w:id="22"/>
      </w:r>
      <w:r w:rsidRPr="009F3B75">
        <w:t>;</w:t>
      </w:r>
    </w:p>
    <w:p w14:paraId="2F589D6B" w14:textId="77777777" w:rsidR="00514785" w:rsidRPr="009F3B75" w:rsidRDefault="00514785" w:rsidP="00514785">
      <w:pPr>
        <w:pStyle w:val="NormalHanging12a"/>
      </w:pPr>
      <w:r w:rsidRPr="009F3B75">
        <w:t>X.</w:t>
      </w:r>
      <w:r w:rsidRPr="009F3B75">
        <w:tab/>
        <w:t xml:space="preserve">vzhledem k tomu, že ambiciózní mnohostranné rámce v oblasti klimatu a opatření, která jsou s nimi v souladu, </w:t>
      </w:r>
      <w:proofErr w:type="gramStart"/>
      <w:r w:rsidRPr="009F3B75">
        <w:t>slouží</w:t>
      </w:r>
      <w:proofErr w:type="gramEnd"/>
      <w:r w:rsidRPr="009F3B75">
        <w:t xml:space="preserve"> strategickým zájmům EU a představují příležitosti pro EU jako globálního průkopníka v ekologické transformaci;</w:t>
      </w:r>
    </w:p>
    <w:p w14:paraId="759BEDE1" w14:textId="77777777" w:rsidR="00514785" w:rsidRPr="009F3B75" w:rsidRDefault="00514785" w:rsidP="00514785">
      <w:pPr>
        <w:pStyle w:val="NormalHanging12a"/>
        <w:rPr>
          <w:b/>
          <w:bCs/>
          <w:i/>
          <w:iCs/>
        </w:rPr>
      </w:pPr>
      <w:r w:rsidRPr="009F3B75">
        <w:rPr>
          <w:b/>
          <w:i/>
        </w:rPr>
        <w:t>Globální hodnocení, vnitrostátně stanovené příspěvky a konference COP30 v Belému</w:t>
      </w:r>
    </w:p>
    <w:p w14:paraId="7A01D309" w14:textId="77777777" w:rsidR="00514785" w:rsidRPr="009F3B75" w:rsidRDefault="00514785" w:rsidP="00514785">
      <w:pPr>
        <w:pStyle w:val="NormalHanging12a"/>
        <w:rPr>
          <w:bCs/>
          <w:iCs/>
        </w:rPr>
      </w:pPr>
      <w:r w:rsidRPr="009F3B75">
        <w:t>1.</w:t>
      </w:r>
      <w:r w:rsidRPr="009F3B75">
        <w:tab/>
        <w:t>poukazuje na skutečnost, že výsledek prvního globálního hodnocení na konferenci COP28, uznává, že dodržování nebo omezené překročení limitu globálního oteplování o 1,5 °C a 2 °C vyžaduje dosažení vrcholu celosvětových emisí skleníkových plynů do roku 2025 a že dodržování nebo omezené překročení limitu globálního oteplování o 1,5 °C vyžaduje výrazné, rychlé a trvalé snížení celosvětových emisí skleníkových plynů o 43 % do roku 2030 a o 60 % do roku 2035 ve srovnání s rokem 2019 a dosažení</w:t>
      </w:r>
      <w:r w:rsidRPr="009F3B75">
        <w:rPr>
          <w:i/>
        </w:rPr>
        <w:t xml:space="preserve"> </w:t>
      </w:r>
      <w:r w:rsidRPr="009F3B75">
        <w:t>nulových čistých emisí skleníkových plynů do roku 2050;</w:t>
      </w:r>
    </w:p>
    <w:p w14:paraId="3309FBAD" w14:textId="77777777" w:rsidR="00514785" w:rsidRPr="009F3B75" w:rsidRDefault="00514785" w:rsidP="00514785">
      <w:pPr>
        <w:pStyle w:val="NormalHanging12a"/>
      </w:pPr>
      <w:r w:rsidRPr="009F3B75">
        <w:t>2.</w:t>
      </w:r>
      <w:r w:rsidRPr="009F3B75">
        <w:tab/>
        <w:t>bere na vědomí relativní pokrok, jehož bylo na konferenci COP29 v Baku dosaženo v některých oblastech, zejména pokud jde o nový kolektivní kvantifikovaný cíl pro financování opatření v oblasti klimatu (NCQG), pokrok při spouštění fondu pro ztráty a škody a dohodu o trhu s uhlíkem; vyjadřuje však politování nad tím, že nebylo dosaženo pokroku v oblasti zmírňování změny klimatu;</w:t>
      </w:r>
    </w:p>
    <w:p w14:paraId="2108FBFC" w14:textId="77777777" w:rsidR="00514785" w:rsidRPr="009F3B75" w:rsidRDefault="00514785" w:rsidP="00514785">
      <w:pPr>
        <w:pStyle w:val="NormalHanging12a"/>
      </w:pPr>
      <w:r w:rsidRPr="009F3B75">
        <w:t>3.</w:t>
      </w:r>
      <w:r w:rsidRPr="009F3B75">
        <w:tab/>
        <w:t>se znepokojením konstatuje, že souhrnné snížení emisí na základě předložených vnitrostátně stanovených příspěvků výrazně zaostává za emisními plány potřebnými k dodržení cíle Pařížské dohody a závěrů prvního globálního hodnocení; naléhavě vyzývá konferenci COP30, aby znovu potvrdila závazek k dosažení cíle omezit globální oteplování na 1,5 °C a aby se shodla na tom, že je třeba nadále posilovat ambice a přijímat konkrétní rozhodnutí na podporu provádění vnitrostátně stanovených příspěvků; domnívá se, že globální hodnocení by se mělo provádět častěji, a vyzývá všechny strany, které nesměřují k dosažení cíle Pařížské dohody, aby kromě pětiletého cyklu přezkumu každý druhý rok aktualizovaly a zvyšovaly své vnitrostátně stanovené příspěvky;</w:t>
      </w:r>
    </w:p>
    <w:p w14:paraId="70B7A7BE" w14:textId="77777777" w:rsidR="00514785" w:rsidRPr="009F3B75" w:rsidRDefault="00514785" w:rsidP="00514785">
      <w:pPr>
        <w:pStyle w:val="NormalHanging12a"/>
      </w:pPr>
      <w:r w:rsidRPr="009F3B75">
        <w:t>4.</w:t>
      </w:r>
      <w:r w:rsidRPr="009F3B75">
        <w:tab/>
        <w:t xml:space="preserve">zdůrazňuje, že k překlenutí rozdílů v emisích a k provedení opatření obsažených v prvním globálním hodnocení prostřednictvím konkrétních cílů je zapotřebí společného úsilí a dalších opatření všech stran a že je zároveň třeba zvětšit rozsah vnitrostátně stanovených opatření; zdůrazňuje, že všichni hlavní producenti emisí, včetně rozvíjejících se ekonomik a zemí skupiny G20, nesou zvláštní odpovědnost za to, že stanou v čele tohoto úsilí; vyzývá EU a podobně smýšlející partnery, aby na konferenci COP30 stáli v čele koalice s vysokými ambicemi a aby spolupracovali se všemi </w:t>
      </w:r>
      <w:r w:rsidRPr="009F3B75">
        <w:lastRenderedPageBreak/>
        <w:t>stranami na dosažení jejího úspěšného výsledku;</w:t>
      </w:r>
    </w:p>
    <w:p w14:paraId="50AB22E0" w14:textId="77777777" w:rsidR="00514785" w:rsidRPr="009F3B75" w:rsidRDefault="00514785" w:rsidP="00514785">
      <w:pPr>
        <w:pStyle w:val="NormalHanging12a"/>
      </w:pPr>
      <w:r w:rsidRPr="009F3B75">
        <w:t>5.</w:t>
      </w:r>
      <w:r w:rsidRPr="009F3B75">
        <w:tab/>
        <w:t>vyjadřuje své hluboké politování nad rozhodnutím vlády USA odstoupit podruhé od Pařížské dohody; vyzývá Spojené státy, aby své odstoupení od dohody přehodnotily a spravedlivým dílem přispívaly k celosvětovému úsilí o zvládání změny klimatu a k celosvětovému financování opatření v této oblasti v souladu s Pařížskou dohodou, zejména pak s ohledem na jejich odpovědnost vyplývající z kumulativního množství jejich dosavadních emisí; vyzývá státy USA a nevládní subjekty, aby se i nadále zapojovaly do mezinárodní spolupráce v oblasti klimatu, a to i na konferencích OSN o změně klimatu; konstatuje, že od Pařížské dohody neodstoupila spolu se Spojenými státy žádná jiná země; zdůrazňuje, že je zvláštní odpovědností a strategickým zájem EU přijmout v rámci celosvětových opatření v oblasti klimatu vedoucí úlohu a obnovit jejich důvěryhodnost, a to i prostřednictvím opatření, která zabrání odstupování dalších zemí od Pařížské dohody; domnívá se, že k dosažení těchto cílů mohou přispět všechny aspekty vnější činnosti EU, včetně obchodní a rozvojové politiky;</w:t>
      </w:r>
    </w:p>
    <w:p w14:paraId="5065D925" w14:textId="77777777" w:rsidR="00514785" w:rsidRPr="009F3B75" w:rsidRDefault="00514785" w:rsidP="00514785">
      <w:pPr>
        <w:pStyle w:val="NormalHanging12a"/>
        <w:rPr>
          <w:rFonts w:eastAsia="Calibri"/>
        </w:rPr>
      </w:pPr>
      <w:r w:rsidRPr="009F3B75">
        <w:t>6.</w:t>
      </w:r>
      <w:r w:rsidRPr="009F3B75">
        <w:tab/>
        <w:t>připomíná zásadu soudržnosti politik ve prospěch rozvoje, k níž se EU a její členské státy zavázaly a jejímž cílem je minimalizovat rozpory a vytvářet synergie mezi jednotlivými politikami EU; trvá na soudržném přístupu k provádění Pařížské dohody a Agendy pro udržitelný rozvoj 2030 ve vnitřní i vnější politice;</w:t>
      </w:r>
    </w:p>
    <w:p w14:paraId="6E483E40" w14:textId="77777777" w:rsidR="00514785" w:rsidRPr="009F3B75" w:rsidRDefault="00514785" w:rsidP="00514785">
      <w:pPr>
        <w:pStyle w:val="NormalHanging12a"/>
      </w:pPr>
      <w:r w:rsidRPr="009F3B75">
        <w:t>7.</w:t>
      </w:r>
      <w:r w:rsidRPr="009F3B75">
        <w:tab/>
        <w:t>připomíná, že v prvním globálním hodnocení strany UNFCCC uznaly potřebu rozsáhlého, rychlého a trvalého snižování emisí skleníkových plynů v souladu s cestami k omezení globálního oteplování na 1,5 °C a zavázaly se, že budou přispívat k celosvětovému úsilí o ztrojnásobení celosvětové kapacity energie z obnovitelných zdrojů a zdvojnásobení celosvětové průměrné roční míry zvyšování energetické účinnosti do roku 2030; je i nadále znepokojen nedostatečným pokrokem v plnění těchto cílů; zdůrazňuje, že je nezbytné, aby konference COP30 vycházela z těchto cílů, učinila konkrétní rozhodnutí o jejich provádění a v případě, že se ambice nezvýší, přijala dodatečná opatření; opětovně potvrzuje svůj závazek naplnit konsensus dosažený na konferenci COP28 v rámci Prohlášení o klimatu a zdraví; bere na vědomí závazek přispívat k urychlení vývoje technologií s nulovými a nízkými emisemi; v této souvislosti připomíná bod 28 písm. e) prvního globálního hodnocení ve znění přijatém na konferenci COP28;</w:t>
      </w:r>
    </w:p>
    <w:p w14:paraId="648906F9" w14:textId="77777777" w:rsidR="00514785" w:rsidRPr="009F3B75" w:rsidRDefault="00514785" w:rsidP="00514785">
      <w:pPr>
        <w:pStyle w:val="NormalHanging12a"/>
      </w:pPr>
      <w:r w:rsidRPr="009F3B75">
        <w:t>8.</w:t>
      </w:r>
      <w:r w:rsidRPr="009F3B75">
        <w:tab/>
        <w:t>připomíná, že v prvním globálním hodnocení se země zavázaly ke zvýšení úsilí o to, aby se postupně snížila výroba energie z uhlí, pokud při ní nejsou omezovány emise, a zrušily se neúčinné dotace na fosilní paliva, a aby v energetických systémech proběhl přechod směrem od fosilních paliv, který bude spravedlivý, organizovaný a vyvážený, čímž se v tomto kritickém desetiletí urychlí přijímání opatření k dosažení nulových čistých emisí do roku do roku 2050 v souladu s vědeckými poznatky; vyzývá všechny smluvní strany, aby v tomto směru vyvíjely větší úsilí a zapojily se do vypracování smlouvy o nešíření fosilních paliv; očekává, že konference COP30 posílí závazek k přechodu od fosilních paliv, a podtrhuje naléhavou potřebu ambiciózních plánů s pevně stanovenými lhůtami pro postupné ukončení dotací fosilních paliv a jejich výroby;</w:t>
      </w:r>
    </w:p>
    <w:p w14:paraId="77DD63AF" w14:textId="77777777" w:rsidR="00514785" w:rsidRPr="009F3B75" w:rsidRDefault="00514785" w:rsidP="00514785">
      <w:pPr>
        <w:pStyle w:val="NormalHanging12a"/>
      </w:pPr>
      <w:r w:rsidRPr="009F3B75">
        <w:t>9.</w:t>
      </w:r>
      <w:r w:rsidRPr="009F3B75">
        <w:tab/>
        <w:t xml:space="preserve">konstatuje, že rok 2025 je lhůtou, ve které mají země předložit své vnitrostátně stanovené příspěvky pro rok 2035, které jsou zásadní pro zvýšení ambic v oblasti klimatu, sledování pokroku a zvyšování odolnosti; považuje za zásadní, aby EU šla příkladem, a vyzývá EU a všechny smluvní strany, které tak dosud neučinily, aby </w:t>
      </w:r>
      <w:r w:rsidRPr="009F3B75">
        <w:lastRenderedPageBreak/>
        <w:t>reagovaly na globální hodnocení z konference COP28 a aby co nejdříve a v dostatečném předstihu před konferencí COP30 předložily absolutní, nikoli relativní, cíle pro celé hospodářství v oblasti snižování emisí, které se budou vztahovat na všechny skleníkové plyny, odvětví a kategorie, v souladu s cílem 1,5 °C; vyjadřuje politování nad tím, že většina smluvních stran nedodržela lhůtu pro předložení svých aktualizovaných vnitrostátně stanovených příspěvků, a zdůrazňuje, že pro dobré fungování multilateralismu v politice v oblasti klimatu je důležité dodržovat všechny procesy UNFCCC a a lhůty pro předkládání;</w:t>
      </w:r>
    </w:p>
    <w:p w14:paraId="034619A1" w14:textId="77777777" w:rsidR="00514785" w:rsidRPr="009F3B75" w:rsidRDefault="00514785" w:rsidP="00514785">
      <w:pPr>
        <w:pStyle w:val="NormalHanging12a"/>
        <w:rPr>
          <w:bCs/>
          <w:iCs/>
        </w:rPr>
      </w:pPr>
      <w:r w:rsidRPr="009F3B75">
        <w:t>10.</w:t>
      </w:r>
      <w:r w:rsidRPr="009F3B75">
        <w:tab/>
        <w:t>zdůrazňuje význam podrobných a transparentních zpráv posuzujících pokrok při plnění vnitrostátních stanovených příspěvků;</w:t>
      </w:r>
    </w:p>
    <w:p w14:paraId="3351DC14" w14:textId="77777777" w:rsidR="00514785" w:rsidRPr="009F3B75" w:rsidRDefault="00514785" w:rsidP="00514785">
      <w:pPr>
        <w:pStyle w:val="NormalHanging12a"/>
      </w:pPr>
      <w:r w:rsidRPr="009F3B75">
        <w:t>11.</w:t>
      </w:r>
      <w:r w:rsidRPr="009F3B75">
        <w:tab/>
        <w:t>bere na vědomí pokrok při provádění článku 6 Pařížské dohody a zdůrazňuje, že použití článku 6 by vždy mělo mít zaručený čistý přínos pro klima, a vyzývá proto všechny smluvní strany, aby zajistily, že projekty započítané k článku 6 nebudou bránit domácímu snižování emisí; naléhavě vyzývá dozorčí orgán a všechny smluvní strany, aby dodržovaly Glasgowskou dohodu, a aby v souvislosti s tím zajistily, že nejpozději do konce roku 2025 budou všechny schválené činnosti mechanismu čistého rozvoje v souladu s metodikami článku 6.4; vyzývá Evropskou komisi, aby se zasazovala o vytvoření pevného mezinárodního správního rámce pro mezinárodně převáděné výsledky snižování emisí (ITMO) na mezinárodní úrovni, který by zahrnoval závazné normy pro mezinárodní uhlíkové kredity, které by zaručily ekologickou a sociální integritu, spravedlivé sdílení přínosů zmírňování změny klimatu, jasná prováděcí pravidla, která zajistí transparentnost, adicionalitu a trvalost, přísné povinnosti v oblasti podávání zpráv a účinné mechanismy dohledu pro projekty realizované na základě článku 6 s cílem odstranit riziko dvojího započtení a zajistit ekologickou vyváženost systému; vyzývá k přijetí jasných pravidel pro sdílení odpovědnosti v souvislosti s riziky sledování a zvratu, aby se zabránilo nepřiměřené zátěži pro hostitelské smluvní strany; zdůrazňuje, že je třeba, aby soukromé iniciativy trhu s uhlíkem uplatňovaly nejvyšší standardy integrity;</w:t>
      </w:r>
    </w:p>
    <w:p w14:paraId="6674B3A6" w14:textId="77777777" w:rsidR="00514785" w:rsidRPr="009F3B75" w:rsidRDefault="00514785" w:rsidP="00514785">
      <w:pPr>
        <w:pStyle w:val="NormalHanging12a"/>
      </w:pPr>
      <w:r w:rsidRPr="009F3B75">
        <w:t>12.</w:t>
      </w:r>
      <w:r w:rsidRPr="009F3B75">
        <w:tab/>
        <w:t>vyzývá všechny smluvní strany, aby na konferenci COP30 dosáhly smysluplného pokroku s cílem zajistit, aby se druhé globální hodnocení, které začne v roce 2026, řídilo nejlepšími dostupnými vědeckými poznatky a aby jeho součástí byly průřezová témata, jako je genderová spravedlnost, lidská práva a ochrana ekosystémů;</w:t>
      </w:r>
    </w:p>
    <w:p w14:paraId="261CC39E" w14:textId="77777777" w:rsidR="00514785" w:rsidRPr="009F3B75" w:rsidRDefault="00514785" w:rsidP="00514785">
      <w:pPr>
        <w:pStyle w:val="NormalHanging12a"/>
        <w:rPr>
          <w:b/>
          <w:i/>
          <w:iCs/>
        </w:rPr>
      </w:pPr>
      <w:r w:rsidRPr="009F3B75">
        <w:rPr>
          <w:b/>
          <w:i/>
        </w:rPr>
        <w:t>Mezinárodní financování opatření v oblasti klimatu a udržitelné financování</w:t>
      </w:r>
    </w:p>
    <w:p w14:paraId="388955D9" w14:textId="77777777" w:rsidR="00514785" w:rsidRPr="009F3B75" w:rsidRDefault="00514785" w:rsidP="00514785">
      <w:pPr>
        <w:pStyle w:val="NormalHanging12a"/>
      </w:pPr>
      <w:r w:rsidRPr="009F3B75">
        <w:t>13.</w:t>
      </w:r>
      <w:r w:rsidRPr="009F3B75">
        <w:tab/>
        <w:t>zdůrazňuje, že klíčem k dosažení cílů Pařížské dohody je zajištění odpovídajícího financování opatření v oblasti klimatu; připomíná, že vnitrostátně stanovené příspěvky mnoha rozvojových zemí závisí na tom, zda bude k dispozici mezinárodní financování opatření v oblasti klimatu; zdůrazňuje, že podle různých zpráv OSN je mezi potřebnou a stávající výší financováním opatření v oblasti klimatu značný rozdíl, který se stále se zvětšuje, a že tento narůstající rozdíl je způsoben řadou faktorů, z nichž všechny by měly být odpovídajícím způsobem řešeny;</w:t>
      </w:r>
    </w:p>
    <w:p w14:paraId="07AF2A52" w14:textId="77777777" w:rsidR="00514785" w:rsidRPr="009F3B75" w:rsidRDefault="00514785" w:rsidP="00514785">
      <w:pPr>
        <w:pStyle w:val="NormalHanging12a"/>
      </w:pPr>
      <w:r w:rsidRPr="009F3B75">
        <w:t>14.</w:t>
      </w:r>
      <w:r w:rsidRPr="009F3B75">
        <w:tab/>
        <w:t>zdůrazňuje, že opožděné uvolňování finančních prostředků na opatření v oblasti klimatu povede ke zvyšování nákladů, čímž se zvednou náklady obětované příležitostí a </w:t>
      </w:r>
      <w:proofErr w:type="gramStart"/>
      <w:r w:rsidRPr="009F3B75">
        <w:t>sníží</w:t>
      </w:r>
      <w:proofErr w:type="gramEnd"/>
      <w:r w:rsidRPr="009F3B75">
        <w:t xml:space="preserve"> se návratnost těchto opatření; poukazuje v této souvislosti na to, že podle odhadů Mezinárodní energetické agentury může být na kompenzaci každého 1 USD, který se v období do roku 2030 neinvestuje do čisté energie, zapotřebí 4–5 USD;</w:t>
      </w:r>
    </w:p>
    <w:p w14:paraId="65F74003" w14:textId="77777777" w:rsidR="00514785" w:rsidRPr="009F3B75" w:rsidRDefault="00514785" w:rsidP="00514785">
      <w:pPr>
        <w:pStyle w:val="NormalHanging12a"/>
      </w:pPr>
      <w:r w:rsidRPr="009F3B75">
        <w:lastRenderedPageBreak/>
        <w:t>15.</w:t>
      </w:r>
      <w:r w:rsidRPr="009F3B75">
        <w:tab/>
        <w:t>zdůrazňuje, že není dostatečně financováno přizpůsobování se změně klimatu a že nový kolektivní kvantifikovaný cíl pro financování opatření v oblasti klimatu nereflektuje v dostatečné míře potřeby financování přizpůsobování se změně klimatu; zdůrazňuje skutečnost, že ačkoli jsou potřebné všechny zdroje financování – veřejné i soukromé –, mezinárodní veřejné prostředky jsou potřebné zejména pro financování reakce na potřeby přizpůsobení se změně klimatu a na řešení ztrát a škod;</w:t>
      </w:r>
    </w:p>
    <w:p w14:paraId="595FA415" w14:textId="77777777" w:rsidR="00514785" w:rsidRPr="009F3B75" w:rsidRDefault="00514785" w:rsidP="00514785">
      <w:pPr>
        <w:pStyle w:val="NormalHanging12a"/>
      </w:pPr>
      <w:r w:rsidRPr="009F3B75">
        <w:t>16.</w:t>
      </w:r>
      <w:r w:rsidRPr="009F3B75">
        <w:tab/>
        <w:t>konstatuje, že EU a její členské státy poskytují zhruba jednu třetinu celosvětového veřejného financování opatření v oblasti klimatu, což z nich činí v globálním měřítku největšího poskytovatele, přičemž v roce 2023 bylo poskytnuto 28,6 miliardy EUR z veřejných zdrojů a mobilizovány byly rovněž soukromé finanční prostředky ve výši 7,2 miliardy EUR; opakuje, že rozpočty EU a členských států by měly být přizpůsobeny tak, aby odpovídaly novému kolektivnímu kvantifikovanému cíli pro financování opatření v oblasti klimatu (NCQG), a EU tak mohla zajistit svůj spravedlivý podíl na mezinárodním financování opatření v oblasti klimatu, a to i mobilizací soukromého financování těchto opatření; domnívá se, že nový kolektivní kvantifikovaný cíl pro financování opatření v oblasti klimatu představuje spodní hranici pro mobilizaci finančních prostředků na opatření v oblasti klimatu;</w:t>
      </w:r>
    </w:p>
    <w:p w14:paraId="4526902C" w14:textId="77777777" w:rsidR="00514785" w:rsidRPr="009F3B75" w:rsidRDefault="00514785" w:rsidP="00514785">
      <w:pPr>
        <w:pStyle w:val="NormalHanging12a"/>
      </w:pPr>
      <w:r w:rsidRPr="009F3B75">
        <w:t>17.</w:t>
      </w:r>
      <w:r w:rsidRPr="009F3B75">
        <w:tab/>
        <w:t>uznává, že EU sehrála významnou roli při zprostředkování dohody o novém kolektivním kvantifikovaném cíli pro financování opatření v oblasti klimatu; vyzývá všechny smluvní strany, aby přispěly svým spravedlivým dílem k naplnění nového kolektivního kvantifikovaného cíle pro financování opatření v oblasti klimatu, který by měl zahrnovat dílčí cíle pro financování zmírňování změny klimatu a přizpůsobování se této změny, jakož i financování ztrát a škod; vyzývá EU a její členské státy, aby prostřednictvím specializovaného a předvídatelného mechanismu EU pro veřejné finance navýšily nové a dodatečné financování opatření v oblasti klimatu, které bude v souladu s dohodnutým novým kvantitativním rámcem; připomíná, že pro dosažení potřebné úrovně celosvětového financování opatření v oblasti klimatu bude nutné vytvořit širší přispěvatelskou základnu, která bude odrážet vyvíjející se finanční možnosti smluvních stran; očekává, že země s vyššími středními příjmy a vysokými emisemi přispějí svým spravedlivým dílem a navýší své příspěvky více, než je tomu v současnosti; vyzývá všechny smluvní strany, aby se dohodly na nových a inovativních zdrojích veřejného i soukromého financování; vyzývá smluvní strany, aby při financování nového kolektivního kvantifikovaného cíle pro financování opatření v oblasti klimatu upřednostňovaly nástroje a opatření, které jsou založeny na grantech a nezpůsobují zadlužení, aby bylo zajištěno, že přijímající země budou schopny provádět nezbytná zmírňující a adaptační opatření, aniž by zvyšovaly svou dluhovou zátěž; vyjadřuje své znepokojení nad tím, že plnění nového kolektivního kvantifikovaného cíle pro financování opatření v oblasti klimatu je dosahováno zařazením jiných fondů do nové kategorie; poukazuje rovněž na obavy, které plynou z toho, že není jednoznačně stanoveno, jaký druh financování přispívá k novému kolektivnímu kvantifikovanému cíli pro financování opatření v oblasti klimatu, zvláště pak v souvislosti s problémem dvojího započítávání;</w:t>
      </w:r>
    </w:p>
    <w:p w14:paraId="7375B9F4" w14:textId="77777777" w:rsidR="00514785" w:rsidRPr="009F3B75" w:rsidRDefault="00514785" w:rsidP="00514785">
      <w:pPr>
        <w:pStyle w:val="NormalHanging12a"/>
      </w:pPr>
      <w:r w:rsidRPr="009F3B75">
        <w:t>18.</w:t>
      </w:r>
      <w:r w:rsidRPr="009F3B75">
        <w:tab/>
        <w:t xml:space="preserve">vyzývá všechny aktéry, aby zajistili, že plán od Baku po Belém poskytne jasný a proveditelný plán na uvolnění potřebných prostředků; naléhavě vyzývá všechny smluvní strany, aby podporovaly těsnou spolupráci veřejného a soukromého sektoru a aby posílením regulačních rámců pro odpovědné a udržitelné investice mobilizovaly rozsáhlé objemy soukromých investic; konstatuje, že největší část požadovaných investic do globální klimatické transformace budou muset pokrýt soukromé investice; </w:t>
      </w:r>
      <w:r w:rsidRPr="009F3B75">
        <w:lastRenderedPageBreak/>
        <w:t>zdůrazňuje, že plán by měl zahrnovat spolehlivý a nezávislý mechanismus odpovědnosti s cílem zajistit transparentnost a umožnit účinné sledování pokroku;</w:t>
      </w:r>
    </w:p>
    <w:p w14:paraId="066BBAE8" w14:textId="77777777" w:rsidR="00514785" w:rsidRPr="009F3B75" w:rsidRDefault="00514785" w:rsidP="00514785">
      <w:pPr>
        <w:pStyle w:val="NormalHanging12a"/>
      </w:pPr>
      <w:r w:rsidRPr="009F3B75">
        <w:t>19.</w:t>
      </w:r>
      <w:r w:rsidRPr="009F3B75">
        <w:tab/>
        <w:t>konstatuje, že mnoho zemí ohrožených změnou klimatu, včetně některých nejméně rozvinutých zemí, se nachází v dluhové tísni nebo je vystaveno značnému riziku zadlužení, a že financování opatření v oblasti klimatu by proto mělo být přidělováno způsobem, který nezvyšuje jejich dluhovou zátěž, přičemž prioritou by mělo být financování založené na grantech; vyzývá Komisi a členské státy, aby posoudily své možnosti, jak přispět ke zmírnění této dluhové tísně, a aby neprodleně přijaly příslušná opatření;</w:t>
      </w:r>
    </w:p>
    <w:p w14:paraId="6DEE1418" w14:textId="77777777" w:rsidR="00514785" w:rsidRPr="009F3B75" w:rsidRDefault="00514785" w:rsidP="00514785">
      <w:pPr>
        <w:pStyle w:val="NormalHanging12a"/>
      </w:pPr>
      <w:r w:rsidRPr="009F3B75">
        <w:t>20.</w:t>
      </w:r>
      <w:r w:rsidRPr="009F3B75">
        <w:tab/>
        <w:t>zdůrazňuje, že orgány OSN se shodují na tom, že financování opatření v oblasti klimatu nelze spravedlivě rozšířit, pokud nebude vyřešena dluhová krize; zdůrazňuje v této souvislosti význam nástrojů pro zmírnění dluhového břemene;</w:t>
      </w:r>
    </w:p>
    <w:p w14:paraId="6185D74D" w14:textId="77777777" w:rsidR="00514785" w:rsidRPr="009F3B75" w:rsidRDefault="00514785" w:rsidP="00514785">
      <w:pPr>
        <w:pStyle w:val="NormalHanging12a"/>
        <w:rPr>
          <w:rFonts w:eastAsia="Calibri"/>
        </w:rPr>
      </w:pPr>
      <w:r w:rsidRPr="009F3B75">
        <w:t>21.</w:t>
      </w:r>
      <w:r w:rsidRPr="009F3B75">
        <w:tab/>
        <w:t>vyzývá Komisi, členské státy a mezinárodní partnery, aby hlavní součástí strategií přizpůsobování se změně klimatu a jejího zmírňování učinili mikrofinancování v oblasti klimatu a podpořili za tímto účelem místní mikroúvěrové instituce při vytváření a zvyšování kapacity finančních produktů zacílených na zranitelné skupiny obyvatelstva, včetně mikroúvěrů na zelené technologie, mikropojištění proti klimatickým rizikům a mikrospoření pro zvyšování odolnosti komunit, se zvláštním zaměřením na ženy, mladé lidi a venkovské komunity;</w:t>
      </w:r>
    </w:p>
    <w:p w14:paraId="66A1851B" w14:textId="77777777" w:rsidR="00514785" w:rsidRPr="009F3B75" w:rsidRDefault="00514785" w:rsidP="00514785">
      <w:pPr>
        <w:pStyle w:val="NormalHanging12a"/>
        <w:rPr>
          <w:rFonts w:eastAsia="Calibri"/>
        </w:rPr>
      </w:pPr>
      <w:r w:rsidRPr="009F3B75">
        <w:t>22.</w:t>
      </w:r>
      <w:r w:rsidRPr="009F3B75">
        <w:tab/>
        <w:t>zdůrazňuje, že je naléhavě zapotřebí zjednodušit a urychlit a přizpůsobit postupy financování opatření v oblasti klimatu, tak aby odpovídaly podmínkám rozvojových zemí a za tímto účelem zejména zřídit jednotná přístupová místa, harmonizovat kritéria pro podávání žádostí a poskytovat technickou pomoc při přípravě projektů, aby byla zajištěna dostupnost, rychlost a účinnost financování opatření v oblasti klimatu pro místní organizace a komunity, které jsou změnou klimatu nejvíce postiženy;</w:t>
      </w:r>
    </w:p>
    <w:p w14:paraId="5D7C385F" w14:textId="77777777" w:rsidR="00514785" w:rsidRPr="009F3B75" w:rsidRDefault="00514785" w:rsidP="00514785">
      <w:pPr>
        <w:pStyle w:val="NormalHanging12a"/>
      </w:pPr>
      <w:r w:rsidRPr="009F3B75">
        <w:t>23.</w:t>
      </w:r>
      <w:r w:rsidRPr="009F3B75">
        <w:tab/>
        <w:t>domnívá se, že na konferenci COP30 je nezbytné pokročit v praktickém uplatňování čl. 2 odst. 1 písm. c) Pařížské dohody a učinit z toho stálý bod na pořadech jednání konferencí COP; vyzývá EU, aby se zapojila do mezinárodních iniciativ, jako je iniciativa Bridgetown 3.0; vyzývá k urychlené reformě mezinárodní finanční architektury a žádá všechny významné mezinárodní finanční instituce a mnohostranné rozvojové banky, aby se ujaly své role klimatických bank a sladily svá portfolia a úvěrové politiky s Pařížskou dohodou tak, aby byla dlouhodobě finančně udržitelná; žádá rovněž, aby domácí i mezinárodní systémy lépe reflektovaly výzvy spojené se změnou klimatu a odstranily v této souvislosti překážky bránící v přístupu k financování čistých technologií a přesunuly toky veřejných a soukromých finančních prostředků od činností vytvářejících větší emisí zátěž;</w:t>
      </w:r>
    </w:p>
    <w:p w14:paraId="018B6D02" w14:textId="77777777" w:rsidR="00514785" w:rsidRPr="009F3B75" w:rsidRDefault="00514785" w:rsidP="00514785">
      <w:pPr>
        <w:pStyle w:val="NormalHanging12a"/>
      </w:pPr>
      <w:r w:rsidRPr="009F3B75">
        <w:t>24.</w:t>
      </w:r>
      <w:r w:rsidRPr="009F3B75">
        <w:tab/>
        <w:t>domnívá se, že Evropská investiční banka (EIB) by měla sloužit jako klimatická banka Unie, a chápe proto v této souvislosti její klimatický plán a aktualizovanou úvěrovou politiku v oblasti energetiky, jakož i další úsilí Evropského investičního fondu (EIF), jako důležité kroky v rámci prosazování investic v oblasti klimatu;</w:t>
      </w:r>
    </w:p>
    <w:p w14:paraId="5CE186B2" w14:textId="77777777" w:rsidR="00514785" w:rsidRPr="009F3B75" w:rsidRDefault="00514785" w:rsidP="00514785">
      <w:pPr>
        <w:pStyle w:val="NormalHanging12a"/>
        <w:rPr>
          <w:b/>
          <w:bCs/>
          <w:i/>
        </w:rPr>
      </w:pPr>
      <w:r w:rsidRPr="009F3B75">
        <w:rPr>
          <w:b/>
          <w:i/>
        </w:rPr>
        <w:t>Přizpůsobování se změně klimatu, ztráty a škody a spravedlivá transformace</w:t>
      </w:r>
    </w:p>
    <w:p w14:paraId="52F93182" w14:textId="77777777" w:rsidR="00514785" w:rsidRPr="009F3B75" w:rsidRDefault="00514785" w:rsidP="00514785">
      <w:pPr>
        <w:pStyle w:val="NormalHanging12a"/>
      </w:pPr>
      <w:r w:rsidRPr="009F3B75">
        <w:t>25.</w:t>
      </w:r>
      <w:r w:rsidRPr="009F3B75">
        <w:tab/>
        <w:t xml:space="preserve">zdůrazňuje, že je třeba posílit přizpůsobování se změně klimatu, odolnost a připravenost v rámci EU i na celém světě s cílem minimalizovat negativní dopady změny klimatu </w:t>
      </w:r>
      <w:r w:rsidRPr="009F3B75">
        <w:lastRenderedPageBreak/>
        <w:t>a úbytku biologické rozmanitosti, jakož i se touto otázkou komplexně zabývat na konferencích COP, a vyzdvihuje důležitou úlohu místních a regionálních orgánů při plánování a provádění těchto opatření; uvědomuje si význam celosvětové spolupráce a výměny metodických znalostí a nejdůležitějších vědeckých poznatků i osvědčených postupů, které jsou v oblasti přizpůsobování se změně klimatu dostupné; zdůrazňuje, že náklady na přizpůsobování se změně klimatu se v důsledku nečinnosti a opožděných opatření budou zvyšovat;</w:t>
      </w:r>
    </w:p>
    <w:p w14:paraId="3CED1B2C" w14:textId="77777777" w:rsidR="00514785" w:rsidRPr="009F3B75" w:rsidRDefault="00514785" w:rsidP="00514785">
      <w:pPr>
        <w:pStyle w:val="NormalHanging12a"/>
      </w:pPr>
      <w:r w:rsidRPr="009F3B75">
        <w:t>26.</w:t>
      </w:r>
      <w:r w:rsidRPr="009F3B75">
        <w:tab/>
        <w:t>opětovně vyjadřuje své hluboké znepokojení nad rostoucí intenzitou a četností extrémních povětrnostních jevů v EU i na celém světě, včetně přírodních požárů, sucha, vln veder a záplav, nad jejich dopadem na lidské zdraví a nad rostoucími ztrátami na životech; konstatuje, že ve všech scénářích IPCC se očekává, že vzestup hladiny moří se v průběhu tohoto století zrychlí, což povede k finančním nákladům a ke ztrátě pobřežních oblastí na celém světě;</w:t>
      </w:r>
    </w:p>
    <w:p w14:paraId="6F3843BE" w14:textId="77777777" w:rsidR="00514785" w:rsidRPr="009F3B75" w:rsidRDefault="00514785" w:rsidP="00514785">
      <w:pPr>
        <w:pStyle w:val="NormalHanging12a"/>
      </w:pPr>
      <w:r w:rsidRPr="009F3B75">
        <w:t>27.</w:t>
      </w:r>
      <w:r w:rsidRPr="009F3B75">
        <w:tab/>
        <w:t>zdůrazňuje, že na konferenci COP30 by měl být operacionalizován rámec pro globální cíl v oblasti přizpůsobování se změně klimatu a že za tímto účelem by měly být mimo jiné stanoveny účinné a použitelné ukazatele a spolehlivé komplexní systémy monitorování a projednány různé způsoby provádění, aby bylo možné účinně sledovat pokrok při plnění cílů v oblasti přizpůsobování se změně klimatu, které byly stanoveny na konferenci COP28; poukazuje na to, že zatímco financování a provádění opatření v oblasti zmírňování změny klimatu pokročilo, úsilí zaměřené na přizpůsobování se změně klimatu je nadále nedostatečné, přičemž se prohlubují rozdíly jak ve financování, tak v konkrétních opatřeních;</w:t>
      </w:r>
    </w:p>
    <w:p w14:paraId="5C8BCB47" w14:textId="77777777" w:rsidR="00514785" w:rsidRPr="009F3B75" w:rsidRDefault="00514785" w:rsidP="00514785">
      <w:pPr>
        <w:pStyle w:val="NormalHanging12a"/>
      </w:pPr>
      <w:r w:rsidRPr="009F3B75">
        <w:t>28.</w:t>
      </w:r>
      <w:r w:rsidRPr="009F3B75">
        <w:tab/>
        <w:t>vyzdvihuje význam národních adaptačních plánů a poukazuje na potřebu jejich harmonizace s plánem z Baku do Belému; vyzývá smluvní strany, které tak dosud neučinily, aby co nejdříve zavedly své národní adaptační plány, a všechny smluvní strany žádá, aby pokročily v jejich provádění do roku 2030 a aby se v nich zaměřily na řešení inspirovaná přírodou; vyzývá všechny smluvní strany, aby do svých plánů zapracovaly průřezové prvky, jako je rovnost žen a mužů a lidská práva;</w:t>
      </w:r>
    </w:p>
    <w:p w14:paraId="7A025B59" w14:textId="77777777" w:rsidR="00514785" w:rsidRPr="009F3B75" w:rsidRDefault="00514785" w:rsidP="00514785">
      <w:pPr>
        <w:pStyle w:val="NormalHanging12a"/>
        <w:rPr>
          <w:rFonts w:eastAsia="Calibri"/>
        </w:rPr>
      </w:pPr>
      <w:r w:rsidRPr="009F3B75">
        <w:t>29.</w:t>
      </w:r>
      <w:r w:rsidRPr="009F3B75">
        <w:tab/>
        <w:t>vyzývá ke zvýšení investic do systémů včasného varování a systémů řízení rizik ve zranitelných regionech a zdůrazňuje jejich zásadní význam pro ochranu životů, zabezpečení zdrojů obživy a posílení odolnosti vůči klimatickým rizikům;</w:t>
      </w:r>
    </w:p>
    <w:p w14:paraId="47776F80" w14:textId="77777777" w:rsidR="00514785" w:rsidRPr="009F3B75" w:rsidRDefault="00514785" w:rsidP="00514785">
      <w:pPr>
        <w:pStyle w:val="NormalHanging12a"/>
        <w:rPr>
          <w:rFonts w:eastAsia="Calibri"/>
        </w:rPr>
      </w:pPr>
      <w:r w:rsidRPr="009F3B75">
        <w:t>30.</w:t>
      </w:r>
      <w:r w:rsidRPr="009F3B75">
        <w:tab/>
        <w:t>vybízí k větší podpoře shromažďování, sdílení a analýzy údajů o klimatu a rizicích katastrof, jakož i zavádění vhodných technologií usnadňujících provádění těchto činností, aby se zvýšila dostupnost a kvalita informací pro ohrožené skupiny obyvatel; doporučuje, aby v rámci všech iniciativ včasného varování, které podporuje EU, byly vyčleněny zvláštní zdroje na průběžnou údržbu a aktualizace systému, zejména s ohledem na globální výzvy, s nimiž se potýkají vědecky podložená pozorování a postupy;</w:t>
      </w:r>
    </w:p>
    <w:p w14:paraId="4BFD593E" w14:textId="77777777" w:rsidR="00514785" w:rsidRPr="009F3B75" w:rsidRDefault="00514785" w:rsidP="00514785">
      <w:pPr>
        <w:pStyle w:val="NormalHanging12a"/>
      </w:pPr>
      <w:r w:rsidRPr="009F3B75">
        <w:t>31.</w:t>
      </w:r>
      <w:r w:rsidRPr="009F3B75">
        <w:tab/>
        <w:t>vítá rozhodnutí přijaté na 28. konferenci smluvních stran (COP28) o zřízení fondu pro kompenzaci ztrát a škod a očekává další pokrok v jeho provádění a financování; vyzývá všechny smluvní strany, aby v tomto ohledu zajistily transparentní pravidla; zdůrazňuje, že je důležité, aby ztráty a škody byly považovány za zvláštní kategorii a aby k nim s ohledem na to přistupovalo jako k samostatné položce, odlišné od přizpůsobování se změně klimatu, a to i v rámci globálního hodnocení;</w:t>
      </w:r>
    </w:p>
    <w:p w14:paraId="51556DE6" w14:textId="77777777" w:rsidR="00514785" w:rsidRPr="009F3B75" w:rsidRDefault="00514785" w:rsidP="00514785">
      <w:pPr>
        <w:pStyle w:val="NormalHanging12a"/>
      </w:pPr>
      <w:r w:rsidRPr="009F3B75">
        <w:lastRenderedPageBreak/>
        <w:t>32.</w:t>
      </w:r>
      <w:r w:rsidRPr="009F3B75">
        <w:tab/>
        <w:t>vyzývá všechny smluvní strany, aby zajistily transparentní přísliby a předvídatelné mechanismy provádění, pokud jde o financování ztrát a škod, včetně včasného vyplácení prostředků z fondu pro kompenzaci ztrát a škod; vyzývá všechny smluvní strany, aby zajistily, že prostředky plynoucí do fondu budou představovat dodatečné financování nad rámec stávajících příspěvků na financování opatření v oblasti klimatu; je pevně přesvědčen, že ztráty a škody je třeba kompenzovat přednostně formou grantů a že tento fond by měl existovat vedle oficiální rozvojové pomoci a tuto pomoc doplňovat;</w:t>
      </w:r>
    </w:p>
    <w:p w14:paraId="5565EA3E" w14:textId="77777777" w:rsidR="00514785" w:rsidRPr="009F3B75" w:rsidRDefault="00514785" w:rsidP="00514785">
      <w:pPr>
        <w:pStyle w:val="NormalHanging12a"/>
      </w:pPr>
      <w:r w:rsidRPr="009F3B75">
        <w:t>33.</w:t>
      </w:r>
      <w:r w:rsidRPr="009F3B75">
        <w:tab/>
        <w:t>opakuje svou výzvu, aby byla problematika ztrát a škod stálým bodem pořadu jednání na zasedáních konference smluvních stran;</w:t>
      </w:r>
    </w:p>
    <w:p w14:paraId="41D8369F" w14:textId="77777777" w:rsidR="00514785" w:rsidRPr="009F3B75" w:rsidRDefault="00514785" w:rsidP="00514785">
      <w:pPr>
        <w:pStyle w:val="NormalHanging12a"/>
      </w:pPr>
      <w:r w:rsidRPr="009F3B75">
        <w:t>34.</w:t>
      </w:r>
      <w:r w:rsidRPr="009F3B75">
        <w:tab/>
        <w:t>vyzývá všechny smluvní strany, aby pokročily ohledně pracovního programu pro spravedlivou transformaci tím, že budou prosazovat konkrétní opatření řešící nerovnosti vyhrocené následkem změny klimatu; domnívá se, že pracovní programy by měly zahrnovat cíle v oblasti vytváření důstojných pracovních míst a spravedlivé transformace pro všechny, a vyzývá všechny strany, aby podporovaly sociální dialog s organizacemi zaměstnavatelů a pracovníků a zapojením zúčastněných stran jako základ pro dosažení silného sociálního konsensu; vyzývá všechny smluvní strany, aby konstruktivně pracovaly na dosažení dohody o dalším provádění pracovního programu, přičemž uznává, že je třeba urychleně zajistit prostředky pro jeho provádění;</w:t>
      </w:r>
    </w:p>
    <w:p w14:paraId="1EB45365" w14:textId="77777777" w:rsidR="00514785" w:rsidRPr="009F3B75" w:rsidRDefault="00514785" w:rsidP="00514785">
      <w:pPr>
        <w:pStyle w:val="NormalHanging12a"/>
      </w:pPr>
      <w:r w:rsidRPr="009F3B75">
        <w:t>35.</w:t>
      </w:r>
      <w:r w:rsidRPr="009F3B75">
        <w:tab/>
        <w:t>zdůrazňuje, že změna klimatu ohrožuje základní práva a blaho dětí a mladých lidí; zdůrazňuje, že je třeba začlenit práva dětí a mezigenerační spravedlnost do všech aspektů politiky v oblasti klimatu, včetně přizpůsobení, zmírňování, ztrát a škod a financování opatření v oblasti klimatu;</w:t>
      </w:r>
    </w:p>
    <w:p w14:paraId="06F0172C" w14:textId="77777777" w:rsidR="00514785" w:rsidRPr="009F3B75" w:rsidRDefault="00514785" w:rsidP="00514785">
      <w:pPr>
        <w:pStyle w:val="NormalHanging12a"/>
        <w:rPr>
          <w:b/>
          <w:i/>
          <w:iCs/>
        </w:rPr>
      </w:pPr>
      <w:r w:rsidRPr="009F3B75">
        <w:rPr>
          <w:b/>
          <w:i/>
        </w:rPr>
        <w:t>Politika EU v oblasti klimatu v souladu s Pařížskou dohodou</w:t>
      </w:r>
    </w:p>
    <w:p w14:paraId="43B59F6B" w14:textId="77777777" w:rsidR="00514785" w:rsidRPr="009F3B75" w:rsidRDefault="00514785" w:rsidP="00514785">
      <w:pPr>
        <w:pStyle w:val="NormalHanging12a"/>
      </w:pPr>
      <w:r w:rsidRPr="009F3B75">
        <w:t>36.</w:t>
      </w:r>
      <w:r w:rsidRPr="009F3B75">
        <w:tab/>
        <w:t>zdůrazňuje skutečnost, že pokud budou současné právní předpisy EU v oblasti klimatu plně provedeny, sníží se čisté emise skleníkových plynů v EU do roku 2030 přibližně o 57 % ve srovnání s úrovní v roce 1990; konstatuje, že EU je v současné době na cestě ke snížení čistých emisí skleníkových plynů do roku 2030 pouze přibližně o 54 % ve srovnání s úrovní v roce 1990, pokud členské státy plně provedou stávající a plánovaná vnitrostátní opatření a politiky EU</w:t>
      </w:r>
      <w:r w:rsidRPr="009F3B75">
        <w:rPr>
          <w:vertAlign w:val="superscript"/>
        </w:rPr>
        <w:footnoteReference w:id="23"/>
      </w:r>
      <w:r w:rsidRPr="009F3B75">
        <w:t>; vyzývá členské státy, aby přijaly nezbytná opatření k odstranění tohoto nedostatku, a Komisi, aby přijala další opatření na podporu členských států v tomto úsilí; zdůrazňuje, že je třeba, aby politika EU v oblasti klimatu měla i nadále ambiciózní cíle v souladu s dohodnutými cílovými hodnotami a aby ve svých opatřeních upřednostňovala nákladovou efektivnost, konkurenceschopnost evropského hospodářství, sociální začlenění a vysokou úroveň ochrany životního prostředí;</w:t>
      </w:r>
    </w:p>
    <w:p w14:paraId="29B19AB3" w14:textId="77777777" w:rsidR="00514785" w:rsidRPr="009F3B75" w:rsidRDefault="00514785" w:rsidP="00514785">
      <w:pPr>
        <w:pStyle w:val="NormalHanging12a"/>
      </w:pPr>
      <w:r w:rsidRPr="009F3B75">
        <w:t>37.</w:t>
      </w:r>
      <w:r w:rsidRPr="009F3B75">
        <w:tab/>
        <w:t xml:space="preserve">zdůrazňuje, že je důležité dodržovat lhůty pro předkládání aktualizací vnitrostátních plánů v oblasti energetiky a klimatu, aby Komise mohla provést řádný přezkum; vítá, že Komise posoudila konečné znění plánů členských států v oblasti energetiky a klimatu na období do roku 2030, které tyto plány předložily; naléhavě vyzývá Komisi a členské státy, aby jednaly s potřebnou rozhodností a vyrovnaly rozdíl mezi vnitrostátními plány </w:t>
      </w:r>
      <w:r w:rsidRPr="009F3B75">
        <w:lastRenderedPageBreak/>
        <w:t>v oblasti energetiky a klimatu a závaznými cíli EU, a to i prostřednictvím prováděcích plánů;</w:t>
      </w:r>
    </w:p>
    <w:p w14:paraId="1D887BCD" w14:textId="77777777" w:rsidR="00514785" w:rsidRPr="009F3B75" w:rsidRDefault="00514785" w:rsidP="00514785">
      <w:pPr>
        <w:pStyle w:val="NormalHanging12a"/>
      </w:pPr>
      <w:r w:rsidRPr="009F3B75">
        <w:t>38.</w:t>
      </w:r>
      <w:r w:rsidRPr="009F3B75">
        <w:tab/>
        <w:t>zdůrazňuje, že je třeba přijmout vědecky podložený cíl EU v oblasti klimatu pro rok 2040 v souladu s evropským právním rámcem pro klima</w:t>
      </w:r>
      <w:r w:rsidRPr="009F3B75">
        <w:rPr>
          <w:vertAlign w:val="superscript"/>
        </w:rPr>
        <w:footnoteReference w:id="24"/>
      </w:r>
      <w:r w:rsidRPr="009F3B75">
        <w:t>, který zohlední všechna kritéria uvedená v čl. 4 odst. 5 tohoto rámce, a se závěry prvního globálního hodnocení; připomíná doporučení Evropského vědeckého poradního sboru pro změnu klimatu a bere na vědomí návrh Komise stanovit do roku 2040 cíl v oblasti klimatu, který by byl doprovázen podpůrnými politikami; vyjadřuje politování nad tím, že Rada nebyla schopna dohodnout se na vnitrostátně stanoveném příspěvku pro rok 2035 před uplynutím lhůty dne 23. září 2025; naléhavě vyzývá Radu, aby se co nejdříve dohodla na vnitrostátně stanoveném příspěvku, který by se nacházel na horní hranici uvedeného rozmezí;</w:t>
      </w:r>
    </w:p>
    <w:p w14:paraId="180238D9" w14:textId="77777777" w:rsidR="00514785" w:rsidRPr="009F3B75" w:rsidRDefault="00514785" w:rsidP="00514785">
      <w:pPr>
        <w:pStyle w:val="NormalHanging12a"/>
      </w:pPr>
      <w:r w:rsidRPr="009F3B75">
        <w:t>39.</w:t>
      </w:r>
      <w:r w:rsidRPr="009F3B75">
        <w:tab/>
        <w:t>připomíná, že je potřeba, aby si EU udržela vedoucí postavení na poli mezinárodních jednání a opatření v oblasti klimatu a mohla tak přispívat k zajištění rovných podmínek [a zabránit riziku úniku uhlíku] pro evropské podniky, zachovat veřejnou podporu pro opatření v oblasti klimatu a zabránit úniku uhlíku;</w:t>
      </w:r>
    </w:p>
    <w:p w14:paraId="284B9A5A" w14:textId="77777777" w:rsidR="00514785" w:rsidRPr="009F3B75" w:rsidRDefault="00514785" w:rsidP="00514785">
      <w:pPr>
        <w:pStyle w:val="NormalHanging12a"/>
      </w:pPr>
      <w:r w:rsidRPr="009F3B75">
        <w:t>40.</w:t>
      </w:r>
      <w:r w:rsidRPr="009F3B75">
        <w:tab/>
        <w:t>zdůrazňuje úlohu Evropského vědeckého poradního výboru pro změnu klimatu (ESABCC), stanovený evropským právním rámcem pro klima; vyzývá Komisi, aby ve zprávách o posouzení dopadů nebo jiných veřejně přístupných dokumentech zdůvodnila odchylky od doporučení Evropského vědeckého poradního výboru pro změnu klimatu (ESABCC) a zabývala se možnostmi politických kompromisů; dále vyzývá Komisi, aby v nadcházejících rozpočtových návrzích zajistila pro Evropský vědecký poradní výbor pro změnu klimatu (ESABCC) dostatečné finanční prostředky a umožnila mu tak plnit jeho zákonný mandát;</w:t>
      </w:r>
    </w:p>
    <w:p w14:paraId="776D270A" w14:textId="77777777" w:rsidR="00514785" w:rsidRPr="009F3B75" w:rsidRDefault="00514785" w:rsidP="00514785">
      <w:pPr>
        <w:pStyle w:val="NormalHanging12a"/>
      </w:pPr>
      <w:r w:rsidRPr="009F3B75">
        <w:t>41.</w:t>
      </w:r>
      <w:r w:rsidRPr="009F3B75">
        <w:tab/>
        <w:t>znovu opakuje, že je naléhavě zapotřebí začlenit klimatické cíle do všech politik EU a transpozičních opatření, a zdůrazňuje, že čl. 6 odst. 2 a 4 evropského právního rámce pro klima ukládá Komisi povinnost posoudit soulad všech stávajících opatření, návrhů opatření nebo legislativních návrhů, včetně návrhů rozpočtových, s cíli EU v oblasti klimatu; připomíná, že v souladu s evropským právním rámcem pro klima by se EU a členské státy měly ve své činnosti řídit zásadou předběžné opatrnosti a zásadou „znečišťovatel platí“, které jsou stanoveny ve Smlouvě o fungování Evropské unie, a měly by rovněž přihlížet k zásadě „energetická účinnost v první řadě“, s níž pracuje energetická unie, a zásadě „neškodit“;</w:t>
      </w:r>
    </w:p>
    <w:p w14:paraId="317F9B40" w14:textId="77777777" w:rsidR="00514785" w:rsidRPr="009F3B75" w:rsidRDefault="00514785" w:rsidP="00514785">
      <w:pPr>
        <w:pStyle w:val="NormalHanging12a"/>
      </w:pPr>
      <w:r w:rsidRPr="009F3B75">
        <w:t>42.</w:t>
      </w:r>
      <w:r w:rsidRPr="009F3B75">
        <w:tab/>
        <w:t>zdůrazňuje, že účinný přístup ke spravedlnosti v záležitostech životního prostředí v souladu s Aarhuskou úmluvou má pro dosažení cílů Pařížské dohody zásadní význam; je přesvědčen, že EU a členské státy by měly jít příkladem a uplatňovat závěry a doporučení Výboru pro dodržování Aarhuské úmluvy, respektovat své mezinárodní závazky vyplývající z Aarhuské úmluvy a zásady právního státu;</w:t>
      </w:r>
    </w:p>
    <w:p w14:paraId="0773C064" w14:textId="77777777" w:rsidR="00514785" w:rsidRPr="009F3B75" w:rsidRDefault="00514785" w:rsidP="00514785">
      <w:pPr>
        <w:pStyle w:val="NormalHanging12a"/>
      </w:pPr>
      <w:r w:rsidRPr="009F3B75">
        <w:t>43.</w:t>
      </w:r>
      <w:r w:rsidRPr="009F3B75">
        <w:tab/>
        <w:t xml:space="preserve">vyzývá členské státy a Komisi, aby zajistily, aby vnitrostátní plány v oblasti energetiky a klimatu a dlouhodobé strategie členských států zahrnovaly opatření a finanční </w:t>
      </w:r>
      <w:r w:rsidRPr="009F3B75">
        <w:lastRenderedPageBreak/>
        <w:t>prostředky, jež budou dostatečné pro dosažení cílů EU pro rok 2030 a po něm; vyzývá členské státy, aby zvýšily své úsilí a zajistily, že EU splní své cíle pro rok 2030;</w:t>
      </w:r>
    </w:p>
    <w:p w14:paraId="7EA88382" w14:textId="77777777" w:rsidR="00514785" w:rsidRPr="009F3B75" w:rsidRDefault="00514785" w:rsidP="00514785">
      <w:pPr>
        <w:pStyle w:val="NormalHanging12a"/>
      </w:pPr>
      <w:r w:rsidRPr="009F3B75">
        <w:t>44.</w:t>
      </w:r>
      <w:r w:rsidRPr="009F3B75">
        <w:tab/>
        <w:t>poukazuje na to, že v době rostoucí geopolitické nestability a nestabilních trhů s energií je dekarbonizace pro EU silnou hnací silou strategické autonomie a hospodářské konkurenceschopnosti; připomíná, že tuto skutečnost reflektuje dohoda o čistém průmyslu a její cíl spojit opatření v oblasti klimatu a konkurenceschopnost do jedné zastřešující strategie;</w:t>
      </w:r>
    </w:p>
    <w:p w14:paraId="21CA017F" w14:textId="77777777" w:rsidR="00514785" w:rsidRPr="009F3B75" w:rsidRDefault="00514785" w:rsidP="00514785">
      <w:pPr>
        <w:pStyle w:val="NormalHanging12a"/>
      </w:pPr>
      <w:r w:rsidRPr="009F3B75">
        <w:t>45.</w:t>
      </w:r>
      <w:r w:rsidRPr="009F3B75">
        <w:tab/>
        <w:t>se znepokojením konstatuje, že dotace na fosilní paliva v posledních letech vzrostly a v roce 2023 dosáhly celosvětově 620 miliard USD, přičemž značný podíl těchto dotací byl zaznamenán v rozvíjejících se a rozvojových ekonomikách; vyjadřuje politování nad tím, že dotace na energii z fosilních zdrojů jsou v EU stále vysoké, takže v roce 2023 i při svém snížení oproti roku 2022 dosahovaly 111 miliard EU; připomíná, že dotace na dovoz energie z fosilních zdrojů zatěžují evropské ekonomiky a oslabují pobídky k přechodu na čistou energii; zdůrazňuje, že je důležité omezit na mezinárodní úrovni dotování paliv, která nejvíce znečišťují životní prostředí, a tyto dotace transparentně vykazovat; připomíná, že je třeba, aby Komise a členské státy provedly požadavek osmého akčního programu pro životní prostředí s cílem „stanovit lhůtu pro postupné ukončení dotací na fosilní paliva v souladu s ambicí snížit globální oteplování o 1,5 °C“; vyjadřuje politování nad nedostatečným pokrokem, jehož bylo dosaženo od přijetí programu v roce 2022, a vyzývá Komisi, aby v souladu se závazky EU v oblasti klimatu předložila svůj plán dalšího snižování a postupného rušení dotací na fosilní paliva;</w:t>
      </w:r>
    </w:p>
    <w:p w14:paraId="5DA834EF" w14:textId="77777777" w:rsidR="00514785" w:rsidRPr="009F3B75" w:rsidRDefault="00514785" w:rsidP="00514785">
      <w:pPr>
        <w:pStyle w:val="NormalHanging12a"/>
      </w:pPr>
      <w:r w:rsidRPr="009F3B75">
        <w:t>46.</w:t>
      </w:r>
      <w:r w:rsidRPr="009F3B75">
        <w:tab/>
        <w:t>zdůrazňuje, že v současné geopolitické situaci je naléhavě zapotřebí ukončit závislost EU na fosilních palivech a urychlit energetickou transformaci; vítá pokrok dosažený v rámci programu REPowerEU a vyzývá EU a členské státy k rychlejšímu postupu;</w:t>
      </w:r>
    </w:p>
    <w:p w14:paraId="19039FD3" w14:textId="77777777" w:rsidR="00514785" w:rsidRPr="009F3B75" w:rsidRDefault="00514785" w:rsidP="00514785">
      <w:pPr>
        <w:pStyle w:val="NormalHanging12a"/>
      </w:pPr>
      <w:r w:rsidRPr="009F3B75">
        <w:t>47.</w:t>
      </w:r>
      <w:r w:rsidRPr="009F3B75">
        <w:tab/>
        <w:t>se zájmem očekává připravovaný plán EU pro přizpůsobení se změně klimatu, včetně příslušných legislativních opatření k zajištění koordinované připravenosti EU na rostoucí klimatická rizika;</w:t>
      </w:r>
    </w:p>
    <w:p w14:paraId="3B1723D1" w14:textId="77777777" w:rsidR="00514785" w:rsidRPr="009F3B75" w:rsidRDefault="00514785" w:rsidP="00514785">
      <w:pPr>
        <w:pStyle w:val="NormalHanging12a"/>
      </w:pPr>
      <w:r w:rsidRPr="009F3B75">
        <w:t>48.</w:t>
      </w:r>
      <w:r w:rsidRPr="009F3B75">
        <w:tab/>
        <w:t>vyzývá EU, aby důkladněji zabývala otázkou, jakými různými způsoby přispívá ke změně klimatu za svými hranicemi, a aby tento problém řešila;</w:t>
      </w:r>
    </w:p>
    <w:p w14:paraId="01C5CB51" w14:textId="77777777" w:rsidR="00514785" w:rsidRPr="009F3B75" w:rsidRDefault="00514785" w:rsidP="00514785">
      <w:pPr>
        <w:pStyle w:val="NormalHanging12a"/>
        <w:rPr>
          <w:b/>
          <w:bCs/>
          <w:i/>
        </w:rPr>
      </w:pPr>
      <w:r w:rsidRPr="009F3B75">
        <w:rPr>
          <w:b/>
          <w:i/>
        </w:rPr>
        <w:t>Trojí krize planety: změna klimatu, znečištění a úbytek biologické rozmanitosti</w:t>
      </w:r>
    </w:p>
    <w:p w14:paraId="1C15935B" w14:textId="77777777" w:rsidR="00514785" w:rsidRPr="009F3B75" w:rsidRDefault="00514785" w:rsidP="00514785">
      <w:pPr>
        <w:pStyle w:val="NormalHanging12a"/>
      </w:pPr>
      <w:r w:rsidRPr="009F3B75">
        <w:t>49.</w:t>
      </w:r>
      <w:r w:rsidRPr="009F3B75">
        <w:tab/>
        <w:t>zdůrazňuje, že krize týkající se změny klimatu, znečištění a úbytku biologické rozmanitosti jsou vzájemně propojeny a vzájemně se posilují a že reakce na tyto krize je třeba sladit; zdůrazňuje význam ochrany, zachování a obnovy biologické rozmanitosti a ekosystémů, včetně stávajících ekosystémů bohatých na uhlík, a udržitelného řízení přírodních zdrojů pro zvýšení účinnosti přírodního zmírňování změny klimatu a přizpůsobování se této změně;</w:t>
      </w:r>
    </w:p>
    <w:p w14:paraId="02C2D4FE" w14:textId="77777777" w:rsidR="00514785" w:rsidRPr="009F3B75" w:rsidRDefault="00514785" w:rsidP="00514785">
      <w:pPr>
        <w:pStyle w:val="NormalHanging12a"/>
      </w:pPr>
      <w:r w:rsidRPr="009F3B75">
        <w:t>50.</w:t>
      </w:r>
      <w:r w:rsidRPr="009F3B75">
        <w:tab/>
        <w:t xml:space="preserve">připomíná význam využívání půdy, změny ve využívání půdy a lesnictví (LULUCF) pro dosažení cílů Unie v oblasti klimatu a biologické rozmanitosti; připomíná, že nařízení o obnově přírody je jedním z nástrojů EU pro splnění jejích cílů vyplývajících </w:t>
      </w:r>
      <w:r w:rsidRPr="009F3B75">
        <w:lastRenderedPageBreak/>
        <w:t>z nařízení o využívání půdy, změny ve využívání půdy a lesnictví (LULUCF)</w:t>
      </w:r>
      <w:r w:rsidRPr="009F3B75">
        <w:rPr>
          <w:rStyle w:val="FootnoteReference"/>
        </w:rPr>
        <w:footnoteReference w:id="25"/>
      </w:r>
      <w:r w:rsidRPr="009F3B75">
        <w:t xml:space="preserve"> a jejích mezinárodních závazků v oblasti biologické rozmanitosti, zejména celosvětového rámce pro biologickou rozmanitost (GBF) z Kchun-mingu a Montréalu;</w:t>
      </w:r>
    </w:p>
    <w:p w14:paraId="0771D0F8" w14:textId="77777777" w:rsidR="00514785" w:rsidRPr="009F3B75" w:rsidRDefault="00514785" w:rsidP="00514785">
      <w:pPr>
        <w:pStyle w:val="NormalHanging12a"/>
      </w:pPr>
      <w:r w:rsidRPr="009F3B75">
        <w:t>51.</w:t>
      </w:r>
      <w:r w:rsidRPr="009F3B75">
        <w:tab/>
        <w:t>připomíná, že je důležité, aby environmentální politiky byly navrhovány a prováděny v plném souladu s přístupem „Jedno zdraví“, jehož cílem je trvale udržovat rovnováhu a optimalizovat zdraví lidí, zvířat a ekosystémů;</w:t>
      </w:r>
    </w:p>
    <w:p w14:paraId="346A7285" w14:textId="77777777" w:rsidR="00514785" w:rsidRPr="009F3B75" w:rsidRDefault="00514785" w:rsidP="00514785">
      <w:pPr>
        <w:pStyle w:val="NormalHanging12a"/>
      </w:pPr>
      <w:r w:rsidRPr="009F3B75">
        <w:t>52.</w:t>
      </w:r>
      <w:r w:rsidRPr="009F3B75">
        <w:tab/>
        <w:t>zdůrazňuje, že je třeba podporovat a chránit ochránce životního prostředí a pohnat k odpovědnosti ty, kteří je ohrožují;</w:t>
      </w:r>
    </w:p>
    <w:p w14:paraId="72B81A2B" w14:textId="77777777" w:rsidR="00514785" w:rsidRPr="009F3B75" w:rsidRDefault="00514785" w:rsidP="00514785">
      <w:pPr>
        <w:pStyle w:val="NormalHanging12a"/>
      </w:pPr>
      <w:r w:rsidRPr="009F3B75">
        <w:t>53.</w:t>
      </w:r>
      <w:r w:rsidRPr="009F3B75">
        <w:tab/>
        <w:t>zdůrazňuje, že půda je největším suchozemským úložištěm uhlíku a plní nepostradatelnou úlohu v globálním klimatickém cyklu; vítá veškeré úsilí vlád i nevládních organizací o maximalizaci potenciálu půdy ke zmírňování změny klimatu a zlepšení dostupnosti vody; v této souvislosti zdůrazňuje dohodu dosaženou na úrovni EU ohledně zákona o monitorování půdy, jehož účelem je zlepšit kapacity členských států a pomoci EU s plněním jejích mezinárodních závazků;</w:t>
      </w:r>
    </w:p>
    <w:p w14:paraId="1BD0C79E" w14:textId="77777777" w:rsidR="00514785" w:rsidRPr="009F3B75" w:rsidRDefault="00514785" w:rsidP="00514785">
      <w:pPr>
        <w:pStyle w:val="NormalHanging12a"/>
      </w:pPr>
      <w:r w:rsidRPr="009F3B75">
        <w:t>54.</w:t>
      </w:r>
      <w:r w:rsidRPr="009F3B75">
        <w:tab/>
        <w:t>zdůrazňuje, že důležitou roli v opatřeních v oblasti klimatu a při zmírňování změny klimatu hrají lesy; podtrhuje význam celosvětového úsilí proti odlesňování, neboť lesy zajišťují jeden z největších propadů uhlíku na světě a jsou zásadní zásobárnou z hlediska biologické rozmanitosti; upozorňuje na naléhavou potřebu chránit nejdůležitější světové lesní oblasti, jako je amazonský deštný prales, a to i v nejvzdálenějších regionech EU; opětovně potvrzuje závazek EU k deklaraci světových vedoucích představitelů o lesích a využívání půdy z Glasgow (COP26); vyzývá všechny smluvní strany, aby si stanovily cíle pro zvýšení čistého pohlcování ekvivalentu CO</w:t>
      </w:r>
      <w:r w:rsidRPr="009F3B75">
        <w:rPr>
          <w:vertAlign w:val="subscript"/>
        </w:rPr>
        <w:t>2</w:t>
      </w:r>
      <w:r w:rsidRPr="009F3B75">
        <w:t xml:space="preserve"> prostřednictvím činností zaměřených na využívání půdy, změny ve využívání půdy a lesnictví (LULUCF);</w:t>
      </w:r>
    </w:p>
    <w:p w14:paraId="3386A821" w14:textId="77777777" w:rsidR="00514785" w:rsidRPr="009F3B75" w:rsidRDefault="00514785" w:rsidP="00514785">
      <w:pPr>
        <w:pStyle w:val="NormalHanging12a"/>
      </w:pPr>
      <w:r w:rsidRPr="009F3B75">
        <w:t>55.</w:t>
      </w:r>
      <w:r w:rsidRPr="009F3B75">
        <w:tab/>
        <w:t>zdůrazňuje zásadní význam mokřadů – včetně rašelinišť, mangrovových porostů a dalších pobřežních a vnitrozemských mokřadních ekosystémů – jako jedněch z nejúčinnějších přirozených propadů uhlíku na planetě; vyzývá všechny smluvní strany, aby bezodkladně zvýšily své úsilí o zachování, udržitelné obhospodařování a obnovu mokřadů, představující klíčovou strategie pro zmírnění dopadů změny klimatu, přizpůsobení se této změně, ochranu biologické rozmanitosti a udržitelnost souvisejících sociálních a ekonomických aktivit;</w:t>
      </w:r>
    </w:p>
    <w:p w14:paraId="4FECC883" w14:textId="77777777" w:rsidR="00514785" w:rsidRPr="009F3B75" w:rsidRDefault="00514785" w:rsidP="00514785">
      <w:pPr>
        <w:pStyle w:val="NormalHanging12a"/>
      </w:pPr>
      <w:r w:rsidRPr="009F3B75">
        <w:t>56.</w:t>
      </w:r>
      <w:r w:rsidRPr="009F3B75">
        <w:tab/>
        <w:t xml:space="preserve">zdůrazňuje, že je důležité identifikovat a maximalizovat potenciální synergie mezi opatřeními v oblasti biologické rozmanitosti a klimatu, mimo jiné upřednostňováním ochrany, obnovy a řízení ekosystémů a druhů důležitých pro koloběh uhlíku, jak bylo dohodnuto na konferenci COP16 v kolumbijském Cali; zdůrazňuje význam provádění celosvětového rámce pro biologickou rozmanitost z Kchun-mingu a Montréalu; v této souvislosti vítá, že 55 smluvních stran předložilo národní strategie a akční plány v oblasti biologické rozmanitosti a 139 smluvních stran předložilo své vnitrostátní cíle, </w:t>
      </w:r>
      <w:r w:rsidRPr="009F3B75">
        <w:lastRenderedPageBreak/>
        <w:t>a vyzývá všechny ostatní smluvní strany, aby je urychleně následovaly;</w:t>
      </w:r>
    </w:p>
    <w:p w14:paraId="49D53137" w14:textId="77777777" w:rsidR="00514785" w:rsidRPr="009F3B75" w:rsidRDefault="00514785" w:rsidP="00514785">
      <w:pPr>
        <w:pStyle w:val="NormalHanging12a"/>
      </w:pPr>
      <w:r w:rsidRPr="009F3B75">
        <w:t>57.</w:t>
      </w:r>
      <w:r w:rsidRPr="009F3B75">
        <w:tab/>
        <w:t>zdůrazňuje význam ochrany, zachování a obnovy vodních ekosystémů a ekosystémů souvisejících s vodou; vyzývá k větší aktivitě v oblasti udržitelného využívání vody, včetně využívání inovativních vodních technologií, zejména v místech, která jsou vážně postižena suchem nebo nedostatkem vody; upozorňuje na ničivé environmentální, sociální a hospodářské dopady dezertifikace, sucha, záplav a znečištění vody; vítá evropskou strategii pro vodohospodářskou odolnost a vyzývá Komisi a členské státy k jejímu urychlenému provádění; vyzývá k přijetí dalších opatření, která umožní řešit znečištění způsobované perfluoroalkylovými a polyfluoroalkylovými látkami; vyzývá Komisi a členské státy, aby zintenzivnily prosazování stávajících právních předpisů a zajistily dodržování rámcové směrnice o vodě</w:t>
      </w:r>
      <w:r w:rsidRPr="009F3B75">
        <w:rPr>
          <w:rStyle w:val="FootnoteReference"/>
        </w:rPr>
        <w:footnoteReference w:id="26"/>
      </w:r>
      <w:r w:rsidRPr="009F3B75">
        <w:t>;</w:t>
      </w:r>
    </w:p>
    <w:p w14:paraId="12CDECD7" w14:textId="77777777" w:rsidR="00514785" w:rsidRPr="009F3B75" w:rsidRDefault="00514785" w:rsidP="00514785">
      <w:pPr>
        <w:pStyle w:val="NormalHanging12a"/>
      </w:pPr>
      <w:r w:rsidRPr="009F3B75">
        <w:t>58.</w:t>
      </w:r>
      <w:r w:rsidRPr="009F3B75">
        <w:tab/>
        <w:t>vítá přijetí Úmluvy o mořském právu a vyzývá k její urychlené ratifikaci a provedení smluvními stranami; vyzývá smluvní strany, aby pokračovaly v práci na dialogu o oceánech a změně klimatu; zdůrazňuje, že globální klimatický systém závisí na zdraví oceánů a mořských ekosystémů, které v důsledku globálního oteplování, znečištění, nadměrného využívání mořské biologické rozmanitosti, acidifikace, eutrofizace, odkysličování a eroze pobřeží ztrácejí svou regulační kapacitu;</w:t>
      </w:r>
    </w:p>
    <w:p w14:paraId="0103B021" w14:textId="77777777" w:rsidR="00514785" w:rsidRPr="009F3B75" w:rsidRDefault="00514785" w:rsidP="00514785">
      <w:pPr>
        <w:pStyle w:val="NormalHanging12a"/>
      </w:pPr>
      <w:r w:rsidRPr="009F3B75">
        <w:t>59.</w:t>
      </w:r>
      <w:r w:rsidRPr="009F3B75">
        <w:tab/>
        <w:t>zdůrazňuje význam celosvětového úsilí o zamezení degradaci mořských ekosystémů, neboť oceán pohlcuje 30 % všech emisí uhlíku, zachycuje 90 % přebytečného tepla, dodává více než 50 % světového kyslíku a je zásadní zásobárnou biologické rozmanitosti; vítá výsledek Týdne oceánů v Nice týkající se zvýšení finančních závazků na ochranu oceánů; vyzývá k urychlenému přijetí opatření na obnovu mořských ekosystémů a zajištění účinné ochrany chráněných mořských oblastí; připomíná třetí cíl celosvětového rámce pro biologickou rozmanitost z Kchun-mingu a Montréalu zajistit do roku 2030 ochranu 30 % moří;</w:t>
      </w:r>
    </w:p>
    <w:p w14:paraId="05888210" w14:textId="77777777" w:rsidR="00514785" w:rsidRPr="009F3B75" w:rsidRDefault="00514785" w:rsidP="00514785">
      <w:pPr>
        <w:pStyle w:val="NormalHanging12a"/>
      </w:pPr>
      <w:r w:rsidRPr="009F3B75">
        <w:t>60.</w:t>
      </w:r>
      <w:r w:rsidRPr="009F3B75">
        <w:tab/>
        <w:t>zdůrazňuje, že je třeba komplexně řešit, a to i v rámci konference smluvních stran (COP), vzájemné vazby mezi změnou klimatu, znečištěním ovzduší a veřejným zdravím; vítá Prohlášení o klimatu a zdraví, které bylo přijato na konferenci COP28 a které podepsalo více než 150 vlád; žádá, aby se zlepšování kvality ovzduší stalo součástí politik v oblasti klimatu a aby bylo zohledněno ve vnitrostátně stanovených příspěvcích; vyzývá všechny smluvní strany, aby urychlily smysluplná opatření přispívající ke zlepšování kvality ovzduší; naléhavě vyzývá smluvní strany, aby zajistily, že při financování opatření v oblasti klimatu budou upřednostňována řešení pro čistý vzduch s měřitelnými přínosy pro zdraví, spravedlnost a klima;</w:t>
      </w:r>
    </w:p>
    <w:p w14:paraId="60F24966" w14:textId="77777777" w:rsidR="00514785" w:rsidRPr="009F3B75" w:rsidRDefault="00514785" w:rsidP="00514785">
      <w:pPr>
        <w:pStyle w:val="NormalHanging12a"/>
      </w:pPr>
      <w:r w:rsidRPr="009F3B75">
        <w:t>61.</w:t>
      </w:r>
      <w:r w:rsidRPr="009F3B75">
        <w:tab/>
        <w:t>zdůrazňuje, že změna klimatu povede mimo jiné ke zvýšení rezistence vůči antibiotikům; v této souvislosti opětovně zdůrazňuje, že je třeba přijmout naléhavá opatření proti antimikrobiální rezistenci, a vyzývá všechny smluvní strany, aby se s ohledem na riziko antimikrobiální rezistence s ještě větším úsilím než doposud zasazovaly o omezenější a uvážlivější používání antimikrobiálních látek; v této souvislosti vyzývá k přijetí závazných závazků v příslušných mezinárodních smlouvách; lituje, že dosud nebyla přijata žádná opatření;</w:t>
      </w:r>
    </w:p>
    <w:p w14:paraId="49F6AC1F" w14:textId="77777777" w:rsidR="00514785" w:rsidRPr="009F3B75" w:rsidRDefault="00514785" w:rsidP="00514785">
      <w:pPr>
        <w:pStyle w:val="NormalHanging12a"/>
      </w:pPr>
      <w:r w:rsidRPr="009F3B75">
        <w:lastRenderedPageBreak/>
        <w:t>62.</w:t>
      </w:r>
      <w:r w:rsidRPr="009F3B75">
        <w:tab/>
        <w:t>zdůrazňuje, že je třeba bojovat proti dopadu plastů na životní prostředí v průběhu celého jejich životního cyklu, včetně jejich vlivu na klima; zdůrazňuje, že je třeba stanovit odpovídající ceny uhlíku obsaženého v surovinách, aby se významně omezilo používání fosilních paliv v odvětví plastů; bere na vědomí, že na přípravě celosvětové smlouvy o plastech se stále pracuje, a vyjadřuje politování nad tím, že smluvní strany v srpnu 2025 v Ženevě nebyly opět schopny tuto smlouvu uzavřít kvůli neshodám ohledně jejího rozsahu; vyzývá k přijetí ambiciózní dohody, která se bude týkat všech fází výroby, spotřeby a nakládání s plastovým odpadem;</w:t>
      </w:r>
    </w:p>
    <w:p w14:paraId="17360897" w14:textId="77777777" w:rsidR="00514785" w:rsidRPr="009F3B75" w:rsidRDefault="00514785" w:rsidP="00514785">
      <w:pPr>
        <w:pStyle w:val="NormalHanging12a"/>
      </w:pPr>
      <w:r w:rsidRPr="009F3B75">
        <w:t>63.</w:t>
      </w:r>
      <w:r w:rsidRPr="009F3B75">
        <w:tab/>
        <w:t>vyjadřuje politování nad vysokými náklady spojenými s celosvětovým znečištěním chemickými látkami, zhoršováním klimatu a krizemi biologické rozmanitosti; vyzývá smluvní strany, aby zavedly opatření ke splnění strategických cílů a úkolů přijatých jako součást Globálního rámce OSN pro chemické látky; zdůrazňuje, že je třeba, aby EU a její členské státy stály v čele celosvětového úsilí o boj proti chemickému znečištění, a to i tím, že v případě potřeby reviduje své politiky týkající se chemických látek;</w:t>
      </w:r>
    </w:p>
    <w:p w14:paraId="0EF44ED8" w14:textId="77777777" w:rsidR="00514785" w:rsidRPr="009F3B75" w:rsidRDefault="00514785" w:rsidP="00514785">
      <w:pPr>
        <w:pStyle w:val="NormalHanging12a"/>
        <w:rPr>
          <w:b/>
          <w:bCs/>
          <w:i/>
        </w:rPr>
      </w:pPr>
      <w:r w:rsidRPr="009F3B75">
        <w:rPr>
          <w:b/>
          <w:i/>
        </w:rPr>
        <w:t>Práva původních obyvatel</w:t>
      </w:r>
    </w:p>
    <w:p w14:paraId="4D815A9B" w14:textId="77777777" w:rsidR="00514785" w:rsidRPr="009F3B75" w:rsidRDefault="00514785" w:rsidP="00514785">
      <w:pPr>
        <w:pStyle w:val="NormalHanging12a"/>
      </w:pPr>
      <w:r w:rsidRPr="009F3B75">
        <w:t>64.</w:t>
      </w:r>
      <w:r w:rsidRPr="009F3B75">
        <w:tab/>
        <w:t>zdůrazňuje, že je zapotřebí chránit práva a zájmy původních obyvatel a místních komunit, jak je stanoveno v Deklaraci práv původního obyvatelstva OSN; zdůrazňuje, že je třeba zajistit právo na svobodný, předchozí a informovaný souhlas; zdůrazňuje, že všechny projekty podle článku 6, které se dotýkají území nebo komunit původních obyvatel, musejí tyto obyvatele přizvat k účasti a respektovat jejich práva;</w:t>
      </w:r>
    </w:p>
    <w:p w14:paraId="767DD79A" w14:textId="77777777" w:rsidR="00514785" w:rsidRPr="009F3B75" w:rsidRDefault="00514785" w:rsidP="00514785">
      <w:pPr>
        <w:pStyle w:val="NormalHanging12a"/>
      </w:pPr>
      <w:r w:rsidRPr="009F3B75">
        <w:t>65.</w:t>
      </w:r>
      <w:r w:rsidRPr="009F3B75">
        <w:tab/>
        <w:t>zdůrazňuje, že původní obyvatelé nejsou jen zúčastněnými stranami nebo zranitelnými skupinami, ale že jsou nositeli práv, jejichž uznání je zakotveno v preambuli Pařížské dohody; zdůrazňuje potřebu politické účasti původních obyvatel na konferencích smluvních stran a dalších procesech Rámcové úmluvy OSN o změně klimatu (UNFCCC) v zájmu podpory jejich smysluplného zapojení do všech rozhodovacích orgánů; uznává, že je třeba financovat a usnadnit účast původních obyvatel na konferencích smluvních stran a technických setkáních pomocných orgánů;</w:t>
      </w:r>
    </w:p>
    <w:p w14:paraId="54C53358" w14:textId="77777777" w:rsidR="00514785" w:rsidRPr="009F3B75" w:rsidRDefault="00514785" w:rsidP="00514785">
      <w:pPr>
        <w:pStyle w:val="NormalHanging12a"/>
      </w:pPr>
      <w:r w:rsidRPr="009F3B75">
        <w:t>66.</w:t>
      </w:r>
      <w:r w:rsidRPr="009F3B75">
        <w:tab/>
        <w:t>uznává, že území původních obyvatel jsou ohnisky biologické rozmanitosti a že původní obyvatelé hrají zásadní roli v ochraně a udržitelném řízení zdrojů; připomíná, že podle páté hodnotící zprávy IPCC jsou při adaptaci na změnu klimatu význam zdrojem domorodé, místní a tradiční formy znalostí významným zdrojem; vyjadřuje politování nad tím, že znalosti původních obyvatel nejsou účinným způsobem využívány; zdůrazňuje zejména úlohu těchto znalostí při předcházení špatné adaptaci;</w:t>
      </w:r>
    </w:p>
    <w:p w14:paraId="2C4F8F50" w14:textId="77777777" w:rsidR="00514785" w:rsidRPr="009F3B75" w:rsidRDefault="00514785" w:rsidP="00514785">
      <w:pPr>
        <w:pStyle w:val="NormalHanging12a"/>
      </w:pPr>
      <w:r w:rsidRPr="009F3B75">
        <w:t>67.</w:t>
      </w:r>
      <w:r w:rsidRPr="009F3B75">
        <w:tab/>
        <w:t xml:space="preserve">zdůrazňuje, že je třeba, aby původní obyvatelé měli přímý přístup k financování opatření v oblasti klimatu prostřednictvím mezinárodních fondů pro boj proti změně klimatu, jako je </w:t>
      </w:r>
      <w:proofErr w:type="gramStart"/>
      <w:r w:rsidRPr="009F3B75">
        <w:t>Zelený</w:t>
      </w:r>
      <w:proofErr w:type="gramEnd"/>
      <w:r w:rsidRPr="009F3B75">
        <w:t xml:space="preserve"> klimatický fond, Adaptační fond a fond pro kompenzaci ztrát a škod;</w:t>
      </w:r>
    </w:p>
    <w:p w14:paraId="0339A976" w14:textId="77777777" w:rsidR="00514785" w:rsidRPr="009F3B75" w:rsidRDefault="00514785" w:rsidP="00514785">
      <w:pPr>
        <w:pStyle w:val="NormalHanging12a"/>
        <w:rPr>
          <w:b/>
          <w:bCs/>
          <w:i/>
        </w:rPr>
      </w:pPr>
      <w:r w:rsidRPr="009F3B75">
        <w:rPr>
          <w:b/>
          <w:i/>
        </w:rPr>
        <w:t>Klima, mír a bezpečnost</w:t>
      </w:r>
    </w:p>
    <w:p w14:paraId="5626CC96" w14:textId="77777777" w:rsidR="00514785" w:rsidRPr="009F3B75" w:rsidRDefault="00514785" w:rsidP="00514785">
      <w:pPr>
        <w:pStyle w:val="NormalHanging12a"/>
      </w:pPr>
      <w:r w:rsidRPr="009F3B75">
        <w:t>68.</w:t>
      </w:r>
      <w:r w:rsidRPr="009F3B75">
        <w:tab/>
        <w:t>uznává, že na zasedáních konference smluvních stran se věnuje zvýšená pozornost agendě klimatu, míru a bezpečnosti, což bylo patrné zejména na konferenci COP29, kde byla vyhlášena výzva z Baku o opatřeních v oblasti klimatu pro mír, pomoc a obnovu, na předchozí konferenci COP27 a její iniciativě Reakce na změnu klimatu pro udržení míru a na konferenci COP28 a jejím prohlášení o klimatu, pomoci, obnově a míru;</w:t>
      </w:r>
    </w:p>
    <w:p w14:paraId="29838398" w14:textId="77777777" w:rsidR="00514785" w:rsidRPr="009F3B75" w:rsidRDefault="00514785" w:rsidP="00514785">
      <w:pPr>
        <w:pStyle w:val="NormalHanging12a"/>
      </w:pPr>
      <w:r w:rsidRPr="009F3B75">
        <w:lastRenderedPageBreak/>
        <w:t>69.</w:t>
      </w:r>
      <w:r w:rsidRPr="009F3B75">
        <w:tab/>
        <w:t>konstatuje, že zpráva Evropské komise o pokroku týkající se společného sdělení s názvem „Nový pohled na provázanost klimatu a bezpečnosti“, zveřejněná v únoru 2025, uznává vazby mezi změnou klimatu, zhoršováním životního prostředí a otázkami míru, bezpečnosti a obrany a zdůrazňuje jejich význam pro zahraniční politiku;</w:t>
      </w:r>
    </w:p>
    <w:p w14:paraId="355C1451" w14:textId="77777777" w:rsidR="00514785" w:rsidRPr="009F3B75" w:rsidRDefault="00514785" w:rsidP="00514785">
      <w:pPr>
        <w:pStyle w:val="NormalHanging12a"/>
      </w:pPr>
      <w:r w:rsidRPr="009F3B75">
        <w:t>70.</w:t>
      </w:r>
      <w:r w:rsidRPr="009F3B75">
        <w:tab/>
        <w:t>zdůrazňuje, že změna klimatu a zhoršování stavu životního prostředí zvyšují hrozby, které mají za následek nedostatek potravin a přírodních zdrojů, zvyšují napětí v mezinárodních vztazích a konflikty o přírodní zdroje a způsobují přírodní katastrofy, které jsou hlavními příčinami vysídlování lidí a migračních toků;</w:t>
      </w:r>
    </w:p>
    <w:p w14:paraId="288446D0" w14:textId="77777777" w:rsidR="00514785" w:rsidRPr="009F3B75" w:rsidRDefault="00514785" w:rsidP="00514785">
      <w:pPr>
        <w:pStyle w:val="NormalHanging12a"/>
      </w:pPr>
      <w:r w:rsidRPr="009F3B75">
        <w:t>71.</w:t>
      </w:r>
      <w:r w:rsidRPr="009F3B75">
        <w:tab/>
        <w:t>zdůrazňuje, že je třeba věnovat zvýšenou mezinárodní pozornost dopadům konfliktů na životní prostředí; upozorňuje na devastaci životního prostředí způsobenou vojenskými útoky a operacemi po celém světě a vyzývá k ukončení těchto aktivit v souladu s mezinárodním právem; zdůrazňuje, že probíhající konflikty kromě bezprostředního ničení a ztrát na lidských životech narušují ekosystémy, vyčerpávají přírodní zdroje, znečišťují životní prostředí a ohrožují zdraví naší planety pro další generace, přičemž podkopávají úsilí o zmírnění dopadů změny klimatu a přizpůsobení se této změně; zdůrazňuje zejména nejnovější zprávy UNEP o děsivém rozsahu škod na životním prostředí způsobených konflikty na Ukrajině</w:t>
      </w:r>
      <w:r w:rsidRPr="009F3B75">
        <w:rPr>
          <w:vertAlign w:val="superscript"/>
        </w:rPr>
        <w:footnoteReference w:id="27"/>
      </w:r>
      <w:r w:rsidRPr="009F3B75">
        <w:t xml:space="preserve"> a v Gaze</w:t>
      </w:r>
      <w:r w:rsidRPr="009F3B75">
        <w:rPr>
          <w:vertAlign w:val="superscript"/>
        </w:rPr>
        <w:footnoteReference w:id="28"/>
      </w:r>
      <w:r w:rsidRPr="009F3B75">
        <w:t>; připomíná také zprávu Společného výzkumného střediska o škodách na životním prostředí způsobených pokračující ruskou válečnou agresí na Ukrajině</w:t>
      </w:r>
      <w:r w:rsidRPr="009F3B75">
        <w:rPr>
          <w:vertAlign w:val="superscript"/>
        </w:rPr>
        <w:footnoteReference w:id="29"/>
      </w:r>
      <w:r w:rsidRPr="009F3B75">
        <w:t>, která dokládá prudký nárůst toxického znečištění, degradaci půdy a narušení monitorovacích systémů; je přesvědčen, že subjekty považované Mezinárodním soudním dvorem za strůjce těchto konfliktů musí nést rovněž odpovědnost za klimatické a environmentální náklady války a okupace, jakož i obnovy po skončení konfliktu;</w:t>
      </w:r>
    </w:p>
    <w:p w14:paraId="759D55CD" w14:textId="77777777" w:rsidR="00514785" w:rsidRPr="009F3B75" w:rsidRDefault="00514785" w:rsidP="00514785">
      <w:pPr>
        <w:pStyle w:val="NormalHanging12a"/>
      </w:pPr>
      <w:r w:rsidRPr="009F3B75">
        <w:t>72.</w:t>
      </w:r>
      <w:r w:rsidRPr="009F3B75">
        <w:tab/>
        <w:t>zdůrazňuje, že posílení diplomacie v oblasti klimatu v rámci UNFCCC je klíčové jako příspěvek k multilateralismu, zejména v situaci rostoucího geopolitického napětí a klesající důvěry v globální spolupráci; zdůrazňuje symbolický význam konference COP30, která se koná u příležitosti 10. výročí Pařížské dohody; vyzývá EU a její členské státy, aby podpořily závazek předsednictví COP30 k multilateralismu; zdůrazňuje, že Brazílie může díky svému předsednictví v rámci BRICS i COP30 využít příležitosti k prosazení ambicióznější a koordinovanější agendy, která umožní dosáhnout pokroku v hospodářských, politických a environmentálních otázkách;</w:t>
      </w:r>
    </w:p>
    <w:p w14:paraId="2FF19B2D" w14:textId="77777777" w:rsidR="00514785" w:rsidRPr="009F3B75" w:rsidRDefault="00514785" w:rsidP="00514785">
      <w:pPr>
        <w:pStyle w:val="NormalHanging12a"/>
      </w:pPr>
      <w:r w:rsidRPr="009F3B75">
        <w:t>73.</w:t>
      </w:r>
      <w:r w:rsidRPr="009F3B75">
        <w:tab/>
        <w:t xml:space="preserve">zdůrazňuje, že cílů v oblasti klimatu nelze dosáhnout bez podpory a zapojení veřejnosti; vyzývá všechny smluvní strany, aby zvyšovaly povědomí o změně klimatu a souvisejících otázkách a jejich pochopení ze strany veřejnosti a spolupracovaly se zástupci veřejnosti s cílem získat pro opatření pro zmírňování změny klimatu a přizpůsobení se jí veřejnou podporu; je znepokojen rostoucím šířením záměrně i nezáměrně zavádějících informací o klimatu, a to i ze strany státních subjektů, a naléhavě vyzývá všechny vlády, aby se touto problematikou urychleně zabývaly </w:t>
      </w:r>
      <w:r w:rsidRPr="009F3B75">
        <w:lastRenderedPageBreak/>
        <w:t>vzhledem k hrozbě, kterou představuje jak pro smysluplnou činnost v oblasti klimatu, tak pro demokracii; zdůrazňuje význam přístupu k vědecky podloženým informacím a ochrany nezávislých médií; vyzdvihuje důležitost práce, kterou vykonává Mezivládní panel pro změnu klimatu (IPPC) v oblasti poskytování spolehlivých vědeckých doporučení a údajů; vyzývá UNFCCC k intenzivnějšímu úsilí v boji proti dezinformacím o klimatu; vyzývá Komisi, aby se připojila ke globální iniciativě pro integritu informací o změně klimatu a bojovala proti dezinformacím o klimatu;</w:t>
      </w:r>
    </w:p>
    <w:p w14:paraId="62DAD102" w14:textId="77777777" w:rsidR="00514785" w:rsidRPr="009F3B75" w:rsidRDefault="00514785" w:rsidP="00514785">
      <w:pPr>
        <w:pStyle w:val="NormalHanging12a"/>
        <w:rPr>
          <w:b/>
          <w:bCs/>
          <w:i/>
        </w:rPr>
      </w:pPr>
      <w:r w:rsidRPr="009F3B75">
        <w:rPr>
          <w:b/>
          <w:i/>
        </w:rPr>
        <w:t>Úsilí ve všech odvětvích</w:t>
      </w:r>
    </w:p>
    <w:p w14:paraId="7F911463" w14:textId="77777777" w:rsidR="00514785" w:rsidRPr="009F3B75" w:rsidRDefault="00514785" w:rsidP="00514785">
      <w:pPr>
        <w:pStyle w:val="NormalHanging12a"/>
      </w:pPr>
      <w:r w:rsidRPr="009F3B75">
        <w:t>74.</w:t>
      </w:r>
      <w:r w:rsidRPr="009F3B75">
        <w:tab/>
        <w:t>zdůrazňuje, že ke snižování emisí a k dosažení klimatické neutrality v souladu s Pařížskou dohodou musí přispívat všechna odvětví;</w:t>
      </w:r>
    </w:p>
    <w:p w14:paraId="7BC811EC" w14:textId="77777777" w:rsidR="00514785" w:rsidRPr="009F3B75" w:rsidRDefault="00514785" w:rsidP="00514785">
      <w:pPr>
        <w:pStyle w:val="NormalHanging12a"/>
      </w:pPr>
      <w:r w:rsidRPr="009F3B75">
        <w:t>75.</w:t>
      </w:r>
      <w:r w:rsidRPr="009F3B75">
        <w:tab/>
        <w:t>vítá skutečnost, že téměř 160 zemí podepsalo Globální metanový závazek; vyzývá ty členské státy EU, které se k tomuto závazku dosud nepřipojily, aby tak učinily před konferencí COP30; vyzývá Komisi a členské státy, aby podnikly další kroky pro splnění cíle stanoveného v rámci metanového závazku; vyzývá všechny smluvní strany, aby přijaly konkrétní cíle týkající se snížení emisí metanu a začlenily je do svých vnitrostátně stanovených příspěvků; požaduje kvantifikované a vědecky podložené posouzení pokroku, jehož bylo dosaženo od přijetí tohoto závazku na konferenci COP26;</w:t>
      </w:r>
    </w:p>
    <w:p w14:paraId="45648398" w14:textId="77777777" w:rsidR="00514785" w:rsidRPr="009F3B75" w:rsidRDefault="00514785" w:rsidP="00514785">
      <w:pPr>
        <w:pStyle w:val="NormalHanging12a"/>
      </w:pPr>
      <w:r w:rsidRPr="009F3B75">
        <w:t>76.</w:t>
      </w:r>
      <w:r w:rsidRPr="009F3B75">
        <w:tab/>
        <w:t>připomíná, že metan má během prvních 20 let v atmosféře více než 80krát vyšší oteplovací schopnost než oxid uhličitý, a zdůrazňuje proto, že je důležité snižování emisí metanu urychlit; se znepokojením bere na vědomí závěry zprávy Mezinárodní energetické agentury (IEA) z roku 2025, která poukazuje na pokračující nárůst emisí metanu, nedostatečné plnění Globálního metanového závazku a na skutečnost, že země značně podceňují znečištění metanem, které pocházejí z energetického odvětví, protože podle odhadů IEA jsou tyto emise přibližně o 80 % vyšší než celkové emise uváděné vládami; připomíná, že emise metanu z energetického odvětví jsou v globálním měřítku stále jednou z nejsnadněji a z hospodářského hlediska nejpřínosněji omezitelných kategorií emisí; vyzývá EU, aby spolu s dalšími významnými dovozci fosilních paliv podpořila založení klubu kupujících pro snižování emisí metanu, inspirovaného koalicí First Movers, a aby přijala společnou maximální hodnotu intenzity metanu v souladu s nařízením (EU) 2024/1787, a urychlila tak snižování emisí metanu v celosvětovém měřítku;</w:t>
      </w:r>
    </w:p>
    <w:p w14:paraId="3C19379C" w14:textId="77777777" w:rsidR="00514785" w:rsidRPr="009F3B75" w:rsidRDefault="00514785" w:rsidP="00514785">
      <w:pPr>
        <w:pStyle w:val="NormalHanging12a"/>
      </w:pPr>
      <w:r w:rsidRPr="009F3B75">
        <w:t>77.</w:t>
      </w:r>
      <w:r w:rsidRPr="009F3B75">
        <w:tab/>
        <w:t>připomíná přijaté nařízení (EU) 2024/1787 o snižování emisí metanu v odvětví energetiky, které se bude od 1. ledna 2027 vztahovat i na unijní dovozce ropy, zemního plynu a uhlí; zdůrazňuje zásadní úlohu tohoto nařízení a jeho provádění při snižování emisí metanu v raných fázích výroby, zajištění důvěry investorů a stanovení celosvětových norem;</w:t>
      </w:r>
    </w:p>
    <w:p w14:paraId="2E7729E6" w14:textId="77777777" w:rsidR="00514785" w:rsidRPr="009F3B75" w:rsidRDefault="00514785" w:rsidP="00514785">
      <w:pPr>
        <w:pStyle w:val="NormalHanging12a"/>
      </w:pPr>
      <w:r w:rsidRPr="009F3B75">
        <w:t>78.</w:t>
      </w:r>
      <w:r w:rsidRPr="009F3B75">
        <w:tab/>
        <w:t xml:space="preserve">se znepokojením konstatuje, že odvětví dopravy je jediným odvětvím, v němž emise od roku 1990 na úrovni EU vzrostly, a že k dosažení cílů EU v oblasti klimatu bude zapotřebí výraznějšího snížení; zdůrazňuje význam dalších opatření na podporu elektrifikace silniční dopravy jako způsobu snižování emisí ze silniční dopravy ve spojení s dalšími opatřeními na podporu přechodu na jiný druh dopravy, intermodální dopravy a veřejné dopravy obecně; vyzývá Komisi, aby do vnitrostátně stanovených příspěvků zahrnula emise z mezinárodní dopravy; je znepokojen skutečností, že hodnotící zpráva Komise z roku 2025 týkající se vnitrostátních plánů v oblasti </w:t>
      </w:r>
      <w:r w:rsidRPr="009F3B75">
        <w:lastRenderedPageBreak/>
        <w:t>energetiky a klimatu ukázala, že některé členské státy stále mají režimy podpory pro vozidla na fosilní paliva, a vyzývá tyto členské státy, aby je postupně zrušily;</w:t>
      </w:r>
    </w:p>
    <w:p w14:paraId="2C8F284F" w14:textId="77777777" w:rsidR="00514785" w:rsidRPr="009F3B75" w:rsidRDefault="00514785" w:rsidP="00514785">
      <w:pPr>
        <w:pStyle w:val="NormalHanging12a"/>
      </w:pPr>
      <w:r w:rsidRPr="009F3B75">
        <w:t>79.</w:t>
      </w:r>
      <w:r w:rsidRPr="009F3B75">
        <w:tab/>
        <w:t>znovu opakuje svou výzvu Komisi, aby zajistila sociální spravedlnost opatření v oblasti dekarbonizace dopravy, a to mimo jiné tím, že do politik EU v oblasti klimatu začlení emise z velkých jachet, soukromých tryskových letadel a obchodních letadel; opětovně také vyzývá všechny smluvní strany, včetně členských států EU, aby přijaly opatření odrazující od používání soukromých tryskových letadel; poukazuje na nepřiměřeně vysoké klimatické dopady soukromých letadel, která produkují až 14krát větší znečištění na jednoho cestujícího než komerční lety; zdůrazňuje, že je důležité jít příkladem, a naléhavě vyzývá všechny účastníky konference COP30, včetně zástupců orgánů EU, aby namísto soukromých tryskových letadel cestovali způsobem, který nejméně znečistí životní prostředí</w:t>
      </w:r>
      <w:r w:rsidRPr="009F3B75">
        <w:rPr>
          <w:vertAlign w:val="superscript"/>
        </w:rPr>
        <w:footnoteReference w:id="30"/>
      </w:r>
      <w:r w:rsidRPr="009F3B75">
        <w:t>;</w:t>
      </w:r>
    </w:p>
    <w:p w14:paraId="0B0A2AAE" w14:textId="77777777" w:rsidR="00514785" w:rsidRPr="009F3B75" w:rsidRDefault="00514785" w:rsidP="00514785">
      <w:pPr>
        <w:pStyle w:val="NormalHanging12a"/>
      </w:pPr>
      <w:r w:rsidRPr="009F3B75">
        <w:t>80.</w:t>
      </w:r>
      <w:r w:rsidRPr="009F3B75">
        <w:tab/>
        <w:t>vítá pokrok, kterého bylo dosaženo na mezinárodní úrovni díky zavedení poplatků za emise uhlíku v mezinárodní námořní dopravě; domnívá se však, že od dohody, které dosáhla Mezinárodní námořní organizace (IMO), je k dlouhodobým cílům, které IMO stanovila, stále velmi daleko; v této souvislosti upozorňuje na systém EU pro obchodování s emisemi, jehož platnost se od roku 2025 postupně rozšiřuje i na námořní dopravu;</w:t>
      </w:r>
    </w:p>
    <w:p w14:paraId="20140FBB" w14:textId="77777777" w:rsidR="00514785" w:rsidRPr="009F3B75" w:rsidRDefault="00514785" w:rsidP="00514785">
      <w:pPr>
        <w:pStyle w:val="NormalHanging12a"/>
      </w:pPr>
      <w:r w:rsidRPr="009F3B75">
        <w:t>81.</w:t>
      </w:r>
      <w:r w:rsidRPr="009F3B75">
        <w:tab/>
        <w:t>vyzývá Komisi, aby po formálním přijetí dekarbonizačních opatření přijatých IMO na 83. zasedání Výboru pro ochranu mořského prostředí předložila Evropskému parlamentu zprávu (MEPC 83), v níž posoudí jejich celkovou environmentální integritu a jejich přínos k cílům Pařížské dohody, jakož i srovnání s úrovní environmentální integrity, kterou zajišťují ustanovení EU ETS;</w:t>
      </w:r>
    </w:p>
    <w:p w14:paraId="3CAC4D74" w14:textId="77777777" w:rsidR="00514785" w:rsidRPr="009F3B75" w:rsidRDefault="00514785" w:rsidP="00514785">
      <w:pPr>
        <w:pStyle w:val="NormalHanging12a"/>
      </w:pPr>
      <w:r w:rsidRPr="009F3B75">
        <w:t>82.</w:t>
      </w:r>
      <w:r w:rsidRPr="009F3B75">
        <w:tab/>
        <w:t>vítá analýzu</w:t>
      </w:r>
      <w:r w:rsidRPr="009F3B75">
        <w:rPr>
          <w:vertAlign w:val="superscript"/>
        </w:rPr>
        <w:footnoteReference w:id="31"/>
      </w:r>
      <w:r w:rsidRPr="009F3B75">
        <w:t>, kterou Komise zveřejnila dne 18. března 2025 a která ukazuje, že neexistují žádné důkazy o nárůstu využívání menších lodí mimo oblast působnosti systému EU pro obchodování s emisemi nebo o přesunech z lodi na loď jako způsobu obcházení nedávného rozšíření systému EU pro obchodování s emisemi na námořní dopravu; připomíná ustanovení o přezkumu EU ETS v roce 2026, které stanoví možnost rozšíření působnosti na menší lodě, včetně pobřežních lodí s hrubou prostorností v rozmezí od 400 do 5 000 tun;</w:t>
      </w:r>
    </w:p>
    <w:p w14:paraId="392430C9" w14:textId="77777777" w:rsidR="00514785" w:rsidRPr="009F3B75" w:rsidRDefault="00514785" w:rsidP="00514785">
      <w:pPr>
        <w:pStyle w:val="NormalHanging12a"/>
      </w:pPr>
      <w:r w:rsidRPr="009F3B75">
        <w:t>83.</w:t>
      </w:r>
      <w:r w:rsidRPr="009F3B75">
        <w:tab/>
        <w:t xml:space="preserve">poznamenává, že v roce 2020 odpovídalo zemědělství za 10–12 % světových antropogenních emisí a za 11 % všech emisí v EU; uznává významný potenciál, jenž má pro snižování emisí skleníkových plynů zemědělství; zdůrazňuje, že zemědělci a zemědělské odvětví jsou vůči změně klimatu obzvláště zranitelní a že změna klimatu představuje významnou hrozbu pro potravinovou bezpečnost na celém světě; zdůrazňuje, že politiky zaměřené na snižování emisí v zemědělství by měly v maximální míře zajistit potravinové zabezpečení; zdůrazňuje, že je třeba zavést politický rámec, který by vytvářel pobídky pro udržitelné způsoby hospodaření a podporoval zemědělce, zejména drobné, v přechodu na odolné postupy a odměňoval zemědělce, kteří podporují úsilí o zmírnění dopadů změny klimatu a chrání biologickou rozmanitost; poukazuje na environmentální přínosy obnovy odvodněných rašelinišť a </w:t>
      </w:r>
      <w:r w:rsidRPr="009F3B75">
        <w:lastRenderedPageBreak/>
        <w:t>k dalším opatřením, která podporují biologickou rozmanitost, zdraví půdy a kvalitu vody v zemědělských podnicích a zároveň přispívají ke zmírňování změny klimatu a přizpůsobování se této změně;</w:t>
      </w:r>
    </w:p>
    <w:p w14:paraId="3C705A19" w14:textId="77777777" w:rsidR="00514785" w:rsidRPr="009F3B75" w:rsidRDefault="00514785" w:rsidP="00514785">
      <w:pPr>
        <w:pStyle w:val="NormalHanging12a"/>
      </w:pPr>
      <w:r w:rsidRPr="009F3B75">
        <w:t>84.</w:t>
      </w:r>
      <w:r w:rsidRPr="009F3B75">
        <w:tab/>
        <w:t>vítá skutečnost, že podle Světové banky se nyní ceny uhlíku vztahují na 28 % celosvětových emisí</w:t>
      </w:r>
      <w:r w:rsidRPr="009F3B75">
        <w:rPr>
          <w:vertAlign w:val="superscript"/>
        </w:rPr>
        <w:footnoteReference w:id="32"/>
      </w:r>
      <w:r w:rsidRPr="009F3B75">
        <w:t>; vyjadřuje však politování nad tím, že pokrytí i průměrné ceny jsou stále příliš nízké na to, aby mohly být naplněny cíle Pařížské dohody; zdůrazňuje, že ceny uhlíku zvyšují příjmy, které by měly být použity na opatření v oblasti klimatu a spravedlivou transformaci;</w:t>
      </w:r>
    </w:p>
    <w:p w14:paraId="3D3D4B12" w14:textId="77777777" w:rsidR="00514785" w:rsidRPr="009F3B75" w:rsidRDefault="00514785" w:rsidP="00514785">
      <w:pPr>
        <w:pStyle w:val="NormalHanging12a"/>
      </w:pPr>
      <w:r w:rsidRPr="009F3B75">
        <w:t>85.</w:t>
      </w:r>
      <w:r w:rsidRPr="009F3B75">
        <w:tab/>
        <w:t>vítá skutečnost, že Brazílie zavádí systém obchodování s emisemi a že několik obchodních partnerů EU zavedlo nebo plánuje zavést obchodování s uhlíkem nebo jiné mechanismy stanovování cen uhlíku, a to i v reakci na zavedení mechanismu uhlíkového vyrovnání na hranicích (CBAM); vyzývá Komisi, aby dále vybízela a podporovala další strany, aby zavedly nebo zlepšily mechanismy stanovování cen uhlíku, a aby prozkoumala propojení a další formy spolupráce se stávajícími mechanismy stanovování cen uhlíku mimo EU; vyzývá Komisi, aby v této souvislosti zajistila, že veškerá propojení s EU ETS budou i nadále přinášet dodatečné a trvalé příspěvky ke zmírňování změny klimatu a nebudou oslabovat domácí závazky Unie týkající se emisí skleníkových plynů;</w:t>
      </w:r>
    </w:p>
    <w:p w14:paraId="7375D125" w14:textId="77777777" w:rsidR="00514785" w:rsidRPr="009F3B75" w:rsidRDefault="00514785" w:rsidP="00514785">
      <w:pPr>
        <w:pStyle w:val="NormalHanging12a"/>
      </w:pPr>
      <w:r w:rsidRPr="009F3B75">
        <w:t>86.</w:t>
      </w:r>
      <w:r w:rsidRPr="009F3B75">
        <w:tab/>
        <w:t>zdůrazňuje, že globální hodnocení ukazuje význam přechodu na udržitelný životní styl a udržitelné vzorce spotřeby a výroby, a to i v podobě intenzivnějšího oběhového hospodářství; zdůrazňuje, že je třeba zintenzivnit úsilí o rozvoj a zlepšení oběhového hospodářství EU; vyzývá Komisi, aby v souladu se závazkem 8. akčního programu pro životní prostředí co nejdříve navrhla na základě posouzení dopadů cíl pro materiálovou a spotřební stopu EU do roku 2030;</w:t>
      </w:r>
    </w:p>
    <w:p w14:paraId="09E56FF5" w14:textId="77777777" w:rsidR="00514785" w:rsidRPr="009F3B75" w:rsidRDefault="00514785" w:rsidP="00514785">
      <w:pPr>
        <w:pStyle w:val="NormalHanging12a"/>
      </w:pPr>
      <w:r w:rsidRPr="009F3B75">
        <w:t>87.</w:t>
      </w:r>
      <w:r w:rsidRPr="009F3B75">
        <w:tab/>
        <w:t>zdůrazňuje, že je třeba řešit klimatické a environmentální dopady textilního odvětví, které produkuje přibližně 8–10 % celosvětových emisí skleníkových plynů a má značnou spotřebu zdrojů, zejména vody a energie; opakuje, že textilní průmysl musí hrát v rámci přechodu na oběhové hospodářství důležitou roli a že musí řešit výzvy související s předcházením vzniku odpadů, nakládáním s odpady, vylučováním mikroplastů, spotřebou vody, nadprodukcí, produkcí pro potřeby ultrarychlé a rychlé módy, celkovou trvanlivostí a netoxičností výrobního procesu a recyklovatelností v textilním odvětví; v této souvislosti podtrhuje důležitost nedávné novely rámcové směrnice EU o odpadech; zdůrazňuje, že v celém textilním hodnotovém řetězci je třeba urychleně zlepšit standardy lidských práv;</w:t>
      </w:r>
    </w:p>
    <w:p w14:paraId="4204B2B1" w14:textId="77777777" w:rsidR="00514785" w:rsidRPr="009F3B75" w:rsidRDefault="00514785" w:rsidP="00514785">
      <w:pPr>
        <w:pStyle w:val="NormalHanging12a"/>
      </w:pPr>
      <w:r w:rsidRPr="009F3B75">
        <w:t>88.</w:t>
      </w:r>
      <w:r w:rsidRPr="009F3B75">
        <w:tab/>
        <w:t>zdůrazňuje dopad klimatické krize na odvětví cestovního ruchu, které je jak přispívajícím, tak zranitelným odvětvím, a potřebu, aby se destinace přizpůsobily klimatickým rizikům a rozvíjely cestovní ruch odolný vůči klimatu; vyzývá k podpoře přechodu k udržitelnějšímu cestovnímu ruchu, ve kterém by se uplatňovaly ekologicky odpovědné a nízkouhlíkové postupy;</w:t>
      </w:r>
    </w:p>
    <w:p w14:paraId="4947FBFA" w14:textId="77777777" w:rsidR="00514785" w:rsidRPr="009F3B75" w:rsidRDefault="00514785" w:rsidP="00514785">
      <w:pPr>
        <w:pStyle w:val="NormalHanging12a"/>
      </w:pPr>
      <w:r w:rsidRPr="009F3B75">
        <w:t>89.</w:t>
      </w:r>
      <w:r w:rsidRPr="009F3B75">
        <w:tab/>
        <w:t xml:space="preserve">konstatuje, že roste vědecký a politický zájem o modifikaci slunečního záření (SRM) prostřednictvím navrhovaného souboru přístupů klimatického inženýrství, jako je např. injektáž roztroušeného aerosolu, jež mají za cíl uměle odrážet sluneční záření </w:t>
      </w:r>
      <w:r w:rsidRPr="009F3B75">
        <w:lastRenderedPageBreak/>
        <w:t>a ochlazovat planetu; zdůrazňuje, že modifikace slunečního záření nijak neřeší hlavní příčinu změny klimatu, že neexistuje vědecká jistota ohledně jejích účinků a že tento přístup ohrožuje – a to potenciálně katastrofálním způsobem – klimatickou a geopolitickou stabilitu; připomíná, že rezoluce OSN o globální správě byla zablokována; zdůrazňuje, že vzhledem k tomu, že neexistují spolehlivé vědecké důkazy o bezpečnosti, účinnosti a správě, musí se veškeré snahy o klimatické inženýrství řídit zásadou předběžné opatrnosti;</w:t>
      </w:r>
    </w:p>
    <w:p w14:paraId="699A9131" w14:textId="77777777" w:rsidR="00514785" w:rsidRPr="009F3B75" w:rsidRDefault="00514785" w:rsidP="00514785">
      <w:pPr>
        <w:pStyle w:val="NormalHanging12a"/>
      </w:pPr>
      <w:r w:rsidRPr="009F3B75">
        <w:t>90.</w:t>
      </w:r>
      <w:r w:rsidRPr="009F3B75">
        <w:tab/>
        <w:t>připomíná doporučení skupiny hlavních vědeckých poradců Komise zveřejněná v prosinci 2024, a vyzývá proto Komisi, aby se aktivně zapojila do vyjednávání o globálním rámci správy pro modifikaci slunečního záření (SRM) založeném na pevném stanovisku proti nezavádění SRM a aby posílila schopnost odhalovat a kvantifikovat jakékoli jeho nehlášené zavádění; Komisi a členské státy vyzývá dále k tomu, aby se dohodly na celoevropském moratoriu na používání SRM a aby zajistily, že případné veřejné financování odpovědného vědeckého výzkumu a komplexního mezinárodního posouzení rizik, možných účinků a dopadů této technologie nenahradí veřejné financování výzkumu v oblasti přizpůsobení se změně klimatu a jejího zmírňování;</w:t>
      </w:r>
    </w:p>
    <w:p w14:paraId="41FA1159" w14:textId="77777777" w:rsidR="00514785" w:rsidRPr="009F3B75" w:rsidRDefault="00514785" w:rsidP="00514785">
      <w:pPr>
        <w:pStyle w:val="NormalHanging12a"/>
        <w:rPr>
          <w:b/>
          <w:i/>
          <w:iCs/>
        </w:rPr>
      </w:pPr>
      <w:r w:rsidRPr="009F3B75">
        <w:rPr>
          <w:b/>
          <w:i/>
        </w:rPr>
        <w:t>Změna klimatu a rovnost žen a mužů</w:t>
      </w:r>
    </w:p>
    <w:p w14:paraId="31786304" w14:textId="0EE708E9" w:rsidR="00514785" w:rsidRPr="009F3B75" w:rsidRDefault="00514785" w:rsidP="00514785">
      <w:pPr>
        <w:pStyle w:val="NormalHanging12a"/>
      </w:pPr>
      <w:r w:rsidRPr="009F3B75">
        <w:t>9</w:t>
      </w:r>
      <w:r w:rsidR="00DE7C4F">
        <w:t>1</w:t>
      </w:r>
      <w:r w:rsidRPr="009F3B75">
        <w:t>.</w:t>
      </w:r>
      <w:r w:rsidRPr="009F3B75">
        <w:tab/>
        <w:t>zdůrazňuje význam genderových hledisek a inkluzivních přístupů v procesu UNFCCC, včetně pracovního programu pro spravedlivou transformaci; vyzývá všechny smluvní strany, včetně EU a jejích členských států, aby zvýšily úsilí o začlenění rovnosti žen a mužů do svých revidovaných vnitrostátně stanovených příspěvků a národních adaptačních plánů a do svých politik v oblasti klimatu a životního prostředí, zejména těch, které se týkají zmírňování změny klimatu, přizpůsobování se této změně a ztrát a škod; zdůrazňuje, že je třeba, aby všechny smluvní strany, včetně EU a jejích členských států, přijaly konkrétnější opatření s cílem splnit závazky vyplývající z obnoveného akčního plánu pro rovnost žen a mužů dohodnutého na konferenci COP25; naléhavě vyzývá členské státy a Komisi, aby zvýšily úsilí o dosažení cílů stanovených v Akčním plánu EU pro rovnost žen a mužů III;</w:t>
      </w:r>
    </w:p>
    <w:p w14:paraId="727B6891" w14:textId="504D9867" w:rsidR="00514785" w:rsidRPr="009F3B75" w:rsidRDefault="00514785" w:rsidP="00514785">
      <w:pPr>
        <w:pStyle w:val="NormalHanging12a"/>
      </w:pPr>
      <w:r w:rsidRPr="009F3B75">
        <w:t>9</w:t>
      </w:r>
      <w:r w:rsidR="00DE7C4F">
        <w:t>2</w:t>
      </w:r>
      <w:r w:rsidRPr="009F3B75">
        <w:t>.</w:t>
      </w:r>
      <w:r w:rsidRPr="009F3B75">
        <w:tab/>
        <w:t>vyzývá k vypracování nového ambiciózního akčního plánu pro rovnost žen a mužů před konferencí COP30, který by byl průřezový, inkluzivní, měřitelný, založený na lidských právech a soudržný ve všech oblastech opatření v oblasti klimatu; vyzývá smluvní strany, aby zajistily, že financování v oblasti klimatu bude zohledňovat genderová hlediska a že akční plán pro rovnost žen a mužů bude obsahovat odpovídající plán financování vypracovaný zvlášť pro tento účel; vyzývá všechny strany, aby během konference COP30 přijaly nový akční plán pro rovnost žen a mužů;</w:t>
      </w:r>
    </w:p>
    <w:p w14:paraId="036773E5" w14:textId="4BDC8561" w:rsidR="00514785" w:rsidRPr="009F3B75" w:rsidRDefault="00514785" w:rsidP="00514785">
      <w:pPr>
        <w:pStyle w:val="NormalHanging12a"/>
      </w:pPr>
      <w:r w:rsidRPr="009F3B75">
        <w:t>9</w:t>
      </w:r>
      <w:r w:rsidR="00DE7C4F">
        <w:t>3</w:t>
      </w:r>
      <w:r w:rsidRPr="009F3B75">
        <w:t>.</w:t>
      </w:r>
      <w:r w:rsidRPr="009F3B75">
        <w:tab/>
        <w:t xml:space="preserve">opětovně zdůrazňuje, že adaptační kapacita a zranitelnost se </w:t>
      </w:r>
      <w:proofErr w:type="gramStart"/>
      <w:r w:rsidRPr="009F3B75">
        <w:t>liší</w:t>
      </w:r>
      <w:proofErr w:type="gramEnd"/>
      <w:r w:rsidRPr="009F3B75">
        <w:t xml:space="preserve"> podle pohlaví, věku, schopností, rasy a profese; vyzývá proto všechny smluvní strany, aby v rámci svých vnitrostátních adaptačních plánů, sdělení o přizpůsobení se změně klimatu a vnitrostátně stanovených příspěvků posuzovaly potřeby zranitelných skupin obyvatelstva, reagovaly na ně a upřednostňovaly je;</w:t>
      </w:r>
    </w:p>
    <w:p w14:paraId="32D5DD5A" w14:textId="65F5AB89" w:rsidR="00514785" w:rsidRPr="009F3B75" w:rsidRDefault="00514785" w:rsidP="00514785">
      <w:pPr>
        <w:pStyle w:val="NormalHanging12a"/>
      </w:pPr>
      <w:r w:rsidRPr="009F3B75">
        <w:t>9</w:t>
      </w:r>
      <w:r w:rsidR="00DE7C4F">
        <w:t>4</w:t>
      </w:r>
      <w:r w:rsidRPr="009F3B75">
        <w:t>.</w:t>
      </w:r>
      <w:r w:rsidRPr="009F3B75">
        <w:tab/>
        <w:t xml:space="preserve">uznává, že změna klimatu má na ženy a dívky neúměrně větší dopad, který prohlubuje stávající nerovnosti mezi muži a ženami a představuje zcela specifické hrozby pro způsoby jejich obživy, zdraví a bezpečnost; opětovně zdůrazňuje, že je třeba urychlit opatření ke snižování rizika katastrof, která by zohledňovala genderové aspekty, a tím i </w:t>
      </w:r>
      <w:r w:rsidRPr="009F3B75">
        <w:lastRenderedPageBreak/>
        <w:t>k uplatňování sendajského rámce, které tyto aspekty zohlední; vyzývá k tomu, aby bylo vyvinuto další úsilí v souvislosti se stanovením priorit a zohledněním genderových aspektů v oblasti připravenosti na katastrofy, zejména tím, že se budou používat rozčleněné soubory údajů o snižování rizika katastrof;</w:t>
      </w:r>
    </w:p>
    <w:p w14:paraId="51999245" w14:textId="1CC283AF" w:rsidR="00514785" w:rsidRPr="009F3B75" w:rsidRDefault="00514785" w:rsidP="00514785">
      <w:pPr>
        <w:pStyle w:val="NormalHanging12a"/>
      </w:pPr>
      <w:r w:rsidRPr="009F3B75">
        <w:t>9</w:t>
      </w:r>
      <w:r w:rsidR="00DE7C4F">
        <w:t>5</w:t>
      </w:r>
      <w:r w:rsidRPr="009F3B75">
        <w:t>.</w:t>
      </w:r>
      <w:r w:rsidRPr="009F3B75">
        <w:tab/>
        <w:t>domnívá se, že je nutné rozšířit a usnadnit přístup žen k financování inkluzivních opatření v oblasti klimatu, a konstatuje, že ženy mají mnohem omezenější přístup k finančním zdrojům na projekty v oblasti přizpůsobování se změně klimatu a jejího zmírňování; naléhavě vyzývá EU a její členské státy, aby podávaly zprávy o tom, zda jejich příspěvky na financování opatření v oblasti klimatu zohledňují rovnost žen a mužů, a aby posílily soudržnost mezi podporou rovnosti žen a mužů a podporou klimatu prostřednictvím nástrojů vnější činnosti a Evropské investiční banky;</w:t>
      </w:r>
    </w:p>
    <w:p w14:paraId="0B8D5356" w14:textId="6D428D0A" w:rsidR="00514785" w:rsidRPr="009F3B75" w:rsidRDefault="00514785" w:rsidP="00514785">
      <w:pPr>
        <w:pStyle w:val="NormalHanging12a"/>
      </w:pPr>
      <w:r w:rsidRPr="009F3B75">
        <w:t>9</w:t>
      </w:r>
      <w:r w:rsidR="00DE7C4F">
        <w:t>6</w:t>
      </w:r>
      <w:r w:rsidRPr="009F3B75">
        <w:t>.</w:t>
      </w:r>
      <w:r w:rsidRPr="009F3B75">
        <w:tab/>
        <w:t>opětovně zdůrazňuje, že je důležité zvýšit účast žen na rozhodování v kontextu diplomatické činnosti v oblasti klimatu, včetně delegací COP a vedení na všech úrovních opatření v oblasti klimatu; vyzývá všechny smluvní strany, aby usilovaly o rovné zastoupení žen a mužů ve svých delegacích a na všech úrovních rozhodování a jednání o změně klimatu; naléhavě vyzývá všechny smluvní strany, aby určily vnitrostátní kontaktní místa pro otázky rovnosti žen a mužů a změny klimatu a aby navýšily příslušné zdroje, odbornou přípravu a podporu, a to i v EU;</w:t>
      </w:r>
    </w:p>
    <w:p w14:paraId="47C2BDCB" w14:textId="77777777" w:rsidR="00514785" w:rsidRPr="009F3B75" w:rsidRDefault="00514785" w:rsidP="00514785">
      <w:pPr>
        <w:pStyle w:val="NormalHanging12a"/>
        <w:rPr>
          <w:b/>
          <w:bCs/>
          <w:i/>
        </w:rPr>
      </w:pPr>
      <w:r w:rsidRPr="009F3B75">
        <w:rPr>
          <w:b/>
          <w:i/>
        </w:rPr>
        <w:t>Účast zainteresovaných subjektů na konferenci COP30</w:t>
      </w:r>
    </w:p>
    <w:p w14:paraId="14F7ED64" w14:textId="2D29A8E0" w:rsidR="00514785" w:rsidRPr="009F3B75" w:rsidRDefault="00514785" w:rsidP="00514785">
      <w:pPr>
        <w:pStyle w:val="NormalHanging12a"/>
      </w:pPr>
      <w:r w:rsidRPr="009F3B75">
        <w:t>9</w:t>
      </w:r>
      <w:r w:rsidR="00DE7C4F">
        <w:t>7</w:t>
      </w:r>
      <w:r w:rsidRPr="009F3B75">
        <w:t>.</w:t>
      </w:r>
      <w:r w:rsidRPr="009F3B75">
        <w:tab/>
        <w:t>připomíná význam plného zapojení všech smluvních stran do rozhodovacích procesů UNFCCC v duchu upřímné spolupráce a uznává, že ochrana prostoru pro občanskou společnost a subjekty na místní a regionální úrovni, aby mohly působit a podílet se na správě klimatu, je základem odpovědnosti a transparentnosti; uznává, že existuje mnoho překážek, které brání účasti organizací občanské společnosti na konferencích smluvních stran; zdůrazňuje, že občanská společnost a aktéři na místní a regionální úrovni hrají zásadní roli v pokroku při provádění vnitrostátně stanovených příspěvků tím, že zajišťují, aby opatření byla účinná, přizpůsobená místním podmínkám a reagovala na potřeby komunity;</w:t>
      </w:r>
    </w:p>
    <w:p w14:paraId="065AC43D" w14:textId="3240771D" w:rsidR="00514785" w:rsidRPr="009F3B75" w:rsidRDefault="00514785" w:rsidP="00514785">
      <w:pPr>
        <w:pStyle w:val="NormalHanging12a"/>
      </w:pPr>
      <w:r w:rsidRPr="009F3B75">
        <w:t>9</w:t>
      </w:r>
      <w:r w:rsidR="00DE7C4F">
        <w:t>8</w:t>
      </w:r>
      <w:r w:rsidRPr="009F3B75">
        <w:t>.</w:t>
      </w:r>
      <w:r w:rsidRPr="009F3B75">
        <w:tab/>
        <w:t>vyzývá předsednictví COP30 a budoucí předsednictví, aby usnadňovala účast rozvojových zemí a delegátů z nejméně rozvinutých zemí a aby za tímto účelem vyčlenila dodatečné zdroje; vybízí smluvní strany, aby zahrnuly mladé lidi do svých delegací s cílem zajistit, aby budoucí generace hrály aktivní úlohu při utváření rozhodnutí týkajících se jejich budoucnosti; vítá zřízení funkce mládežnického klimatického šampiona na konferenci COP28 jako krok k většímu zapojení mladých lidí do procesu UNFCCC; vyzývá konferenci COP30, aby institucionalizovala smysluplnou účast dětí a mladé lidi, a to i prostřednictvím mechanismů strukturovaného dialogu a oficiálního zastoupení; vyzývá k většímu využívání virtuálních platforem na konferencích smluvních stran s cílem posílit globální inkluzivnost a účast delegátů a zástupců občanské společnosti;</w:t>
      </w:r>
    </w:p>
    <w:p w14:paraId="63270065" w14:textId="6E264FED" w:rsidR="00514785" w:rsidRPr="009F3B75" w:rsidRDefault="00DE7C4F" w:rsidP="00514785">
      <w:pPr>
        <w:pStyle w:val="NormalHanging12a"/>
      </w:pPr>
      <w:r>
        <w:t>99</w:t>
      </w:r>
      <w:r w:rsidR="00514785" w:rsidRPr="009F3B75">
        <w:t>.</w:t>
      </w:r>
      <w:r w:rsidR="00514785" w:rsidRPr="009F3B75">
        <w:tab/>
        <w:t xml:space="preserve">požaduje, aby organizátoři konferencí smluvních stran zajistili, aby lidská práva, základní svobody, včetně svobody projevu, plná a neomezená účast občanů a organizací občanské společnosti, včetně práva na pokojné shromažďování a sdružování, a rovný přístup k těmto i budoucím konferencím smluvních stran byly plně zakotveny a zaručeny v dohodě o hostitelské zemi, která by měla být zveřejněna co nejdříve po podpisu; vyzývá sekretariát UNFCCC, aby sledoval dodržování pravidel a přijal </w:t>
      </w:r>
      <w:r w:rsidR="00514785" w:rsidRPr="009F3B75">
        <w:lastRenderedPageBreak/>
        <w:t>opatření v případě porušení těchto kritérií v oblasti lidských práv;</w:t>
      </w:r>
    </w:p>
    <w:p w14:paraId="6A471149" w14:textId="4ED5205F" w:rsidR="00514785" w:rsidRPr="009F3B75" w:rsidRDefault="00514785" w:rsidP="00514785">
      <w:pPr>
        <w:pStyle w:val="NormalHanging12a"/>
      </w:pPr>
      <w:r w:rsidRPr="009F3B75">
        <w:t>10</w:t>
      </w:r>
      <w:r w:rsidR="00DE7C4F">
        <w:t>0</w:t>
      </w:r>
      <w:r w:rsidRPr="009F3B75">
        <w:t>.</w:t>
      </w:r>
      <w:r w:rsidRPr="009F3B75">
        <w:tab/>
        <w:t>domnívá se, že výběr hostitelského města pro budoucí zasedání konference COP by měl zohlednit soubor předem stanovených podmínek, včetně logistické a organizační kapacity, bezpečnosti a ochrany, jakož i environmentálních, ekonomických a sociálních dopadů organizace akce; zdůrazňuje důležitost udržitelné organizace konference COP30; lituje veškerých negativních dopadů, které konference COP30 mohla mít na místní ekosystém a místní komunitu v Belému; vyzývá k přijetí preventivních opatření s cílem zmírnit tato rizika;</w:t>
      </w:r>
    </w:p>
    <w:p w14:paraId="436EFB41" w14:textId="77777777" w:rsidR="00514785" w:rsidRPr="009F3B75" w:rsidRDefault="00514785" w:rsidP="00514785">
      <w:pPr>
        <w:pStyle w:val="NormalHanging12a"/>
        <w:rPr>
          <w:b/>
          <w:bCs/>
          <w:i/>
        </w:rPr>
      </w:pPr>
      <w:r w:rsidRPr="009F3B75">
        <w:rPr>
          <w:b/>
          <w:i/>
        </w:rPr>
        <w:t>Střet zájmů, transparentnost a integrita</w:t>
      </w:r>
    </w:p>
    <w:p w14:paraId="13A9CF5F" w14:textId="6147BE4B" w:rsidR="00514785" w:rsidRPr="009F3B75" w:rsidRDefault="00514785" w:rsidP="00514785">
      <w:pPr>
        <w:pStyle w:val="NormalHanging12a"/>
      </w:pPr>
      <w:r w:rsidRPr="009F3B75">
        <w:t>10</w:t>
      </w:r>
      <w:r w:rsidR="00DE7C4F">
        <w:t>1</w:t>
      </w:r>
      <w:r w:rsidRPr="009F3B75">
        <w:t>.</w:t>
      </w:r>
      <w:r w:rsidRPr="009F3B75">
        <w:tab/>
        <w:t>vyjadřuje znepokojení nad tím, že na konferenci COP29 bylo akreditováno více než 1 770 lobbistů za fosilní paliva; vyzývá UNFCCC a smluvní strany, aby zajistily ochranu rozhodovacího procesu před zájmy, které jsou v rozporu s cíli Pařížské dohody; apeluje na UNFCCC, aby na základě modelu ochrany, kterou v souvislosti s tabákovým průmyslem poskytuje Rámcová úmluva WHO o kontrole tabáku, iniciovala navržení ambiciózního rámce odpovědnosti, který by chránil práci UNFCCC před nepatřičným ovlivňováním; vyzývá všechny smluvní strany, aby se v kontextu tohoto rámce dohodly na definici „střetu zájmů“ za účelem zpřísnění požadavků na zveřejňování;</w:t>
      </w:r>
    </w:p>
    <w:p w14:paraId="7485326B" w14:textId="185C1EA9" w:rsidR="00514785" w:rsidRPr="009F3B75" w:rsidRDefault="00514785" w:rsidP="00514785">
      <w:pPr>
        <w:pStyle w:val="NormalHanging12a"/>
      </w:pPr>
      <w:r w:rsidRPr="009F3B75">
        <w:t>10</w:t>
      </w:r>
      <w:r w:rsidR="00DE7C4F">
        <w:t>2</w:t>
      </w:r>
      <w:r w:rsidRPr="009F3B75">
        <w:t>.</w:t>
      </w:r>
      <w:r w:rsidRPr="009F3B75">
        <w:tab/>
        <w:t>požaduje, aby akreditace pozorovatelů byla podmíněna tím, že UNFCCC bude předloženo formální a veřejně přístupné prohlášení o zastupovaných zájmech, aby se zvýšila transparentnost vlivu na konferenci smluvních stran;</w:t>
      </w:r>
    </w:p>
    <w:p w14:paraId="34EC3AF1" w14:textId="211103F3" w:rsidR="00514785" w:rsidRPr="009F3B75" w:rsidRDefault="00514785" w:rsidP="00514785">
      <w:pPr>
        <w:pStyle w:val="NormalHanging12a"/>
      </w:pPr>
      <w:r w:rsidRPr="009F3B75">
        <w:t>10</w:t>
      </w:r>
      <w:r w:rsidR="00DE7C4F">
        <w:t>3</w:t>
      </w:r>
      <w:r w:rsidRPr="009F3B75">
        <w:t>.</w:t>
      </w:r>
      <w:r w:rsidRPr="009F3B75">
        <w:tab/>
        <w:t>vítá skutečnost, že Komise neposkytla akreditaci lobbistům za fosilní paliva k účasti na COP29, a vyzývá k pokračování této praxe; vyjadřuje politování nad tím, že na konferenci COP29 bylo členskými státy EU akreditováno 113 lobbistů za fosilní paliva, a vyzývá všechny členské státy, aby pro účast na konferenci COP30 ani na žádné další konferenci COP neposkytovaly akreditaci žádným lobbistům za fosilní paliva;</w:t>
      </w:r>
    </w:p>
    <w:p w14:paraId="659E03FE" w14:textId="77777777" w:rsidR="00514785" w:rsidRPr="009F3B75" w:rsidRDefault="00514785" w:rsidP="00514785">
      <w:pPr>
        <w:pStyle w:val="NormalHanging12a"/>
        <w:rPr>
          <w:b/>
          <w:bCs/>
          <w:i/>
          <w:szCs w:val="24"/>
        </w:rPr>
      </w:pPr>
      <w:r w:rsidRPr="009F3B75">
        <w:rPr>
          <w:b/>
          <w:i/>
        </w:rPr>
        <w:t>Průmysl, malé a střední podniky a konkurenceschopnost</w:t>
      </w:r>
    </w:p>
    <w:p w14:paraId="7A0C1C4F" w14:textId="24D150DA" w:rsidR="00514785" w:rsidRPr="009F3B75" w:rsidRDefault="00514785" w:rsidP="00514785">
      <w:pPr>
        <w:pStyle w:val="NormalHanging12a"/>
        <w:rPr>
          <w:szCs w:val="24"/>
        </w:rPr>
      </w:pPr>
      <w:r w:rsidRPr="009F3B75">
        <w:t>10</w:t>
      </w:r>
      <w:r w:rsidR="00DE7C4F">
        <w:t>4</w:t>
      </w:r>
      <w:r w:rsidRPr="009F3B75">
        <w:t>.</w:t>
      </w:r>
      <w:r w:rsidRPr="009F3B75">
        <w:tab/>
        <w:t>je toho názoru, že konference COP30 představuje deset let po uzavření Pařížské dohody klíčový milník, a zdůrazňuje, že boj proti změně klimatu by měl být silnou hnací silou růstu, snižovat energetickou chudobu a zvyšovat odolnost, udržitelnost a konkurenceschopnost průmyslu a malých a středních podniků; vyzývá tvůrce politik všech smluvních stran úmluvy, aby v souladu se zásadou společné, ale rozdílné odpovědnosti (CBDR) prováděli ambiciózní, včasná a cílená opatření jako součást stabilního, předvídatelného a podpůrného transformačního rámce;</w:t>
      </w:r>
    </w:p>
    <w:p w14:paraId="3DA6F843" w14:textId="0D17914B" w:rsidR="00514785" w:rsidRPr="009F3B75" w:rsidRDefault="00514785" w:rsidP="00514785">
      <w:pPr>
        <w:pStyle w:val="NormalHanging12a"/>
        <w:rPr>
          <w:szCs w:val="24"/>
        </w:rPr>
      </w:pPr>
      <w:r w:rsidRPr="009F3B75">
        <w:t>10</w:t>
      </w:r>
      <w:r w:rsidR="00DE7C4F">
        <w:t>5</w:t>
      </w:r>
      <w:r w:rsidRPr="009F3B75">
        <w:t>.</w:t>
      </w:r>
      <w:r w:rsidRPr="009F3B75">
        <w:tab/>
        <w:t>zdůrazňuje, že dobře navržené a proveditelné podpůrné politiky mohou zajistit, aby dekarbonizace a klimatické cíle šly ruku v ruce s průmyslovým růstem, tvorbou pracovních míst a inovacemi; připomíná, že investice do udržitelných a čistých technologií přispívají k dosažení environmentálních, hospodářských a sociálních cílů;</w:t>
      </w:r>
    </w:p>
    <w:p w14:paraId="498EFC07" w14:textId="5C2D9268" w:rsidR="00514785" w:rsidRPr="009F3B75" w:rsidRDefault="00514785" w:rsidP="00514785">
      <w:pPr>
        <w:pStyle w:val="NormalHanging12a"/>
        <w:rPr>
          <w:szCs w:val="24"/>
        </w:rPr>
      </w:pPr>
      <w:r w:rsidRPr="009F3B75">
        <w:t>10</w:t>
      </w:r>
      <w:r w:rsidR="00DE7C4F">
        <w:t>6</w:t>
      </w:r>
      <w:r w:rsidRPr="009F3B75">
        <w:t>.</w:t>
      </w:r>
      <w:r w:rsidRPr="009F3B75">
        <w:tab/>
        <w:t xml:space="preserve">považuje za nanejvýš důležité, aby EU zajistila spravedlivý přechod ke klimatické neutralitě do roku 2050, uchovala si podporu veřejnosti pro opatření v oblasti klimatu a šla příkladem, což by mělo zajistit výhodu prvního tahu v oblasti čistých technologií a udržitelných průmyslových odvětví; vyzývá k přijetí důrazných a cílených opatření, která by chránila průmysl EU před rizikem úniku uhlíku a před nekalou globální </w:t>
      </w:r>
      <w:r w:rsidRPr="009F3B75">
        <w:lastRenderedPageBreak/>
        <w:t>konkurencí a zajistila rovné podmínky na celosvětové úrovni; zdůrazňuje, že je naléhavě zapotřebí řešit přetrvávající vysoké ceny energie, které podkopávají konkurenceschopnost průmyslu EU, a to i prostřednictvím investic do čisté a obnovitelné energie, energetické účinnosti, sítí a flexibility;</w:t>
      </w:r>
    </w:p>
    <w:p w14:paraId="0D6782A5" w14:textId="5B568768" w:rsidR="00514785" w:rsidRPr="009F3B75" w:rsidRDefault="00514785" w:rsidP="00514785">
      <w:pPr>
        <w:pStyle w:val="NormalHanging12a"/>
        <w:rPr>
          <w:szCs w:val="24"/>
        </w:rPr>
      </w:pPr>
      <w:r w:rsidRPr="009F3B75">
        <w:t>10</w:t>
      </w:r>
      <w:r w:rsidR="00DE7C4F">
        <w:t>7</w:t>
      </w:r>
      <w:r w:rsidRPr="009F3B75">
        <w:t>.</w:t>
      </w:r>
      <w:r w:rsidRPr="009F3B75">
        <w:tab/>
        <w:t>uznává, že cíl EU dosáhnout do roku 2050 klimatické neutrality a zároveň zvýšit svou konkurenceschopnost znamená hlubokou průmyslovou transformaci, která vyžaduje rozsáhlé a cílené veřejné a soukromé investice přizpůsobené různým podmínkám členských států a průmyslových odvětví a zvýšení podpory čistých technologií, inovací, dovedností a infrastruktury; zdůrazňuje, že investice do průmyslových hodnotových řetězců pro čisté technologie jsou rovněž klíčem k reindustrializaci EU a posílení strategické autonomie;</w:t>
      </w:r>
    </w:p>
    <w:p w14:paraId="570BAF35" w14:textId="219582A4" w:rsidR="00514785" w:rsidRPr="009F3B75" w:rsidRDefault="00514785" w:rsidP="00514785">
      <w:pPr>
        <w:pStyle w:val="NormalHanging12a"/>
        <w:rPr>
          <w:szCs w:val="24"/>
        </w:rPr>
      </w:pPr>
      <w:r w:rsidRPr="009F3B75">
        <w:t>10</w:t>
      </w:r>
      <w:r w:rsidR="00DE7C4F">
        <w:t>8</w:t>
      </w:r>
      <w:r w:rsidRPr="009F3B75">
        <w:t>.</w:t>
      </w:r>
      <w:r w:rsidRPr="009F3B75">
        <w:tab/>
        <w:t>naléhavě vyzývá k podpoře průmyslových podniků EU, včetně malých a středních podniků a podniků se střední tržní kapitalizací, aby si zachovaly své vedoucí postavení na světovém trhu a zároveň dekarbonizovaly a přešly na hospodářství s nulovými čistými emisemi; zdůrazňuje, že je třeba poskytnout účinná řešení na jejich podporu v této přechodné fázi s cílem podpořit jejich inovační kapacitu a zajistit konkurenceschopnost, poskytnout jim předvídatelné a zjednodušené administrativní postupy, například online povolovací procesy a přístup k financování, a usnadnit jim účast na veřejných zakázkách;</w:t>
      </w:r>
    </w:p>
    <w:p w14:paraId="764D7817" w14:textId="7FC18998" w:rsidR="00514785" w:rsidRPr="009F3B75" w:rsidRDefault="00514785" w:rsidP="00514785">
      <w:pPr>
        <w:pStyle w:val="NormalHanging12a"/>
        <w:rPr>
          <w:rFonts w:eastAsia="Calibri"/>
          <w:szCs w:val="24"/>
        </w:rPr>
      </w:pPr>
      <w:r w:rsidRPr="009F3B75">
        <w:t>1</w:t>
      </w:r>
      <w:r w:rsidR="00DE7C4F">
        <w:t>09</w:t>
      </w:r>
      <w:r w:rsidRPr="009F3B75">
        <w:t>.</w:t>
      </w:r>
      <w:r w:rsidRPr="009F3B75">
        <w:tab/>
        <w:t>vyzývá k urychlené dekarbonizaci a zároveň k posílení konkurenceschopnosti; vítá akt o průmyslu s nulovými čistými emisemi</w:t>
      </w:r>
      <w:r w:rsidRPr="009F3B75">
        <w:rPr>
          <w:rStyle w:val="FootnoteReference"/>
          <w:color w:val="000000"/>
          <w:szCs w:val="24"/>
        </w:rPr>
        <w:footnoteReference w:id="33"/>
      </w:r>
      <w:r w:rsidRPr="009F3B75">
        <w:t>, dohodu o čistém průmyslu</w:t>
      </w:r>
      <w:r w:rsidRPr="009F3B75">
        <w:rPr>
          <w:rStyle w:val="FootnoteReference"/>
          <w:color w:val="000000"/>
          <w:szCs w:val="24"/>
        </w:rPr>
        <w:footnoteReference w:id="34"/>
      </w:r>
      <w:r w:rsidRPr="009F3B75">
        <w:t xml:space="preserve"> a akční plán pro cenově dostupnou energii</w:t>
      </w:r>
      <w:r w:rsidRPr="009F3B75">
        <w:rPr>
          <w:rStyle w:val="FootnoteReference"/>
          <w:color w:val="000000"/>
          <w:szCs w:val="24"/>
        </w:rPr>
        <w:footnoteReference w:id="35"/>
      </w:r>
      <w:r w:rsidRPr="009F3B75">
        <w:t xml:space="preserve"> jako klíčové kroky na cestě k odolnému a klimaticky neutrálnímu hospodářství a připravovaný akt o urychlení dekarbonizace průmyslu; vítá rozšířený Inovační fond EU, který podporuje rozšiřování nových inovací a technologií v Evropě zaměřených na dekarbonizaci a rozvoj dodavatelského řetězce;</w:t>
      </w:r>
    </w:p>
    <w:p w14:paraId="15050384" w14:textId="400867A8" w:rsidR="00514785" w:rsidRPr="009F3B75" w:rsidRDefault="00514785" w:rsidP="00514785">
      <w:pPr>
        <w:pStyle w:val="NormalHanging12a"/>
        <w:rPr>
          <w:szCs w:val="24"/>
          <w:shd w:val="clear" w:color="auto" w:fill="FFFFFF"/>
        </w:rPr>
      </w:pPr>
      <w:r w:rsidRPr="009F3B75">
        <w:t>11</w:t>
      </w:r>
      <w:r w:rsidR="00DE7C4F">
        <w:t>0</w:t>
      </w:r>
      <w:r w:rsidRPr="009F3B75">
        <w:t>.</w:t>
      </w:r>
      <w:r w:rsidRPr="009F3B75">
        <w:tab/>
        <w:t>podporuje řízení uhlíku jako součást opatření ke zmírnění průmyslových emisí a zdůrazňuje klíčovou úlohu, kterou hraje zachycování, využívání a ukládání uhlíku při dekarbonizaci těžko odstranitelných průmyslových emisí a při výrobě nízkouhlíkových produktů, včetně nízkouhlíkového vodíku; připomíná strategii průmyslového řízení emisí uhlíku,</w:t>
      </w:r>
      <w:r w:rsidRPr="009F3B75">
        <w:rPr>
          <w:rStyle w:val="FootnoteReference"/>
          <w:color w:val="000000"/>
          <w:szCs w:val="24"/>
        </w:rPr>
        <w:footnoteReference w:id="36"/>
      </w:r>
      <w:r w:rsidRPr="009F3B75">
        <w:t xml:space="preserve"> jejímž cílem je rozšířit zachycování, ukládání, využívání a odstraňování CO</w:t>
      </w:r>
      <w:r w:rsidRPr="009F3B75">
        <w:rPr>
          <w:rFonts w:ascii="Calibri" w:hAnsi="Calibri" w:cs="Calibri"/>
        </w:rPr>
        <w:t>₂</w:t>
      </w:r>
      <w:r w:rsidRPr="009F3B75">
        <w:t>; vítá pokrok při vytváření globálního trhu s uhlíkem, který by měl napomoci globální dekarbonizaci průmyslových odvětví a zajistit rovné podmínky pro podniky na celém světě; v </w:t>
      </w:r>
      <w:r w:rsidRPr="009F3B75">
        <w:rPr>
          <w:shd w:val="clear" w:color="auto" w:fill="FFFFFF"/>
        </w:rPr>
        <w:t>této souvislosti připomíná svůj postoj k systému EU ETS a systému CBAM</w:t>
      </w:r>
      <w:r w:rsidRPr="009F3B75">
        <w:rPr>
          <w:rStyle w:val="FootnoteReference"/>
          <w:color w:val="000000"/>
          <w:szCs w:val="24"/>
          <w:shd w:val="clear" w:color="auto" w:fill="FFFFFF"/>
        </w:rPr>
        <w:footnoteReference w:id="37"/>
      </w:r>
      <w:r w:rsidRPr="009F3B75">
        <w:rPr>
          <w:shd w:val="clear" w:color="auto" w:fill="FFFFFF"/>
        </w:rPr>
        <w:t xml:space="preserve">, přičemž vítá návrh na zjednodušení tohoto systému, který je součástí prvního souhrnného balíčku, a považuje ho za důležitý krok k dalšímu zvýšení účinnosti </w:t>
      </w:r>
      <w:r w:rsidRPr="009F3B75">
        <w:rPr>
          <w:shd w:val="clear" w:color="auto" w:fill="FFFFFF"/>
        </w:rPr>
        <w:lastRenderedPageBreak/>
        <w:t>systému, pokud jde o zamezování úniku uhlíku, a vyzývá k vytvoření funkčního exportního modelu, který by řešil riziko úniku uhlíku spojeného s vývozem zboží podléhajícího systému CBAM z EU do zemí mimo EU;</w:t>
      </w:r>
    </w:p>
    <w:p w14:paraId="7C64ADD9" w14:textId="1D7D7CAA" w:rsidR="00514785" w:rsidRPr="009F3B75" w:rsidRDefault="00514785" w:rsidP="00514785">
      <w:pPr>
        <w:pStyle w:val="NormalHanging12a"/>
        <w:rPr>
          <w:szCs w:val="24"/>
        </w:rPr>
      </w:pPr>
      <w:r w:rsidRPr="009F3B75">
        <w:t>11</w:t>
      </w:r>
      <w:r w:rsidR="00DE7C4F">
        <w:t>1</w:t>
      </w:r>
      <w:r w:rsidRPr="009F3B75">
        <w:t>.</w:t>
      </w:r>
      <w:r w:rsidRPr="009F3B75">
        <w:tab/>
        <w:t>naléhavě vyzývá ke zlepšení přístupu evropských průmyslových podniků k financování dekarbonizace v souladu s Pařížskou dohodou; zdůrazňuje, že na podporu dekarbonizace v rámci příštího víceletého finančního rámce jsou zapotřebí odpovídající finanční zdroje, a to i prostřednictvím zvláštních nástrojů financování, které budou účinně řešit potřeby financování evropského průmyslu;</w:t>
      </w:r>
    </w:p>
    <w:p w14:paraId="3D6E684D" w14:textId="7224370F" w:rsidR="00514785" w:rsidRPr="009F3B75" w:rsidRDefault="00514785" w:rsidP="00514785">
      <w:pPr>
        <w:pStyle w:val="NormalHanging12a"/>
        <w:rPr>
          <w:szCs w:val="24"/>
        </w:rPr>
      </w:pPr>
      <w:r w:rsidRPr="009F3B75">
        <w:t>11</w:t>
      </w:r>
      <w:r w:rsidR="00DE7C4F">
        <w:t>2</w:t>
      </w:r>
      <w:r w:rsidRPr="009F3B75">
        <w:t>.</w:t>
      </w:r>
      <w:r w:rsidRPr="009F3B75">
        <w:tab/>
        <w:t>uznává zásadní úlohu malých a středních podniků a podniků se střední tržní kapitalizací, zejména mikropodniků a začínajících podniků, při podpoře a realizaci inovací, tvorby pracovních míst a růstu a při vedení digitální a ekologické transformace prostřednictvím inovací a špičkových technologických řešení; zdůrazňuje, že v souvislosti s tím jsou zapotřebí předvídatelná pravidla a lepší přístup k financování;</w:t>
      </w:r>
    </w:p>
    <w:p w14:paraId="4FA41F39" w14:textId="72612837" w:rsidR="00514785" w:rsidRPr="009F3B75" w:rsidRDefault="00514785" w:rsidP="00514785">
      <w:pPr>
        <w:pStyle w:val="NormalHanging12a"/>
        <w:rPr>
          <w:szCs w:val="24"/>
        </w:rPr>
      </w:pPr>
      <w:r w:rsidRPr="009F3B75">
        <w:t>11</w:t>
      </w:r>
      <w:r w:rsidR="00DE7C4F">
        <w:t>3</w:t>
      </w:r>
      <w:r w:rsidRPr="009F3B75">
        <w:t>.</w:t>
      </w:r>
      <w:r w:rsidRPr="009F3B75">
        <w:tab/>
        <w:t>zdůrazňuje, že je třeba, aby všechny smluvní strany měly nepřetržitý bezpečný a konkurenceschopný přístup ke kritickým surovinám, včetně surovin druhotných; vítá akt o kritických surovinách</w:t>
      </w:r>
      <w:r w:rsidRPr="009F3B75">
        <w:rPr>
          <w:rStyle w:val="FootnoteReference"/>
          <w:color w:val="000000"/>
          <w:szCs w:val="24"/>
        </w:rPr>
        <w:footnoteReference w:id="38"/>
      </w:r>
      <w:r w:rsidRPr="009F3B75">
        <w:t xml:space="preserve"> a záměr Komise navrhnout nový akt o oběhovém hospodářství a vyzývá k diverzifikaci dodavatelských řetězců s normami rovnocennými normám EU; je přesvědčen, že je zapotřebí, aby existoval předvídatelný regulační rámec, který umožní využít potenciál oběhových obchodních modelů, zejména těch, které jsou založeny na předcházení vzniku odpadu, opětovném použití a vysoce kvalitní recyklaci, s cílem zajistit přístup ke kritickým surovinám;</w:t>
      </w:r>
    </w:p>
    <w:p w14:paraId="664EB1F6" w14:textId="1450CA3B" w:rsidR="00514785" w:rsidRPr="009F3B75" w:rsidRDefault="00514785" w:rsidP="00514785">
      <w:pPr>
        <w:pStyle w:val="NormalHanging12a"/>
        <w:rPr>
          <w:szCs w:val="24"/>
        </w:rPr>
      </w:pPr>
      <w:r w:rsidRPr="009F3B75">
        <w:t>11</w:t>
      </w:r>
      <w:r w:rsidR="00DE7C4F">
        <w:t>4</w:t>
      </w:r>
      <w:r w:rsidRPr="009F3B75">
        <w:t>.</w:t>
      </w:r>
      <w:r w:rsidRPr="009F3B75">
        <w:tab/>
        <w:t>zdůrazňuje naléhavou potřebu rekvalifikace a zvyšování kvalifikace pracovní síly pomocí investic do vědy, technologie, inženýrství a matematiky (STEM) a akademií dovedností pro nulové čisté emise, aby se odstranil nedostatek pracovních sil a nedostatek dovedností v oblasti dekarbonizace evropského průmyslu; vyzývá ke spolupráci se sociálními partnery s cílem řešit kvalifikační nedostatky a budoucí poptávku po pracovní síle v oblasti čistých technologií;</w:t>
      </w:r>
    </w:p>
    <w:p w14:paraId="740E058D" w14:textId="77777777" w:rsidR="00514785" w:rsidRPr="009F3B75" w:rsidRDefault="00514785" w:rsidP="00514785">
      <w:pPr>
        <w:pStyle w:val="NormalHanging12a"/>
        <w:rPr>
          <w:b/>
          <w:bCs/>
          <w:i/>
          <w:szCs w:val="24"/>
        </w:rPr>
      </w:pPr>
      <w:r w:rsidRPr="009F3B75">
        <w:rPr>
          <w:b/>
          <w:i/>
        </w:rPr>
        <w:t>Energetická politika</w:t>
      </w:r>
    </w:p>
    <w:p w14:paraId="58F7F499" w14:textId="7A6B03D6" w:rsidR="00514785" w:rsidRPr="009F3B75" w:rsidRDefault="00514785" w:rsidP="00514785">
      <w:pPr>
        <w:pStyle w:val="NormalHanging12a"/>
        <w:rPr>
          <w:szCs w:val="24"/>
        </w:rPr>
      </w:pPr>
      <w:r w:rsidRPr="009F3B75">
        <w:t>11</w:t>
      </w:r>
      <w:r w:rsidR="00DE7C4F">
        <w:t>5</w:t>
      </w:r>
      <w:r w:rsidRPr="009F3B75">
        <w:t>.</w:t>
      </w:r>
      <w:r w:rsidRPr="009F3B75">
        <w:tab/>
        <w:t xml:space="preserve">zdůrazňuje, že je důležité postupně ukončit používání fosilních paliv, a to co nejdříve, a zároveň připomíná, že je třeba připravit opatření k zajištění dodávek plynu za zmírněných nákladů pro odvětví, která se v krátkodobém až střednědobém horizontu nemohou v podstatné míře spoléhat na elektrifikaci; konstatuje, že EU by sice měla vynaložit úsilí na dosažení celosvětového konsensu o tomto postupném ukončení používání fosilních paliv na konferenci COP30, ale zároveň by měla pokračovat ve snižování své závislosti na fosilních palivech, zajistit si větší množství různých dodavatelů energie a budovat energeticky účinné a dekarbonizované hospodářství, aby posílila svou energetickou bezpečnost a konkurenceschopnost průmyslu a zajistila domácnostem a podnikům přístup k cenově dostupné energii; vyzývá EU, aby okamžitě ukončila dovoz ruských fosilních paliv, včetně zemního plynu, neboť se tím subvencuje </w:t>
      </w:r>
      <w:r w:rsidRPr="009F3B75">
        <w:lastRenderedPageBreak/>
        <w:t>ruská útočná válka proti Ukrajině; v této souvislosti vítá nedávný plán ukončení dovozu energie z Ruska, který je součástí programu REPowerEU</w:t>
      </w:r>
      <w:r w:rsidRPr="009F3B75">
        <w:rPr>
          <w:rStyle w:val="FootnoteReference"/>
          <w:color w:val="000000"/>
          <w:szCs w:val="24"/>
        </w:rPr>
        <w:footnoteReference w:id="39"/>
      </w:r>
      <w:r w:rsidRPr="009F3B75">
        <w:t>; vyzývá země skupiny G7, aby při transformaci energetiky šly příkladem, a vyzývá všechny smluvní strany COP, aby dekarbonizovaly své energetické systémy a zastavily veškeré nové investice do těžby fosilních paliv;</w:t>
      </w:r>
    </w:p>
    <w:p w14:paraId="3B6F6D85" w14:textId="767F10BD" w:rsidR="00514785" w:rsidRPr="009F3B75" w:rsidRDefault="00514785" w:rsidP="00514785">
      <w:pPr>
        <w:pStyle w:val="NormalHanging12a"/>
        <w:rPr>
          <w:szCs w:val="24"/>
        </w:rPr>
      </w:pPr>
      <w:r w:rsidRPr="009F3B75">
        <w:t>11</w:t>
      </w:r>
      <w:r w:rsidR="00DE7C4F">
        <w:t>6</w:t>
      </w:r>
      <w:r w:rsidRPr="009F3B75">
        <w:t>.</w:t>
      </w:r>
      <w:r w:rsidRPr="009F3B75">
        <w:tab/>
        <w:t>zdůrazňuje nevyužitý potenciál geotermální energie pro dosažení cílů Pařížské dohody a energetické politiky EU, zejména pro vytápění a průmyslový ohřev; vyzývá ke sdílení osvědčených postupů, inovací a technologií;</w:t>
      </w:r>
    </w:p>
    <w:p w14:paraId="3CC95C49" w14:textId="03B2275D" w:rsidR="00514785" w:rsidRPr="009F3B75" w:rsidRDefault="00514785" w:rsidP="00514785">
      <w:pPr>
        <w:pStyle w:val="NormalHanging12a"/>
        <w:rPr>
          <w:szCs w:val="24"/>
        </w:rPr>
      </w:pPr>
      <w:r w:rsidRPr="009F3B75">
        <w:t>11</w:t>
      </w:r>
      <w:r w:rsidR="00DE7C4F">
        <w:t>7</w:t>
      </w:r>
      <w:r w:rsidRPr="009F3B75">
        <w:t>.</w:t>
      </w:r>
      <w:r w:rsidRPr="009F3B75">
        <w:tab/>
        <w:t>připomíná klíčové výsledky prvního globálního hodnocení v rámci konsensu SAE na konferenci COP28, včetně ztrojnásobení obnovitelných zdrojů energie a zdvojnásobení energetické účinnosti do roku 2030, jakož i urychlení investic do čisté energie; vítá skutečnost, že rok 2023 byl z hlediska růstu kapacity elektřiny z obnovitelných zdrojů rokem rekordním</w:t>
      </w:r>
      <w:r w:rsidRPr="009F3B75">
        <w:rPr>
          <w:rStyle w:val="FootnoteReference"/>
          <w:color w:val="000000"/>
          <w:szCs w:val="24"/>
        </w:rPr>
        <w:footnoteReference w:id="40"/>
      </w:r>
      <w:r w:rsidRPr="009F3B75">
        <w:t>, a vyzývá k průběžnému sledování a monitorování pokroku, a to jak na úrovni EU, tak na celosvětové úrovni; se znepokojením konstatuje, že současné investiční trendy neodpovídají úrovni, která je nezbytná k tomu, aby svět uvedených cílů dosáhl</w:t>
      </w:r>
      <w:r w:rsidRPr="009F3B75">
        <w:rPr>
          <w:rStyle w:val="FootnoteReference"/>
          <w:bCs/>
          <w:iCs/>
          <w:color w:val="000000"/>
          <w:szCs w:val="24"/>
        </w:rPr>
        <w:footnoteReference w:id="41"/>
      </w:r>
      <w:r w:rsidRPr="009F3B75">
        <w:t>, a zdůrazňuje, že překonání tohoto nepoměru vyžaduje politická opatření a účinnější koordinaci veřejného a soukromého sektoru;</w:t>
      </w:r>
    </w:p>
    <w:p w14:paraId="13E6359D" w14:textId="649CC245" w:rsidR="00514785" w:rsidRPr="009F3B75" w:rsidRDefault="00514785" w:rsidP="00514785">
      <w:pPr>
        <w:pStyle w:val="NormalHanging12a"/>
        <w:rPr>
          <w:szCs w:val="24"/>
        </w:rPr>
      </w:pPr>
      <w:r w:rsidRPr="009F3B75">
        <w:t>11</w:t>
      </w:r>
      <w:r w:rsidR="00DE7C4F">
        <w:t>8</w:t>
      </w:r>
      <w:r w:rsidRPr="009F3B75">
        <w:t>.</w:t>
      </w:r>
      <w:r w:rsidRPr="009F3B75">
        <w:tab/>
        <w:t>poukazuje na význam globálního snižování emisí metanu v dodavatelských řetězcích fosilních paliv během přechodu na systémy čisté energie s cílem dosáhnout do roku 2030 celosvětového snížení emisí metanu o 75 %, jak se uvádí ve scénáři Mezinárodní energetické agentury (IAE) pro nulové čisté emise do roku 2050; vyzývá signatáře Globálního metanového závazku, aby zvýšili své úsilí, protože současná míra snižování emisí je stále nedostatečná</w:t>
      </w:r>
      <w:r w:rsidRPr="009F3B75">
        <w:rPr>
          <w:rStyle w:val="FootnoteReference"/>
          <w:color w:val="000000"/>
          <w:szCs w:val="24"/>
        </w:rPr>
        <w:footnoteReference w:id="42"/>
      </w:r>
      <w:r w:rsidRPr="009F3B75">
        <w:t xml:space="preserve"> a celosvětové emise stále přesahují 120 milionů tun ročně; vítá plán partnerství pro snižování emisí metanu, který Komise představila na konferenci COP29, a vyzývá k jeho rychlému provedení, mimo jiné prostřednictvím uvedení úspěšných příkladů na konferenci COP30;</w:t>
      </w:r>
    </w:p>
    <w:p w14:paraId="01A37A64" w14:textId="6CD5C6B4" w:rsidR="00514785" w:rsidRPr="009F3B75" w:rsidRDefault="00514785" w:rsidP="00514785">
      <w:pPr>
        <w:pStyle w:val="NormalHanging12a"/>
        <w:rPr>
          <w:szCs w:val="24"/>
        </w:rPr>
      </w:pPr>
      <w:r w:rsidRPr="009F3B75">
        <w:t>1</w:t>
      </w:r>
      <w:r w:rsidR="00DE7C4F">
        <w:t>19</w:t>
      </w:r>
      <w:r w:rsidRPr="009F3B75">
        <w:t>.</w:t>
      </w:r>
      <w:r w:rsidRPr="009F3B75">
        <w:tab/>
        <w:t>podporuje globální cíl zvýšit kapacitu skladování energie do roku 2030 šestinásobně na 1 500 GW a obecně zvýšit flexibilitu systému v souladu s cíli skupiny G7; zdůrazňuje potřebu inovací v oblasti technologií snižujících emise skleníkových plynů; upozorňuje, že změna klimatu narušuje energetické systémy, včetně účinnosti vodních a termálních elektráren; zdůrazňuje potřebu rozvoje nefosilní flexibility a skladování energie pro lepší integraci a řízení obnovitelných zdrojů;</w:t>
      </w:r>
    </w:p>
    <w:p w14:paraId="779B0433" w14:textId="6034C7F9" w:rsidR="00514785" w:rsidRPr="009F3B75" w:rsidRDefault="00514785" w:rsidP="00514785">
      <w:pPr>
        <w:pStyle w:val="NormalHanging12a"/>
      </w:pPr>
      <w:r w:rsidRPr="009F3B75">
        <w:t>12</w:t>
      </w:r>
      <w:r w:rsidR="00DE7C4F">
        <w:t>0</w:t>
      </w:r>
      <w:r w:rsidRPr="009F3B75">
        <w:t>.</w:t>
      </w:r>
      <w:r w:rsidRPr="009F3B75">
        <w:tab/>
        <w:t xml:space="preserve">poukazuje na zásadní revizi právních předpisů EU v oblasti energetiky, k níž došlo v rámci balíčku „Fit for 55“ a která tyto předpisy uvedla do souladu s ambicióznějším cílem EU snížit do roku 2030 emise skleníkových plynů nejméně o 55 %, aby bylo nejpozději do roku 2050 dosaženo klimatické neutrality, a kterou je nyní třeba účinným </w:t>
      </w:r>
      <w:r w:rsidRPr="009F3B75">
        <w:lastRenderedPageBreak/>
        <w:t>způsobem provádět; domnívá se, že také další smluvní strany by měly vyvíjet podobné a neméně významné úsilí;</w:t>
      </w:r>
    </w:p>
    <w:p w14:paraId="10FD0960" w14:textId="63E87A8A" w:rsidR="00514785" w:rsidRPr="009F3B75" w:rsidRDefault="00514785" w:rsidP="00514785">
      <w:pPr>
        <w:pStyle w:val="NormalHanging12a"/>
      </w:pPr>
      <w:r w:rsidRPr="009F3B75">
        <w:t>12</w:t>
      </w:r>
      <w:r w:rsidR="00DE7C4F">
        <w:t>1</w:t>
      </w:r>
      <w:r w:rsidRPr="009F3B75">
        <w:t>.</w:t>
      </w:r>
      <w:r w:rsidRPr="009F3B75">
        <w:tab/>
        <w:t>zdůrazňuje úlohu čisté energie a obnovitelných zdrojů, energetické účinnosti a diverzifikace systémů pro dosahování klimatické neutrality; v této souvislosti vítá nedávnou reformu koncepce trhu s elektřinou v EU</w:t>
      </w:r>
      <w:r w:rsidRPr="009F3B75">
        <w:rPr>
          <w:rStyle w:val="FootnoteReference"/>
        </w:rPr>
        <w:footnoteReference w:id="43"/>
      </w:r>
      <w:r w:rsidRPr="009F3B75">
        <w:t>, jejímž cílem je podpořit výrobu energie z obnovitelných zdrojů a posílit postavení a ochranu spotřebitelů; domnívá se, že k provedení pravidel pro uspořádání trhu s elektřinou je třeba přijmout další opatření; zdůrazňuje, že je nezbytné stanovit pragmatické, jasné a příznivé podmínky pro rozšíření nízkouhlíkového a obnovitelného vodíku, aby se urychlila transformace energetiky, zejména v odvětvích, ve kterých se emise snižují obtížně;</w:t>
      </w:r>
    </w:p>
    <w:p w14:paraId="565D55A8" w14:textId="68B1ED3A" w:rsidR="00514785" w:rsidRPr="009F3B75" w:rsidRDefault="00514785" w:rsidP="00514785">
      <w:pPr>
        <w:pStyle w:val="NormalHanging12a"/>
      </w:pPr>
      <w:r w:rsidRPr="009F3B75">
        <w:t>12</w:t>
      </w:r>
      <w:r w:rsidR="00DE7C4F">
        <w:t>2</w:t>
      </w:r>
      <w:r w:rsidRPr="009F3B75">
        <w:t>.</w:t>
      </w:r>
      <w:r w:rsidRPr="009F3B75">
        <w:tab/>
        <w:t>připomíná, že se EU zavázala k dodržování zásady „energetická účinnost v první řadě“, která bere v potaz nákladovou efektivnost, účinnost systému, skladovací kapacity, flexibilitu na straně poptávky a bezpečnost dodávek energie; zdůrazňuje její úlohu při snižování emisí, snižování účtů za energii, zlepšování energetické bezpečnosti a ochraně zranitelných spotřebitelů;</w:t>
      </w:r>
    </w:p>
    <w:p w14:paraId="55ABE732" w14:textId="0CE6B5E5" w:rsidR="00514785" w:rsidRPr="009F3B75" w:rsidRDefault="00514785" w:rsidP="00514785">
      <w:pPr>
        <w:pStyle w:val="NormalHanging12a"/>
      </w:pPr>
      <w:r w:rsidRPr="009F3B75">
        <w:t>12</w:t>
      </w:r>
      <w:r w:rsidR="00DE7C4F">
        <w:t>3</w:t>
      </w:r>
      <w:r w:rsidRPr="009F3B75">
        <w:t>.</w:t>
      </w:r>
      <w:r w:rsidRPr="009F3B75">
        <w:tab/>
        <w:t>zdůrazňuje potřebu rozsáhlých veřejných a soukromých investic do energetické sítě EU a související infrastruktury, které by umožnily jejich modernizaci, včetně digitalizace a rozšíření, jehož součástí by měla být i přeshraniční propojení energetických soustav, jakož i další flexibilní integraci čistých a obnovitelných zdrojů energie, opatření v oblasti účinnosti a řešení umožňující skladování energie s cílem zajistit občanům a průmyslu EU čistou, dostatečnou, bezpečnou a cenově dostupnou energii; zdůrazňuje zejména potřebu modernizace elektrické sítě EU v rámci připravovaného balíčku pro evropské sítě;</w:t>
      </w:r>
    </w:p>
    <w:p w14:paraId="3ED148D9" w14:textId="09DCD448" w:rsidR="00514785" w:rsidRPr="009F3B75" w:rsidRDefault="00514785" w:rsidP="00514785">
      <w:pPr>
        <w:pStyle w:val="NormalHanging12a"/>
      </w:pPr>
      <w:r w:rsidRPr="009F3B75">
        <w:t>12</w:t>
      </w:r>
      <w:r w:rsidR="00DE7C4F">
        <w:t>4</w:t>
      </w:r>
      <w:r w:rsidRPr="009F3B75">
        <w:t>.</w:t>
      </w:r>
      <w:r w:rsidRPr="009F3B75">
        <w:tab/>
        <w:t>zdůrazňuje potřebu globální koordinace s rozvojovými a nejméně rozvinutými zeměmi a jejich podpory s cílem dosáhnout čistých nulových emisí a budovat kapacity prostřednictvím přeshraniční spolupráce v oblasti tvorby politik a přenosu vědy a technologií;</w:t>
      </w:r>
    </w:p>
    <w:p w14:paraId="7DE484F2" w14:textId="77C88992" w:rsidR="00514785" w:rsidRPr="009F3B75" w:rsidRDefault="00514785" w:rsidP="00514785">
      <w:pPr>
        <w:pStyle w:val="NormalHanging12a"/>
      </w:pPr>
      <w:r w:rsidRPr="009F3B75">
        <w:t>12</w:t>
      </w:r>
      <w:r w:rsidR="00DE7C4F">
        <w:t>5</w:t>
      </w:r>
      <w:r w:rsidRPr="009F3B75">
        <w:t>.</w:t>
      </w:r>
      <w:r w:rsidRPr="009F3B75">
        <w:tab/>
        <w:t>podtrhuje, že je třeba podporovat partnerství se spolehlivými zeměmi mimo EU, pokud jde o vnější rozměry politik na poli energetiky; bere na vědomí úsilí EU o vytváření energetických aliancí na základě perspektivy udržitelného rozvoje, zohledňující také zájmy obyvatel a místních komunit;</w:t>
      </w:r>
    </w:p>
    <w:p w14:paraId="42CD2922" w14:textId="6352A7D0" w:rsidR="00514785" w:rsidRPr="009F3B75" w:rsidRDefault="00514785" w:rsidP="00514785">
      <w:pPr>
        <w:pStyle w:val="NormalHanging12a"/>
      </w:pPr>
      <w:r w:rsidRPr="009F3B75">
        <w:t>12</w:t>
      </w:r>
      <w:r w:rsidR="00DE7C4F">
        <w:t>6</w:t>
      </w:r>
      <w:r w:rsidRPr="009F3B75">
        <w:t>.</w:t>
      </w:r>
      <w:r w:rsidRPr="009F3B75">
        <w:tab/>
        <w:t>bere na vědomí prohlášení</w:t>
      </w:r>
      <w:r w:rsidRPr="009F3B75">
        <w:rPr>
          <w:rStyle w:val="FootnoteReference"/>
          <w:color w:val="000000"/>
          <w:szCs w:val="24"/>
        </w:rPr>
        <w:footnoteReference w:id="44"/>
      </w:r>
      <w:r w:rsidRPr="009F3B75">
        <w:t xml:space="preserve"> o ztrojnásobení celosvětové jaderné kapacity do roku 2050, které bylo vydáno na COP28 a které v době konání COP29 podepsalo 31 zemí, včetně 12 členských států EU a Ukrajiny; v této souvislosti připomíná vytvoření jaderné aliance, kterou navrhlo několik členských států EU, a Evropské průmyslové aliance pro malé modulární reaktory;</w:t>
      </w:r>
    </w:p>
    <w:p w14:paraId="53AFC282" w14:textId="74FCC77A" w:rsidR="00514785" w:rsidRPr="009F3B75" w:rsidRDefault="00514785" w:rsidP="00514785">
      <w:pPr>
        <w:pStyle w:val="NormalHanging12a"/>
      </w:pPr>
      <w:r w:rsidRPr="009F3B75">
        <w:t>12</w:t>
      </w:r>
      <w:r w:rsidR="00DE7C4F">
        <w:t>7</w:t>
      </w:r>
      <w:r w:rsidRPr="009F3B75">
        <w:t>.</w:t>
      </w:r>
      <w:r w:rsidRPr="009F3B75">
        <w:tab/>
        <w:t xml:space="preserve">zdůrazňuje, že v procesu spravedlivé a inkluzivní energetické transformace hrají ústřední roli místní komunity a občané; vyzdvihuje právní rámec EU umožňující vznik </w:t>
      </w:r>
      <w:r w:rsidRPr="009F3B75">
        <w:lastRenderedPageBreak/>
        <w:t>energetických společenství a jeho potenciál jako vzoru pro mezinárodní partnery;</w:t>
      </w:r>
    </w:p>
    <w:p w14:paraId="18C5E82B" w14:textId="77777777" w:rsidR="00514785" w:rsidRPr="009F3B75" w:rsidRDefault="00514785" w:rsidP="00514785">
      <w:pPr>
        <w:pStyle w:val="NormalHanging12a"/>
        <w:rPr>
          <w:b/>
          <w:i/>
          <w:iCs/>
          <w:szCs w:val="24"/>
        </w:rPr>
      </w:pPr>
      <w:r w:rsidRPr="009F3B75">
        <w:rPr>
          <w:b/>
          <w:i/>
        </w:rPr>
        <w:t>Výzkum, inovace, digitální technologie a politika pro oblast vesmíru</w:t>
      </w:r>
    </w:p>
    <w:p w14:paraId="7B688585" w14:textId="207D8942" w:rsidR="00514785" w:rsidRPr="009F3B75" w:rsidRDefault="00514785" w:rsidP="00514785">
      <w:pPr>
        <w:pStyle w:val="NormalHanging12a"/>
      </w:pPr>
      <w:r w:rsidRPr="009F3B75">
        <w:t>12</w:t>
      </w:r>
      <w:r w:rsidR="00DE7C4F">
        <w:t>8</w:t>
      </w:r>
      <w:r w:rsidRPr="009F3B75">
        <w:t>.</w:t>
      </w:r>
      <w:r w:rsidRPr="009F3B75">
        <w:tab/>
        <w:t>uznává význam programu Copernicus a znalostního centra EU pro pozorování Země v oblasti klimatu a pozorování; zdůrazňuje význam družicového monitorování pro politiku v oblasti klimatu, včetně sledování emisí metanu, lesů a propadů uhlíku; vyzývá ke společnému výzkumu vesmírných a klimatických technologií, posílení partnerství mezi veřejným a soukromým sektorem a zvýšení investic do kosmické ekonomiky EU v zájmu strategické autonomie;</w:t>
      </w:r>
    </w:p>
    <w:p w14:paraId="73D73F97" w14:textId="0B077F39" w:rsidR="00514785" w:rsidRPr="009F3B75" w:rsidRDefault="00514785" w:rsidP="00514785">
      <w:pPr>
        <w:pStyle w:val="NormalHanging12a"/>
      </w:pPr>
      <w:r w:rsidRPr="009F3B75">
        <w:t>1</w:t>
      </w:r>
      <w:r w:rsidR="00DE7C4F">
        <w:t>29</w:t>
      </w:r>
      <w:r w:rsidRPr="009F3B75">
        <w:t>.</w:t>
      </w:r>
      <w:r w:rsidRPr="009F3B75">
        <w:tab/>
        <w:t>zdůrazňuje zásadní úlohu výzkumu a inovací pro dosahování cílů Pařížské dohody a </w:t>
      </w:r>
      <w:proofErr w:type="gramStart"/>
      <w:r w:rsidRPr="009F3B75">
        <w:t>Zelené</w:t>
      </w:r>
      <w:proofErr w:type="gramEnd"/>
      <w:r w:rsidRPr="009F3B75">
        <w:t xml:space="preserve"> dohody; vyjadřuje politování nad tím, že EU stále neplní svůj cíl v oblasti investic do výzkumu a vývoje ve výši 3 % HDP, a vyzývá k vypracování strategií na podporu průmyslového výzkumu a vývoje;</w:t>
      </w:r>
    </w:p>
    <w:p w14:paraId="23AF82DC" w14:textId="39A863CE" w:rsidR="00514785" w:rsidRPr="009F3B75" w:rsidRDefault="00514785" w:rsidP="00514785">
      <w:pPr>
        <w:pStyle w:val="NormalHanging12a"/>
      </w:pPr>
      <w:r w:rsidRPr="009F3B75">
        <w:t>13</w:t>
      </w:r>
      <w:r w:rsidR="00DE7C4F">
        <w:t>0</w:t>
      </w:r>
      <w:r w:rsidRPr="009F3B75">
        <w:t>.</w:t>
      </w:r>
      <w:r w:rsidRPr="009F3B75">
        <w:tab/>
        <w:t>vítá přínosy programu Horizont Evropa a jeho partnerství, jako jsou společné podniky a znalostní a inovační společenství Evropského inovačního a technologického institutu, pro podporu spolupráce veřejného a soukromého sektoru zaměřené na dosažení klimatické neutrality a zajištění udržitelných, přístupných a cenově dostupných inovací;</w:t>
      </w:r>
    </w:p>
    <w:p w14:paraId="1F3C0744" w14:textId="0C09B539" w:rsidR="00514785" w:rsidRPr="009F3B75" w:rsidRDefault="00514785" w:rsidP="00514785">
      <w:pPr>
        <w:pStyle w:val="NormalHanging12a"/>
        <w:rPr>
          <w:iCs/>
        </w:rPr>
      </w:pPr>
      <w:r w:rsidRPr="009F3B75">
        <w:t>13</w:t>
      </w:r>
      <w:r w:rsidR="00DE7C4F">
        <w:t>1</w:t>
      </w:r>
      <w:r w:rsidRPr="009F3B75">
        <w:t>.</w:t>
      </w:r>
      <w:r w:rsidRPr="009F3B75">
        <w:tab/>
        <w:t>zdůrazňuje, že EU musí spolupracovat na výzkumu zaměřeném na technologie, průmysl a inovativní vědu, což pomůže významně přispět k plnění Pařížské dohody, a vyzývá k rychlému uskutečnění nové strategie pro evropské vědy o živé přírodě a přezkumu strategie pro biohospodářství; vítá iniciativu „Vyberte si Evropu“ (Choose Europe for Science), která zlepšuje možnosti financování výzkumu v EU; vyzývá Komisi, aby podporovala strategická partnerství v oblasti výzkumu s cílem vytvořit v Evropě rovné podmínky; podporuje další opatření k zajištění dlouhodobé dostupnosti údajů o klimatu pro mezinárodní výzkumnou komunitu;</w:t>
      </w:r>
    </w:p>
    <w:p w14:paraId="5CEF9145" w14:textId="6B7A07F2" w:rsidR="00514785" w:rsidRPr="009F3B75" w:rsidRDefault="00514785" w:rsidP="00514785">
      <w:pPr>
        <w:pStyle w:val="NormalHanging12a"/>
      </w:pPr>
      <w:r w:rsidRPr="009F3B75">
        <w:t>13</w:t>
      </w:r>
      <w:r w:rsidR="00DE7C4F">
        <w:t>2</w:t>
      </w:r>
      <w:r w:rsidRPr="009F3B75">
        <w:t>.</w:t>
      </w:r>
      <w:r w:rsidRPr="009F3B75">
        <w:tab/>
        <w:t>zdůrazňuje klíčový význam digitalizace pro energetickou integraci, propojení trhů a snižování emisí; podtrhuje důležitost digitálních technologií a nástrojů založených na umělé inteligenci pro dosažení čisté průmyslové transformace, neboť tyto technologie nabízejí příležitosti mimo jiné v oblasti elektrifikace, flexibility a energetické účinnosti; očekává strategický plán EU pro digitalizaci a umělou inteligenci v energetice; je znepokojen uhlíkovou stopou odvětví informačních a komunikačních technologií a vyzývá k zavedení udržitelných postupů v datových centrech; připomíná cíl digitální strategie EU, kterým je zajistit do roku 2030 klimaticky neutrální a vysoce energeticky účinná datová centra a elektronické komunikační sítě a služby;</w:t>
      </w:r>
    </w:p>
    <w:p w14:paraId="6DA4EE89" w14:textId="77777777" w:rsidR="00514785" w:rsidRPr="009F3B75" w:rsidRDefault="00514785" w:rsidP="00514785">
      <w:pPr>
        <w:pStyle w:val="NormalHanging12a"/>
        <w:rPr>
          <w:b/>
          <w:bCs/>
          <w:i/>
        </w:rPr>
      </w:pPr>
      <w:r w:rsidRPr="009F3B75">
        <w:rPr>
          <w:b/>
          <w:i/>
        </w:rPr>
        <w:t>Úloha Evropského parlamentu na konferenci COP30</w:t>
      </w:r>
    </w:p>
    <w:p w14:paraId="6B60023E" w14:textId="438FD09D" w:rsidR="00514785" w:rsidRPr="009F3B75" w:rsidRDefault="00514785" w:rsidP="00514785">
      <w:pPr>
        <w:pStyle w:val="NormalHanging12a"/>
      </w:pPr>
      <w:r w:rsidRPr="009F3B75">
        <w:t>13</w:t>
      </w:r>
      <w:r w:rsidR="00DE7C4F">
        <w:t>3</w:t>
      </w:r>
      <w:r w:rsidRPr="009F3B75">
        <w:t>.</w:t>
      </w:r>
      <w:r w:rsidRPr="009F3B75">
        <w:tab/>
        <w:t>domnívá se, že Parlament by měl na konferenci COP30 tvořit nedílnou součást delegace EU, neboť při uzavírání mezinárodních dohod je nutný jeho souhlas a jako jeden ze spolunormotvůrců hraje ústřední úlohu při provádění Pařížské dohody v EU; očekává proto, že mu bude umožněno, aby se na konferenci COP30 v Belému účastnil koordinačních schůzek EU, a že bude mít zaručen včasný přístup ke všem přípravným dokumentům; zavazuje se, že bude jednat nezávisle a bez střetu zájmů;</w:t>
      </w:r>
    </w:p>
    <w:p w14:paraId="5D42E3C1" w14:textId="77777777" w:rsidR="00514785" w:rsidRPr="009F3B75" w:rsidRDefault="00514785" w:rsidP="00514785">
      <w:pPr>
        <w:pStyle w:val="NormalHanging12a"/>
        <w:jc w:val="center"/>
      </w:pPr>
      <w:r w:rsidRPr="009F3B75">
        <w:t>°</w:t>
      </w:r>
    </w:p>
    <w:p w14:paraId="6A285E38" w14:textId="77777777" w:rsidR="00514785" w:rsidRPr="009F3B75" w:rsidRDefault="00514785" w:rsidP="00514785">
      <w:pPr>
        <w:pStyle w:val="NormalHanging12a"/>
        <w:jc w:val="center"/>
      </w:pPr>
      <w:r w:rsidRPr="009F3B75">
        <w:t>°</w:t>
      </w:r>
      <w:r w:rsidRPr="009F3B75">
        <w:tab/>
        <w:t>°</w:t>
      </w:r>
    </w:p>
    <w:p w14:paraId="29B374E5" w14:textId="7F43010E" w:rsidR="009F3B75" w:rsidRPr="009F3B75" w:rsidRDefault="00514785" w:rsidP="009F3B75">
      <w:pPr>
        <w:pStyle w:val="NormalHanging12a"/>
      </w:pPr>
      <w:r w:rsidRPr="009F3B75">
        <w:lastRenderedPageBreak/>
        <w:t>13</w:t>
      </w:r>
      <w:r w:rsidR="00DE7C4F">
        <w:t>4</w:t>
      </w:r>
      <w:r w:rsidRPr="009F3B75">
        <w:t>.</w:t>
      </w:r>
      <w:r w:rsidRPr="009F3B75">
        <w:tab/>
        <w:t>pověřuje svou předsedkyni, aby předala toto usnesení Radě, Komisi, vládám a parlamentům členských států a sekretariátu UNFCCC s žádostí, aby bylo rozesláno všem smluvním stranám, které nejsou členy EU.</w:t>
      </w:r>
    </w:p>
    <w:p w14:paraId="30DD3AC9" w14:textId="4D3488A3" w:rsidR="00E365E1" w:rsidRPr="009F3B75" w:rsidRDefault="00E365E1" w:rsidP="00635B2A"/>
    <w:sectPr w:rsidR="00E365E1" w:rsidRPr="009F3B75" w:rsidSect="009F3B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6B855" w14:textId="77777777" w:rsidR="00635B2A" w:rsidRPr="009F3B75" w:rsidRDefault="00635B2A">
      <w:r w:rsidRPr="009F3B75">
        <w:separator/>
      </w:r>
    </w:p>
  </w:endnote>
  <w:endnote w:type="continuationSeparator" w:id="0">
    <w:p w14:paraId="4ED028CC" w14:textId="77777777" w:rsidR="00635B2A" w:rsidRPr="009F3B75" w:rsidRDefault="00635B2A">
      <w:r w:rsidRPr="009F3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994F6" w14:textId="77777777" w:rsidR="00064002" w:rsidRPr="009F3B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11A7" w14:textId="77777777" w:rsidR="00064002" w:rsidRPr="009F3B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AD593" w14:textId="77777777" w:rsidR="00064002" w:rsidRPr="009F3B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6F2F" w14:textId="77777777" w:rsidR="00635B2A" w:rsidRPr="009F3B75" w:rsidRDefault="00635B2A">
      <w:r w:rsidRPr="009F3B75">
        <w:separator/>
      </w:r>
    </w:p>
  </w:footnote>
  <w:footnote w:type="continuationSeparator" w:id="0">
    <w:p w14:paraId="6C7BD03A" w14:textId="77777777" w:rsidR="00635B2A" w:rsidRPr="009F3B75" w:rsidRDefault="00635B2A">
      <w:r w:rsidRPr="009F3B75">
        <w:continuationSeparator/>
      </w:r>
    </w:p>
  </w:footnote>
  <w:footnote w:id="1">
    <w:p w14:paraId="24939D5B" w14:textId="089EF65B"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Úř. věst. C, C/2025/808, 11.2.2025, </w:t>
      </w:r>
      <w:r w:rsidRPr="009F3B75">
        <w:rPr>
          <w:sz w:val="24"/>
          <w:shd w:val="clear" w:color="auto" w:fill="FFFFFF"/>
          <w:lang w:val="cs-CZ"/>
        </w:rPr>
        <w:t>ELI: </w:t>
      </w:r>
      <w:hyperlink r:id="rId1" w:tgtFrame="_blank" w:tooltip="Umožňuje přístup k tomuto dokumentu prostřednictvím jeho ELI URI." w:history="1">
        <w:r w:rsidRPr="009F3B75">
          <w:rPr>
            <w:sz w:val="24"/>
            <w:u w:val="single"/>
            <w:lang w:val="cs-CZ"/>
          </w:rPr>
          <w:t>http://data.europa.eu/eli/C/2025/808/oj</w:t>
        </w:r>
      </w:hyperlink>
      <w:r w:rsidRPr="009F3B75">
        <w:rPr>
          <w:sz w:val="24"/>
          <w:lang w:val="cs-CZ"/>
        </w:rPr>
        <w:t>.</w:t>
      </w:r>
    </w:p>
  </w:footnote>
  <w:footnote w:id="2">
    <w:p w14:paraId="4E0880CD" w14:textId="07CF72D7"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Přijaté texty, P10_TA(2025)0159.</w:t>
      </w:r>
    </w:p>
  </w:footnote>
  <w:footnote w:id="3">
    <w:p w14:paraId="37422306" w14:textId="7D697AE6"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Úř. věst. L 114, 12.4.2022, s. 22, </w:t>
      </w:r>
      <w:r w:rsidRPr="009F3B75">
        <w:rPr>
          <w:sz w:val="24"/>
          <w:shd w:val="clear" w:color="auto" w:fill="FFFFFF"/>
          <w:lang w:val="cs-CZ"/>
        </w:rPr>
        <w:t>ELI</w:t>
      </w:r>
      <w:r w:rsidRPr="009F3B75">
        <w:rPr>
          <w:sz w:val="24"/>
          <w:lang w:val="cs-CZ"/>
        </w:rPr>
        <w:t>:</w:t>
      </w:r>
      <w:r w:rsidRPr="009F3B75">
        <w:rPr>
          <w:sz w:val="24"/>
          <w:shd w:val="clear" w:color="auto" w:fill="FFFFFF"/>
          <w:lang w:val="cs-CZ"/>
        </w:rPr>
        <w:t> </w:t>
      </w:r>
      <w:hyperlink r:id="rId2" w:tooltip="Umožňuje přístup k tomuto dokumentu prostřednictvím jeho ELI URI." w:history="1">
        <w:r w:rsidRPr="009F3B75">
          <w:rPr>
            <w:sz w:val="24"/>
            <w:u w:val="single"/>
            <w:shd w:val="clear" w:color="auto" w:fill="FFFFFF"/>
            <w:lang w:val="cs-CZ"/>
          </w:rPr>
          <w:t>http://data.europa.eu/eli/dec/2022/591/oj</w:t>
        </w:r>
      </w:hyperlink>
      <w:r w:rsidRPr="009F3B75">
        <w:rPr>
          <w:sz w:val="24"/>
          <w:lang w:val="cs-CZ"/>
        </w:rPr>
        <w:t>.</w:t>
      </w:r>
    </w:p>
  </w:footnote>
  <w:footnote w:id="4">
    <w:p w14:paraId="7F465BE4" w14:textId="6490223D"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Úř. věst. C 232, 16.6.2021, s. 28.</w:t>
      </w:r>
    </w:p>
  </w:footnote>
  <w:footnote w:id="5">
    <w:p w14:paraId="49403B4E" w14:textId="7422113A"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Úř. věst. L, 2024/1991, 29.7.2024, ELI: </w:t>
      </w:r>
      <w:hyperlink r:id="rId3" w:tgtFrame="_blank" w:tooltip="Umožňuje přístup k tomuto dokumentu prostřednictvím jeho ELI URI." w:history="1">
        <w:r w:rsidRPr="009F3B75">
          <w:rPr>
            <w:rStyle w:val="Hyperlink"/>
            <w:sz w:val="24"/>
            <w:lang w:val="cs-CZ"/>
          </w:rPr>
          <w:t>http://data.europa.eu/eli/reg/2024/1991/oj</w:t>
        </w:r>
      </w:hyperlink>
      <w:r w:rsidRPr="009F3B75">
        <w:rPr>
          <w:sz w:val="24"/>
          <w:lang w:val="cs-CZ"/>
        </w:rPr>
        <w:t>.</w:t>
      </w:r>
    </w:p>
  </w:footnote>
  <w:footnote w:id="6">
    <w:p w14:paraId="402FF461" w14:textId="2CBC2A13"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Přijaté texty, P9_TA(2024)0204.</w:t>
      </w:r>
    </w:p>
  </w:footnote>
  <w:footnote w:id="7">
    <w:p w14:paraId="0ABF0D4D" w14:textId="44941DD8"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shd w:val="clear" w:color="auto" w:fill="FFFFFF"/>
          <w:lang w:val="cs-CZ"/>
        </w:rPr>
        <w:t xml:space="preserve"> </w:t>
      </w:r>
      <w:r w:rsidR="009F3B75" w:rsidRPr="009F3B75">
        <w:rPr>
          <w:sz w:val="24"/>
          <w:shd w:val="clear" w:color="auto" w:fill="FFFFFF"/>
          <w:lang w:val="cs-CZ"/>
        </w:rPr>
        <w:tab/>
      </w:r>
      <w:r w:rsidRPr="009F3B75">
        <w:rPr>
          <w:sz w:val="24"/>
          <w:shd w:val="clear" w:color="auto" w:fill="FFFFFF"/>
          <w:lang w:val="cs-CZ"/>
        </w:rPr>
        <w:t>Úř. věst. L, 2024/3012, 6.12.2024, ELI: </w:t>
      </w:r>
      <w:hyperlink r:id="rId4" w:tgtFrame="_blank" w:tooltip="Umožňuje přístup k tomuto dokumentu prostřednictvím jeho ELI URI." w:history="1">
        <w:r w:rsidRPr="009F3B75">
          <w:rPr>
            <w:sz w:val="24"/>
            <w:u w:val="single"/>
            <w:lang w:val="cs-CZ"/>
          </w:rPr>
          <w:t>http://data.europa.eu/eli/reg/2024/3012/oj</w:t>
        </w:r>
      </w:hyperlink>
      <w:r w:rsidRPr="009F3B75">
        <w:rPr>
          <w:sz w:val="24"/>
          <w:shd w:val="clear" w:color="auto" w:fill="FFFFFF"/>
          <w:lang w:val="cs-CZ"/>
        </w:rPr>
        <w:t>.</w:t>
      </w:r>
    </w:p>
  </w:footnote>
  <w:footnote w:id="8">
    <w:p w14:paraId="5E6DF134" w14:textId="05224A08"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shd w:val="clear" w:color="auto" w:fill="FFFFFF"/>
          <w:lang w:val="cs-CZ"/>
        </w:rPr>
        <w:t xml:space="preserve"> </w:t>
      </w:r>
      <w:r w:rsidR="009F3B75" w:rsidRPr="009F3B75">
        <w:rPr>
          <w:sz w:val="24"/>
          <w:shd w:val="clear" w:color="auto" w:fill="FFFFFF"/>
          <w:lang w:val="cs-CZ"/>
        </w:rPr>
        <w:tab/>
      </w:r>
      <w:r w:rsidRPr="009F3B75">
        <w:rPr>
          <w:sz w:val="24"/>
          <w:shd w:val="clear" w:color="auto" w:fill="FFFFFF"/>
          <w:lang w:val="cs-CZ"/>
        </w:rPr>
        <w:t>Úř. věst. L, 2024/1787, 15.7.2024, ELI: </w:t>
      </w:r>
      <w:hyperlink r:id="rId5" w:tgtFrame="_blank" w:tooltip="Umožňuje přístup k tomuto dokumentu prostřednictvím jeho ELI URI." w:history="1">
        <w:r w:rsidRPr="009F3B75">
          <w:rPr>
            <w:sz w:val="24"/>
            <w:u w:val="single"/>
            <w:lang w:val="cs-CZ"/>
          </w:rPr>
          <w:t>http://data.europa.eu/eli/reg/2024/1787/oj</w:t>
        </w:r>
      </w:hyperlink>
      <w:r w:rsidRPr="009F3B75">
        <w:rPr>
          <w:sz w:val="24"/>
          <w:shd w:val="clear" w:color="auto" w:fill="FFFFFF"/>
          <w:lang w:val="cs-CZ"/>
        </w:rPr>
        <w:t>.</w:t>
      </w:r>
    </w:p>
  </w:footnote>
  <w:footnote w:id="9">
    <w:p w14:paraId="3ACB3481" w14:textId="0D057E58"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Forster, P. M., Smith, C., Walsh, T., Lamb, W. F., Lamboll, R. a další, „Indicators of Global Climate Change 2024: annual update of key indicators of the state of the climate system and human influence“ (Ukazatele globální změny klimatu: každoroční aktualizace klíčových ukazatelů stavu klimatického systému a lidského vlivu za rok 2024), </w:t>
      </w:r>
      <w:r w:rsidRPr="009F3B75">
        <w:rPr>
          <w:i/>
          <w:sz w:val="24"/>
          <w:lang w:val="cs-CZ"/>
        </w:rPr>
        <w:t>Earth System Science Data</w:t>
      </w:r>
      <w:r w:rsidRPr="009F3B75">
        <w:rPr>
          <w:sz w:val="24"/>
          <w:lang w:val="cs-CZ"/>
        </w:rPr>
        <w:t>, sv. 17, č. 6, 19. června 2025.</w:t>
      </w:r>
    </w:p>
  </w:footnote>
  <w:footnote w:id="10">
    <w:p w14:paraId="20A9FFD3" w14:textId="153ECC1A"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Program OSN pro životní prostředí, </w:t>
      </w:r>
      <w:r w:rsidRPr="009F3B75">
        <w:rPr>
          <w:i/>
          <w:sz w:val="24"/>
          <w:lang w:val="cs-CZ"/>
        </w:rPr>
        <w:t>Emissions Gap Report 2024</w:t>
      </w:r>
      <w:r w:rsidRPr="009F3B75">
        <w:rPr>
          <w:sz w:val="24"/>
          <w:lang w:val="cs-CZ"/>
        </w:rPr>
        <w:t xml:space="preserve"> (Zpráva o nedostatečném úsilí při snižování emisí), 24. října 2024.</w:t>
      </w:r>
    </w:p>
  </w:footnote>
  <w:footnote w:id="11">
    <w:p w14:paraId="34C7F5A7" w14:textId="292CAB51"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Sekretariát UNFCCC, </w:t>
      </w:r>
      <w:r w:rsidRPr="009F3B75">
        <w:rPr>
          <w:i/>
          <w:sz w:val="24"/>
          <w:lang w:val="cs-CZ"/>
        </w:rPr>
        <w:t>2024 NDC Synthesis Report</w:t>
      </w:r>
      <w:r w:rsidRPr="009F3B75">
        <w:rPr>
          <w:sz w:val="24"/>
          <w:lang w:val="cs-CZ"/>
        </w:rPr>
        <w:t xml:space="preserve"> (Souhrnná zpráva o vnitrostátně stanovených příspěvcích z roku 2024), 28. října 2024.</w:t>
      </w:r>
    </w:p>
  </w:footnote>
  <w:footnote w:id="12">
    <w:p w14:paraId="7627E3C0" w14:textId="0A3E4312"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Eurostat, </w:t>
      </w:r>
      <w:r w:rsidRPr="009F3B75">
        <w:rPr>
          <w:i/>
          <w:sz w:val="24"/>
          <w:lang w:val="cs-CZ"/>
        </w:rPr>
        <w:t>Key figures on the EU in the world – 2025 edition</w:t>
      </w:r>
      <w:r w:rsidRPr="009F3B75">
        <w:rPr>
          <w:sz w:val="24"/>
          <w:lang w:val="cs-CZ"/>
        </w:rPr>
        <w:t xml:space="preserve"> (Klíčové údaje o EU ve světě – ročník 2025), 2025.</w:t>
      </w:r>
    </w:p>
  </w:footnote>
  <w:footnote w:id="13">
    <w:p w14:paraId="73594604" w14:textId="3925C87D"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IPCC, „Summary for Policymakers“ (Shrnutí pro tvůrce politik), in: Climate Change 2021 – The Physical Science Basis (Změna klimatu v roce 2021 – Fyzikální vědecké základy). Příspěvek pracovní skupiny I k šesté hodnotící zprávě Mezivládního panelu pro změnu klimatu, 2021.</w:t>
      </w:r>
    </w:p>
  </w:footnote>
  <w:footnote w:id="14">
    <w:p w14:paraId="42DFFEAA" w14:textId="1D173EEE"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IPCC, „Sections“ in: </w:t>
      </w:r>
      <w:r w:rsidRPr="009F3B75">
        <w:rPr>
          <w:i/>
          <w:sz w:val="24"/>
          <w:lang w:val="cs-CZ"/>
        </w:rPr>
        <w:t>Climate Change 2023:</w:t>
      </w:r>
      <w:r w:rsidRPr="009F3B75">
        <w:rPr>
          <w:sz w:val="24"/>
          <w:lang w:val="cs-CZ"/>
        </w:rPr>
        <w:t xml:space="preserve"> </w:t>
      </w:r>
      <w:r w:rsidRPr="009F3B75">
        <w:rPr>
          <w:i/>
          <w:sz w:val="24"/>
          <w:lang w:val="cs-CZ"/>
        </w:rPr>
        <w:t>Synthesis Report</w:t>
      </w:r>
      <w:r w:rsidRPr="009F3B75">
        <w:rPr>
          <w:sz w:val="24"/>
          <w:lang w:val="cs-CZ"/>
        </w:rPr>
        <w:t xml:space="preserve"> (Změna klimatu v roce 2023: souhrnná zpráva).</w:t>
      </w:r>
      <w:r w:rsidRPr="009F3B75">
        <w:rPr>
          <w:i/>
          <w:sz w:val="24"/>
          <w:lang w:val="cs-CZ"/>
        </w:rPr>
        <w:t xml:space="preserve"> Příspěvek pracovních skupin I, II a III k šesté hodnotící zprávě Mezivládního panelu pro změnu klimatu</w:t>
      </w:r>
      <w:r w:rsidRPr="009F3B75">
        <w:rPr>
          <w:sz w:val="24"/>
          <w:lang w:val="cs-CZ"/>
        </w:rPr>
        <w:t>, 2023.</w:t>
      </w:r>
    </w:p>
  </w:footnote>
  <w:footnote w:id="15">
    <w:p w14:paraId="2639994D" w14:textId="6DBE2707"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Richardson, K., Steffen, W., Lucht, W., Bendtsen, J., Cornell, S. a další, „Earth beyond six of nine planetary boundaries“ (Země po překročení šesti z devíti mezí této planety), </w:t>
      </w:r>
      <w:r w:rsidRPr="009F3B75">
        <w:rPr>
          <w:i/>
          <w:sz w:val="24"/>
          <w:lang w:val="cs-CZ"/>
        </w:rPr>
        <w:t>Science Advances</w:t>
      </w:r>
      <w:r w:rsidRPr="009F3B75">
        <w:rPr>
          <w:sz w:val="24"/>
          <w:lang w:val="cs-CZ"/>
        </w:rPr>
        <w:t>, sv. 9, č. 37, 13. září 2023.</w:t>
      </w:r>
    </w:p>
  </w:footnote>
  <w:footnote w:id="16">
    <w:p w14:paraId="0ABAD4C6" w14:textId="277A564C"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Copernicus, „Copernicus: Exceptionally dry spring in parts of north-western </w:t>
      </w:r>
      <w:proofErr w:type="gramStart"/>
      <w:r w:rsidRPr="009F3B75">
        <w:rPr>
          <w:sz w:val="24"/>
          <w:lang w:val="cs-CZ"/>
        </w:rPr>
        <w:t>Europe - Second</w:t>
      </w:r>
      <w:proofErr w:type="gramEnd"/>
      <w:r w:rsidRPr="009F3B75">
        <w:rPr>
          <w:sz w:val="24"/>
          <w:lang w:val="cs-CZ"/>
        </w:rPr>
        <w:t>-warmest May globally“ (Copernicus: Výjimečně suché jaro v některých částech severozápadní Evropy – druhý nejteplejší květen na světě), webové stránky programu Copernicus, 10. června 2025.</w:t>
      </w:r>
    </w:p>
  </w:footnote>
  <w:footnote w:id="17">
    <w:p w14:paraId="3C817371" w14:textId="01DCD220"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Copernicus, </w:t>
      </w:r>
      <w:r w:rsidRPr="009F3B75">
        <w:rPr>
          <w:i/>
          <w:sz w:val="24"/>
          <w:lang w:val="cs-CZ"/>
        </w:rPr>
        <w:t>Copernicus Global Climate Report 2024</w:t>
      </w:r>
      <w:r w:rsidRPr="009F3B75">
        <w:rPr>
          <w:sz w:val="24"/>
          <w:lang w:val="cs-CZ"/>
        </w:rPr>
        <w:t xml:space="preserve"> (Zpráva Copernicus o světovém klimatu za rok 2024), webové stránky Copernicus, 10. ledna 2025.</w:t>
      </w:r>
    </w:p>
  </w:footnote>
  <w:footnote w:id="18">
    <w:p w14:paraId="4D3682C7" w14:textId="323578B4"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Rezoluce Valného shromáždění OSN č. 76/300 ze dne 28. července 2022 s názvem „Lidské právo na čisté, zdravé a udržitelné životní prostředí“.</w:t>
      </w:r>
    </w:p>
  </w:footnote>
  <w:footnote w:id="19">
    <w:p w14:paraId="3F43E622" w14:textId="4B95B498"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Szopa, S., Naik, V., Adhikary, B., Artaxo, P., Berntsen, T., „Short-Lived Climate Forcers“ („Činitelé s krátkou životností škodlivé pro klima“) in: </w:t>
      </w:r>
      <w:r w:rsidRPr="009F3B75">
        <w:rPr>
          <w:i/>
          <w:sz w:val="24"/>
          <w:lang w:val="cs-CZ"/>
        </w:rPr>
        <w:t>Climate Change 2021: The Physical Science Basis</w:t>
      </w:r>
      <w:r w:rsidRPr="009F3B75">
        <w:rPr>
          <w:sz w:val="24"/>
          <w:lang w:val="cs-CZ"/>
        </w:rPr>
        <w:t xml:space="preserve"> (Změna klimatu v roce 2021: fyzikální vědecké základy).</w:t>
      </w:r>
      <w:r w:rsidRPr="009F3B75">
        <w:rPr>
          <w:i/>
          <w:sz w:val="24"/>
          <w:lang w:val="cs-CZ"/>
        </w:rPr>
        <w:t xml:space="preserve"> Příspěvek pracovní skupiny I k šesté hodnotící zprávě Mezivládního panelu pro změnu klimatu</w:t>
      </w:r>
      <w:r w:rsidRPr="009F3B75">
        <w:rPr>
          <w:sz w:val="24"/>
          <w:lang w:val="cs-CZ"/>
        </w:rPr>
        <w:t>, červen 2023.</w:t>
      </w:r>
    </w:p>
  </w:footnote>
  <w:footnote w:id="20">
    <w:p w14:paraId="2AE07806" w14:textId="6AFEA600"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Stálého výboru pro finance Rámcové úmluvy Organizace spojených národů o změně klimatu (UNFCCC), „First report on the determination of the needs of developing country Parties related to implementing the Convention and the Paris Agreement“ (První zpráva o určení potřeb smluvních stran z řad rozvojových zemí v souvislosti s prováděním úmluvy a Pařížské dohody), webové stránky OSN o změně klimatu, 2021.</w:t>
      </w:r>
    </w:p>
  </w:footnote>
  <w:footnote w:id="21">
    <w:p w14:paraId="00695793" w14:textId="34C2A6E3"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Fossil Fuel Non-Proliferation Treaty Initiative, „Governments participating in discussions on a fossil fuel treaty“ (Vlády zapojené do jednání o smlouvě o fosilních palivech), webové stránky Iniciativy pro Smlouvu o nešíření fosilních paliv.</w:t>
      </w:r>
    </w:p>
  </w:footnote>
  <w:footnote w:id="22">
    <w:p w14:paraId="64514A43" w14:textId="68FA3A96"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UNICEF, „The climate crisis is a child rights crisis – Introducing the Children’s Climate Risk Index“ (Klimatická krize je krizí práv dítěte: index klimatického rizika pro děti), srpen 2021.</w:t>
      </w:r>
    </w:p>
  </w:footnote>
  <w:footnote w:id="23">
    <w:p w14:paraId="1D9ADE76" w14:textId="28E0CC50"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Sdělení Komise ze dne 27. května 2025 nazvané „Celounijní posouzení konečných aktualizovaných vnitrostátních plánů v oblasti energetiky a klimatu – Plnění cílů Unie v oblasti energetiky a klimatu do roku 2030“ (COM(2025)0274).</w:t>
      </w:r>
    </w:p>
  </w:footnote>
  <w:footnote w:id="24">
    <w:p w14:paraId="595508DE" w14:textId="659F7EE4"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Nařízení Evropského parlamentu a Rady (EU) 2021/1119 ze dne 30. června 2021, kterým se stanoví rámec pro dosažení klimatické neutrality a mění nařízení (ES) č. 401/2009 a nařízení (EU) 2018/1999 („evropský právní rámec pro klima“) (Úř. věst. L 243, 9.7.2021, s. 1, ELI: </w:t>
      </w:r>
      <w:hyperlink r:id="rId6" w:history="1">
        <w:r w:rsidRPr="009F3B75">
          <w:rPr>
            <w:rStyle w:val="Hyperlink"/>
            <w:sz w:val="24"/>
            <w:lang w:val="cs-CZ"/>
          </w:rPr>
          <w:t>http://data.europa.eu/eli/reg/2021/1119/oj</w:t>
        </w:r>
      </w:hyperlink>
      <w:r w:rsidRPr="009F3B75">
        <w:rPr>
          <w:sz w:val="24"/>
          <w:lang w:val="cs-CZ"/>
        </w:rPr>
        <w:t>).</w:t>
      </w:r>
    </w:p>
  </w:footnote>
  <w:footnote w:id="25">
    <w:p w14:paraId="2E4208BD" w14:textId="045499CD"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Nařízení Evropského parlamentu a Rady (EU) 2018/841 ze dne 30. května 2018 o zahrnutí emisí skleníkových plynů a jejich pohlcování v důsledku využívání půdy, změn ve využívání půdy a lesnictví do rámce politiky v oblasti klimatu a energetiky do roku 2030 a o změně nařízení (EU) č. 525/2013 a rozhodnutí č. 529/2013/EU (Úř. věst. L 156, 19.6.2018, s. 1, ELI: </w:t>
      </w:r>
      <w:hyperlink r:id="rId7" w:history="1">
        <w:r w:rsidRPr="009F3B75">
          <w:rPr>
            <w:rStyle w:val="Hyperlink"/>
            <w:sz w:val="24"/>
            <w:lang w:val="cs-CZ"/>
          </w:rPr>
          <w:t>http://data.europa.eu/eli/reg/2018/841/oj</w:t>
        </w:r>
      </w:hyperlink>
      <w:r w:rsidRPr="009F3B75">
        <w:rPr>
          <w:sz w:val="24"/>
          <w:lang w:val="cs-CZ"/>
        </w:rPr>
        <w:t>).</w:t>
      </w:r>
    </w:p>
  </w:footnote>
  <w:footnote w:id="26">
    <w:p w14:paraId="3655F734" w14:textId="7081C1B2"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Směrnice Evropského parlamentu a Rady 2000/60/ES ze dne 23. října 2000, kterou se stanoví rámec pro činnost Společenství v oblasti vodní politiky (Úř. věst. L 327, 22.12.2000, s. 1, ELI: </w:t>
      </w:r>
      <w:hyperlink r:id="rId8" w:history="1">
        <w:r w:rsidRPr="009F3B75">
          <w:rPr>
            <w:rStyle w:val="Hyperlink"/>
            <w:sz w:val="24"/>
            <w:lang w:val="cs-CZ"/>
          </w:rPr>
          <w:t>http://data.europa.eu/eli/dir/2000/60/oj</w:t>
        </w:r>
      </w:hyperlink>
      <w:r w:rsidRPr="009F3B75">
        <w:rPr>
          <w:sz w:val="24"/>
          <w:lang w:val="cs-CZ"/>
        </w:rPr>
        <w:t>).</w:t>
      </w:r>
    </w:p>
  </w:footnote>
  <w:footnote w:id="27">
    <w:p w14:paraId="1AF956BE" w14:textId="77C8B181"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Program OSN pro životní prostředí, </w:t>
      </w:r>
      <w:hyperlink r:id="rId9" w:history="1">
        <w:r w:rsidRPr="009F3B75">
          <w:rPr>
            <w:rStyle w:val="Hyperlink"/>
            <w:i/>
            <w:sz w:val="24"/>
            <w:lang w:val="cs-CZ"/>
          </w:rPr>
          <w:t>The Environmental Impact of the Conflict in Ukraine: A Preliminary Review</w:t>
        </w:r>
      </w:hyperlink>
      <w:r w:rsidRPr="009F3B75">
        <w:rPr>
          <w:sz w:val="24"/>
          <w:lang w:val="cs-CZ"/>
        </w:rPr>
        <w:t xml:space="preserve"> (Dopad konfliktu na Ukrajině na životní prostředí: předběžný přehled), 14. října 2022. </w:t>
      </w:r>
    </w:p>
  </w:footnote>
  <w:footnote w:id="28">
    <w:p w14:paraId="6A816A1F" w14:textId="08A95821"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Program OSN pro životní prostředí, </w:t>
      </w:r>
      <w:hyperlink r:id="rId10" w:history="1">
        <w:r w:rsidRPr="009F3B75">
          <w:rPr>
            <w:rStyle w:val="Hyperlink"/>
            <w:i/>
            <w:sz w:val="24"/>
            <w:lang w:val="cs-CZ"/>
          </w:rPr>
          <w:t>The Environmental Impact of the Conflict in Gaza: A Preliminary Review</w:t>
        </w:r>
      </w:hyperlink>
      <w:r w:rsidRPr="009F3B75">
        <w:rPr>
          <w:sz w:val="24"/>
          <w:lang w:val="cs-CZ"/>
        </w:rPr>
        <w:t xml:space="preserve"> (Dopad konfliktu v Gaze na životní prostředí: předběžný přehled), 18. června 2024. </w:t>
      </w:r>
    </w:p>
  </w:footnote>
  <w:footnote w:id="29">
    <w:p w14:paraId="01D122D3" w14:textId="0C973184"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Společné výzkumné středisko, </w:t>
      </w:r>
      <w:hyperlink r:id="rId11" w:history="1">
        <w:r w:rsidRPr="009F3B75">
          <w:rPr>
            <w:rStyle w:val="Hyperlink"/>
            <w:i/>
            <w:sz w:val="24"/>
            <w:lang w:val="cs-CZ"/>
          </w:rPr>
          <w:t>Status of Environment and Climate in Ukraine</w:t>
        </w:r>
      </w:hyperlink>
      <w:r w:rsidRPr="009F3B75">
        <w:rPr>
          <w:sz w:val="24"/>
          <w:lang w:val="cs-CZ"/>
        </w:rPr>
        <w:t xml:space="preserve"> (Stav životního prostředí a klimatu na Ukrajině)</w:t>
      </w:r>
      <w:r w:rsidRPr="009F3B75">
        <w:rPr>
          <w:i/>
          <w:sz w:val="24"/>
          <w:lang w:val="cs-CZ"/>
        </w:rPr>
        <w:t xml:space="preserve">, </w:t>
      </w:r>
      <w:r w:rsidRPr="009F3B75">
        <w:rPr>
          <w:sz w:val="24"/>
          <w:lang w:val="cs-CZ"/>
        </w:rPr>
        <w:t xml:space="preserve">2025. </w:t>
      </w:r>
    </w:p>
  </w:footnote>
  <w:footnote w:id="30">
    <w:p w14:paraId="4F3199EB" w14:textId="5795E693"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Usnesení Evropského parlamentu ze dne 14. listopadu 2024 o Konferenci OSN o změně klimatu 2024 v Baku, Ázerbájdžán (COP29), (Úř. věst. C, C/2025/808, 11.2.2025, ELI: </w:t>
      </w:r>
      <w:hyperlink r:id="rId12" w:history="1">
        <w:r w:rsidRPr="009F3B75">
          <w:rPr>
            <w:rStyle w:val="Hyperlink"/>
            <w:sz w:val="24"/>
            <w:lang w:val="cs-CZ"/>
          </w:rPr>
          <w:t>http://data.europa.eu/eli/C/2025/808/oj</w:t>
        </w:r>
      </w:hyperlink>
      <w:r w:rsidRPr="009F3B75">
        <w:rPr>
          <w:sz w:val="24"/>
          <w:lang w:val="cs-CZ"/>
        </w:rPr>
        <w:t xml:space="preserve">). </w:t>
      </w:r>
    </w:p>
  </w:footnote>
  <w:footnote w:id="31">
    <w:p w14:paraId="3CEABF17" w14:textId="2E008B30"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COM(2025)0110.</w:t>
      </w:r>
    </w:p>
  </w:footnote>
  <w:footnote w:id="32">
    <w:p w14:paraId="14B1A35C" w14:textId="23168E19"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World Bank, </w:t>
      </w:r>
      <w:r w:rsidRPr="009F3B75">
        <w:rPr>
          <w:i/>
          <w:sz w:val="24"/>
          <w:lang w:val="cs-CZ"/>
        </w:rPr>
        <w:t>State and Trends of Carbon Pricing 2025</w:t>
      </w:r>
      <w:r w:rsidRPr="009F3B75">
        <w:rPr>
          <w:sz w:val="24"/>
          <w:lang w:val="cs-CZ"/>
        </w:rPr>
        <w:t xml:space="preserve"> (Stav a trendy v oblasti stanovování cen uhlíku v roce 2025), Světová banka, Washington DC, květen 2025.</w:t>
      </w:r>
    </w:p>
  </w:footnote>
  <w:footnote w:id="33">
    <w:p w14:paraId="7DD4B744" w14:textId="0B199382"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Sdělení Komise ze dne 26. února 2025 nazvané „Sdělení o Dohodě o čistém průmyslu: společný plán konkurenceschopnosti a dekarbonizace“ (COM(2025)0085).</w:t>
      </w:r>
    </w:p>
  </w:footnote>
  <w:footnote w:id="34">
    <w:p w14:paraId="6487AA68" w14:textId="008A601D"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Tamtéž.</w:t>
      </w:r>
    </w:p>
  </w:footnote>
  <w:footnote w:id="35">
    <w:p w14:paraId="43A1379D" w14:textId="2B7B188F"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Sdělení Komise ze dne 26. února 2025 nazvané „Akční plán pro dostupné ceny energie“ (COM(2025)0079).</w:t>
      </w:r>
    </w:p>
  </w:footnote>
  <w:footnote w:id="36">
    <w:p w14:paraId="1ADF6817" w14:textId="79D4568F"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Sdělení Komise ze dne 6. února 2024 nazvané „Směrem k ambicióznímu průmyslovému hospodaření s uhlíkem pro EU“ (COM(2024)0062).</w:t>
      </w:r>
    </w:p>
  </w:footnote>
  <w:footnote w:id="37">
    <w:p w14:paraId="07A8FCF8" w14:textId="289F8006"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Usnesení Evropského parlamentu ze dne 3. dubna 2025 o energeticky náročných průmyslových odvětvích (Úř. věst. C, C/2025/4369, 9.9.2025, ELI: </w:t>
      </w:r>
      <w:hyperlink r:id="rId13" w:history="1">
        <w:r w:rsidRPr="009F3B75">
          <w:rPr>
            <w:rStyle w:val="Hyperlink"/>
            <w:sz w:val="24"/>
            <w:lang w:val="cs-CZ"/>
          </w:rPr>
          <w:t>http://data.europa.eu/eli/C/2025/4369/oj</w:t>
        </w:r>
      </w:hyperlink>
      <w:r w:rsidRPr="009F3B75">
        <w:rPr>
          <w:sz w:val="24"/>
          <w:lang w:val="cs-CZ"/>
        </w:rPr>
        <w:t xml:space="preserve">); Usnesení Evropského parlamentu ze dne 19. června 2025 o Dohodě o čistém průmyslu, přijaté texty, P10_TA(2025)0137. </w:t>
      </w:r>
    </w:p>
  </w:footnote>
  <w:footnote w:id="38">
    <w:p w14:paraId="78FD7BEC" w14:textId="1B6B297D"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Nařízení Evropského parlamentu a Rady (EU) 2024/1252 ze dne 11. dubna 2024, kterým se stanoví rámec pro zajištění bezpečných a udržitelných dodávek kritických surovin a mění nařízení (EU) č. 168/2013, (EU) 2018/858, (EU) 2018/1724 a (EU) 2019/1020 (Úř. věst. L, 2024/1252, 3.5.2024, ELI: </w:t>
      </w:r>
      <w:hyperlink r:id="rId14" w:history="1">
        <w:r w:rsidRPr="009F3B75">
          <w:rPr>
            <w:rStyle w:val="Hyperlink"/>
            <w:sz w:val="24"/>
            <w:lang w:val="cs-CZ"/>
          </w:rPr>
          <w:t>http://data.europa.eu/eli/reg/2024/1252/oj</w:t>
        </w:r>
      </w:hyperlink>
      <w:r w:rsidRPr="009F3B75">
        <w:rPr>
          <w:sz w:val="24"/>
          <w:lang w:val="cs-CZ"/>
        </w:rPr>
        <w:t>).</w:t>
      </w:r>
    </w:p>
  </w:footnote>
  <w:footnote w:id="39">
    <w:p w14:paraId="2F881807" w14:textId="5E38BBE6"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Sdělení Komise ze dne 12. května 2025 nazvané „Plán na ukončení dovozu energie z Ruska“ (COM(2025)0440).</w:t>
      </w:r>
    </w:p>
  </w:footnote>
  <w:footnote w:id="40">
    <w:p w14:paraId="130E91CC" w14:textId="651F9B03"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Mezinárodní energetická agentura, „</w:t>
      </w:r>
      <w:r w:rsidRPr="009F3B75">
        <w:rPr>
          <w:i/>
          <w:sz w:val="24"/>
          <w:lang w:val="cs-CZ"/>
        </w:rPr>
        <w:t>Renewables</w:t>
      </w:r>
      <w:r w:rsidRPr="009F3B75">
        <w:rPr>
          <w:sz w:val="24"/>
          <w:lang w:val="cs-CZ"/>
        </w:rPr>
        <w:t xml:space="preserve">“ (Obnovitelné zdroje energie), </w:t>
      </w:r>
      <w:hyperlink r:id="rId15" w:history="1">
        <w:r w:rsidRPr="009F3B75">
          <w:rPr>
            <w:rStyle w:val="Hyperlink"/>
            <w:sz w:val="24"/>
            <w:lang w:val="cs-CZ"/>
          </w:rPr>
          <w:t>https://www.iea.org/energy-system/renewables#tracking</w:t>
        </w:r>
      </w:hyperlink>
      <w:r w:rsidRPr="009F3B75">
        <w:rPr>
          <w:sz w:val="24"/>
          <w:lang w:val="cs-CZ"/>
        </w:rPr>
        <w:t xml:space="preserve">. </w:t>
      </w:r>
    </w:p>
  </w:footnote>
  <w:footnote w:id="41">
    <w:p w14:paraId="30FBFD00" w14:textId="2269EC9B"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717B6D">
        <w:rPr>
          <w:sz w:val="24"/>
          <w:lang w:val="cs-CZ"/>
        </w:rPr>
        <w:t>IEA,</w:t>
      </w:r>
      <w:r w:rsidRPr="009F3B75">
        <w:rPr>
          <w:rStyle w:val="Hyperlink"/>
          <w:sz w:val="24"/>
          <w:lang w:val="cs-CZ"/>
        </w:rPr>
        <w:t xml:space="preserve"> </w:t>
      </w:r>
      <w:hyperlink r:id="rId16" w:history="1">
        <w:r w:rsidRPr="009F3B75">
          <w:rPr>
            <w:rStyle w:val="Hyperlink"/>
            <w:i/>
            <w:sz w:val="24"/>
            <w:lang w:val="cs-CZ"/>
          </w:rPr>
          <w:t>World Energy Investment 2024: Overview and key findings</w:t>
        </w:r>
      </w:hyperlink>
      <w:r w:rsidRPr="009F3B75">
        <w:rPr>
          <w:sz w:val="24"/>
          <w:lang w:val="cs-CZ"/>
        </w:rPr>
        <w:t xml:space="preserve"> (Světové investice v odvětví energetiky v roce 2024: přehled a hlavní zjištění), </w:t>
      </w:r>
      <w:r w:rsidRPr="009F3B75">
        <w:rPr>
          <w:rStyle w:val="Hyperlink"/>
          <w:sz w:val="24"/>
          <w:lang w:val="cs-CZ"/>
        </w:rPr>
        <w:t>2024</w:t>
      </w:r>
      <w:r w:rsidRPr="009F3B75">
        <w:rPr>
          <w:sz w:val="24"/>
          <w:lang w:val="cs-CZ"/>
        </w:rPr>
        <w:t>.</w:t>
      </w:r>
    </w:p>
  </w:footnote>
  <w:footnote w:id="42">
    <w:p w14:paraId="4E25C430" w14:textId="205BF82C"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 xml:space="preserve">IEA, „Tracking pledges, targets and action“ (Plnění příslibů a cílů a realizace opatření), </w:t>
      </w:r>
      <w:hyperlink r:id="rId17" w:history="1">
        <w:r w:rsidRPr="009F3B75">
          <w:rPr>
            <w:rStyle w:val="Hyperlink"/>
            <w:sz w:val="24"/>
            <w:lang w:val="cs-CZ"/>
          </w:rPr>
          <w:t>https://www.iea.org/reports/global-methane-tracker-2024/tracking-pledges-targets-and-action</w:t>
        </w:r>
      </w:hyperlink>
      <w:r w:rsidRPr="009F3B75">
        <w:rPr>
          <w:rStyle w:val="Hyperlink"/>
          <w:sz w:val="24"/>
          <w:lang w:val="cs-CZ"/>
        </w:rPr>
        <w:t>.</w:t>
      </w:r>
    </w:p>
  </w:footnote>
  <w:footnote w:id="43">
    <w:p w14:paraId="19E44174" w14:textId="0F98DD52"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r w:rsidRPr="009F3B75">
        <w:rPr>
          <w:sz w:val="24"/>
          <w:lang w:val="cs-CZ"/>
        </w:rPr>
        <w:t>Směrnice Evropského parlamentu a Rady (EU) 2024/1711 ze dne 13. června 2024, kterou se mění směrnice (EU) 2018/2001 a (EU) 2019/944, pokud jde o zlepšení uspořádání trhu Unie s elektřinou (</w:t>
      </w:r>
      <w:r w:rsidR="00FB4836" w:rsidRPr="00FB4836">
        <w:rPr>
          <w:sz w:val="24"/>
          <w:lang w:val="cs-CZ"/>
        </w:rPr>
        <w:t>Úř. věst. L, 2024/1711, 26.6.2024, ELI</w:t>
      </w:r>
      <w:r w:rsidRPr="009F3B75">
        <w:rPr>
          <w:sz w:val="24"/>
          <w:lang w:val="cs-CZ"/>
        </w:rPr>
        <w:t xml:space="preserve">: </w:t>
      </w:r>
      <w:hyperlink r:id="rId18" w:history="1">
        <w:r w:rsidRPr="009F3B75">
          <w:rPr>
            <w:rStyle w:val="Hyperlink"/>
            <w:sz w:val="24"/>
            <w:lang w:val="cs-CZ"/>
          </w:rPr>
          <w:t>http://data.europa.eu/eli/dir/2024/1711/oj</w:t>
        </w:r>
      </w:hyperlink>
      <w:r w:rsidRPr="009F3B75">
        <w:rPr>
          <w:sz w:val="24"/>
          <w:lang w:val="cs-CZ"/>
        </w:rPr>
        <w:t xml:space="preserve">). </w:t>
      </w:r>
    </w:p>
  </w:footnote>
  <w:footnote w:id="44">
    <w:p w14:paraId="64AFB4B6" w14:textId="7E2CB326" w:rsidR="00514785" w:rsidRPr="009F3B75" w:rsidRDefault="00514785" w:rsidP="009F3B75">
      <w:pPr>
        <w:pStyle w:val="FootnoteText"/>
        <w:ind w:left="567" w:hanging="567"/>
        <w:rPr>
          <w:sz w:val="24"/>
          <w:lang w:val="cs-CZ"/>
        </w:rPr>
      </w:pPr>
      <w:r w:rsidRPr="009F3B75">
        <w:rPr>
          <w:rStyle w:val="FootnoteReference"/>
          <w:sz w:val="24"/>
          <w:lang w:val="cs-CZ"/>
        </w:rPr>
        <w:footnoteRef/>
      </w:r>
      <w:r w:rsidR="009F3B75" w:rsidRPr="009F3B75">
        <w:rPr>
          <w:sz w:val="24"/>
          <w:lang w:val="cs-CZ"/>
        </w:rPr>
        <w:t xml:space="preserve"> </w:t>
      </w:r>
      <w:r w:rsidR="009F3B75" w:rsidRPr="009F3B75">
        <w:rPr>
          <w:sz w:val="24"/>
          <w:lang w:val="cs-CZ"/>
        </w:rPr>
        <w:tab/>
      </w:r>
      <w:hyperlink r:id="rId19" w:history="1">
        <w:r w:rsidR="007942A4" w:rsidRPr="007942A4">
          <w:rPr>
            <w:rStyle w:val="Hyperlink"/>
            <w:sz w:val="24"/>
            <w:lang w:val="cs-CZ"/>
          </w:rPr>
          <w:t>Deklarace o ztrojnásobení jaderné kapacity</w:t>
        </w:r>
      </w:hyperlink>
      <w:r w:rsidRPr="009F3B75">
        <w:rPr>
          <w:sz w:val="24"/>
          <w:lang w:val="cs-CZ"/>
        </w:rPr>
        <w:t>, prosinec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10F9" w14:textId="77777777" w:rsidR="00064002" w:rsidRPr="009F3B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6389" w14:textId="77777777" w:rsidR="00064002" w:rsidRPr="009F3B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C06A" w14:textId="77777777" w:rsidR="00064002" w:rsidRPr="009F3B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2316C7B"/>
    <w:multiLevelType w:val="hybridMultilevel"/>
    <w:tmpl w:val="068C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76197"/>
    <w:multiLevelType w:val="hybridMultilevel"/>
    <w:tmpl w:val="6D34D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468131">
    <w:abstractNumId w:val="9"/>
  </w:num>
  <w:num w:numId="2" w16cid:durableId="583956509">
    <w:abstractNumId w:val="9"/>
  </w:num>
  <w:num w:numId="3" w16cid:durableId="1537959670">
    <w:abstractNumId w:val="7"/>
  </w:num>
  <w:num w:numId="4" w16cid:durableId="1866215727">
    <w:abstractNumId w:val="7"/>
  </w:num>
  <w:num w:numId="5" w16cid:durableId="521482535">
    <w:abstractNumId w:val="6"/>
  </w:num>
  <w:num w:numId="6" w16cid:durableId="220216987">
    <w:abstractNumId w:val="6"/>
  </w:num>
  <w:num w:numId="7" w16cid:durableId="656881584">
    <w:abstractNumId w:val="5"/>
  </w:num>
  <w:num w:numId="8" w16cid:durableId="2092581762">
    <w:abstractNumId w:val="5"/>
  </w:num>
  <w:num w:numId="9" w16cid:durableId="436023400">
    <w:abstractNumId w:val="4"/>
  </w:num>
  <w:num w:numId="10" w16cid:durableId="1549994720">
    <w:abstractNumId w:val="4"/>
  </w:num>
  <w:num w:numId="11" w16cid:durableId="485439104">
    <w:abstractNumId w:val="8"/>
  </w:num>
  <w:num w:numId="12" w16cid:durableId="444541706">
    <w:abstractNumId w:val="8"/>
  </w:num>
  <w:num w:numId="13" w16cid:durableId="359404175">
    <w:abstractNumId w:val="3"/>
  </w:num>
  <w:num w:numId="14" w16cid:durableId="2008090888">
    <w:abstractNumId w:val="3"/>
  </w:num>
  <w:num w:numId="15" w16cid:durableId="307322206">
    <w:abstractNumId w:val="2"/>
  </w:num>
  <w:num w:numId="16" w16cid:durableId="1375807721">
    <w:abstractNumId w:val="2"/>
  </w:num>
  <w:num w:numId="17" w16cid:durableId="1523324791">
    <w:abstractNumId w:val="1"/>
  </w:num>
  <w:num w:numId="18" w16cid:durableId="1800024645">
    <w:abstractNumId w:val="1"/>
  </w:num>
  <w:num w:numId="19" w16cid:durableId="800808562">
    <w:abstractNumId w:val="0"/>
  </w:num>
  <w:num w:numId="20" w16cid:durableId="579290584">
    <w:abstractNumId w:val="0"/>
  </w:num>
  <w:num w:numId="21" w16cid:durableId="1474371837">
    <w:abstractNumId w:val="9"/>
  </w:num>
  <w:num w:numId="22" w16cid:durableId="234433643">
    <w:abstractNumId w:val="7"/>
  </w:num>
  <w:num w:numId="23" w16cid:durableId="2041543509">
    <w:abstractNumId w:val="6"/>
  </w:num>
  <w:num w:numId="24" w16cid:durableId="825973307">
    <w:abstractNumId w:val="5"/>
  </w:num>
  <w:num w:numId="25" w16cid:durableId="60762344">
    <w:abstractNumId w:val="4"/>
  </w:num>
  <w:num w:numId="26" w16cid:durableId="1282539650">
    <w:abstractNumId w:val="8"/>
  </w:num>
  <w:num w:numId="27" w16cid:durableId="1265572424">
    <w:abstractNumId w:val="3"/>
  </w:num>
  <w:num w:numId="28" w16cid:durableId="501513282">
    <w:abstractNumId w:val="2"/>
  </w:num>
  <w:num w:numId="29" w16cid:durableId="814686155">
    <w:abstractNumId w:val="1"/>
  </w:num>
  <w:num w:numId="30" w16cid:durableId="1762095234">
    <w:abstractNumId w:val="0"/>
  </w:num>
  <w:num w:numId="31" w16cid:durableId="25106153">
    <w:abstractNumId w:val="9"/>
  </w:num>
  <w:num w:numId="32" w16cid:durableId="721367840">
    <w:abstractNumId w:val="7"/>
  </w:num>
  <w:num w:numId="33" w16cid:durableId="667488717">
    <w:abstractNumId w:val="6"/>
  </w:num>
  <w:num w:numId="34" w16cid:durableId="1122116182">
    <w:abstractNumId w:val="5"/>
  </w:num>
  <w:num w:numId="35" w16cid:durableId="1696495352">
    <w:abstractNumId w:val="4"/>
  </w:num>
  <w:num w:numId="36" w16cid:durableId="545026358">
    <w:abstractNumId w:val="8"/>
  </w:num>
  <w:num w:numId="37" w16cid:durableId="624434442">
    <w:abstractNumId w:val="3"/>
  </w:num>
  <w:num w:numId="38" w16cid:durableId="1235358194">
    <w:abstractNumId w:val="2"/>
  </w:num>
  <w:num w:numId="39" w16cid:durableId="747266150">
    <w:abstractNumId w:val="1"/>
  </w:num>
  <w:num w:numId="40" w16cid:durableId="403064048">
    <w:abstractNumId w:val="0"/>
  </w:num>
  <w:num w:numId="41" w16cid:durableId="530924630">
    <w:abstractNumId w:val="10"/>
  </w:num>
  <w:num w:numId="42" w16cid:durableId="802619922">
    <w:abstractNumId w:val="10"/>
  </w:num>
  <w:num w:numId="43" w16cid:durableId="1463231700">
    <w:abstractNumId w:val="10"/>
  </w:num>
  <w:num w:numId="44" w16cid:durableId="81950428">
    <w:abstractNumId w:val="11"/>
  </w:num>
  <w:num w:numId="45" w16cid:durableId="548536391">
    <w:abstractNumId w:val="12"/>
  </w:num>
  <w:num w:numId="46" w16cid:durableId="3789383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CS"/>
    <w:docVar w:name="dvnumam" w:val="0"/>
    <w:docVar w:name="dvpe" w:val="772.168"/>
    <w:docVar w:name="dvtitre" w:val="Usnesení Evropského parlamentu ze dne.... 2025 o Konferenci OSN o změně klimatu konané v roce 2025 v brazilském Belému (COP30)(2025/2666(RSP))"/>
  </w:docVars>
  <w:rsids>
    <w:rsidRoot w:val="00635B2A"/>
    <w:rsid w:val="00002272"/>
    <w:rsid w:val="0003568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466"/>
    <w:rsid w:val="00411CCE"/>
    <w:rsid w:val="0041666E"/>
    <w:rsid w:val="00421060"/>
    <w:rsid w:val="00467EEA"/>
    <w:rsid w:val="00471C19"/>
    <w:rsid w:val="004867E3"/>
    <w:rsid w:val="00494A28"/>
    <w:rsid w:val="004C0004"/>
    <w:rsid w:val="004C5D52"/>
    <w:rsid w:val="0050519A"/>
    <w:rsid w:val="005072A1"/>
    <w:rsid w:val="00514517"/>
    <w:rsid w:val="00514785"/>
    <w:rsid w:val="00545827"/>
    <w:rsid w:val="00560270"/>
    <w:rsid w:val="005C2568"/>
    <w:rsid w:val="005F1B17"/>
    <w:rsid w:val="006037C0"/>
    <w:rsid w:val="00635B2A"/>
    <w:rsid w:val="006631B6"/>
    <w:rsid w:val="00680577"/>
    <w:rsid w:val="006F74FA"/>
    <w:rsid w:val="00717B6D"/>
    <w:rsid w:val="00731ADD"/>
    <w:rsid w:val="00734777"/>
    <w:rsid w:val="00747932"/>
    <w:rsid w:val="00751A4A"/>
    <w:rsid w:val="00756632"/>
    <w:rsid w:val="00762C74"/>
    <w:rsid w:val="00786EC0"/>
    <w:rsid w:val="007942A4"/>
    <w:rsid w:val="007D1690"/>
    <w:rsid w:val="007E22AD"/>
    <w:rsid w:val="00817416"/>
    <w:rsid w:val="00842779"/>
    <w:rsid w:val="00865F67"/>
    <w:rsid w:val="00881A7B"/>
    <w:rsid w:val="008840E5"/>
    <w:rsid w:val="00887B3E"/>
    <w:rsid w:val="008B4FC1"/>
    <w:rsid w:val="008C2AC6"/>
    <w:rsid w:val="00930C23"/>
    <w:rsid w:val="0093193B"/>
    <w:rsid w:val="009509D8"/>
    <w:rsid w:val="00950B64"/>
    <w:rsid w:val="00981893"/>
    <w:rsid w:val="009F3B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C4F"/>
    <w:rsid w:val="00E365E1"/>
    <w:rsid w:val="00E45A31"/>
    <w:rsid w:val="00E820A4"/>
    <w:rsid w:val="00EB006A"/>
    <w:rsid w:val="00EB4772"/>
    <w:rsid w:val="00ED169E"/>
    <w:rsid w:val="00ED4235"/>
    <w:rsid w:val="00F04346"/>
    <w:rsid w:val="00F075DC"/>
    <w:rsid w:val="00F149E9"/>
    <w:rsid w:val="00F5134D"/>
    <w:rsid w:val="00F74202"/>
    <w:rsid w:val="00F87713"/>
    <w:rsid w:val="00FA609C"/>
    <w:rsid w:val="00FB4360"/>
    <w:rsid w:val="00FB483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299C7"/>
  <w15:chartTrackingRefBased/>
  <w15:docId w15:val="{F8525EC2-D1CF-45BD-A25C-FC1DC84C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4785"/>
    <w:rPr>
      <w:b/>
      <w:kern w:val="28"/>
      <w:sz w:val="28"/>
      <w:lang w:val="fr-FR" w:eastAsia="fr-FR"/>
    </w:rPr>
  </w:style>
  <w:style w:type="character" w:customStyle="1" w:styleId="Heading2Char">
    <w:name w:val="Heading 2 Char"/>
    <w:basedOn w:val="DefaultParagraphFont"/>
    <w:link w:val="Heading2"/>
    <w:semiHidden/>
    <w:rsid w:val="00514785"/>
    <w:rPr>
      <w:sz w:val="24"/>
      <w:lang w:val="fr-FR" w:eastAsia="fr-FR"/>
    </w:rPr>
  </w:style>
  <w:style w:type="character" w:customStyle="1" w:styleId="Heading3Char">
    <w:name w:val="Heading 3 Char"/>
    <w:basedOn w:val="DefaultParagraphFont"/>
    <w:link w:val="Heading3"/>
    <w:semiHidden/>
    <w:rsid w:val="00514785"/>
    <w:rPr>
      <w:rFonts w:ascii="Arial" w:hAnsi="Arial"/>
      <w:sz w:val="24"/>
      <w:lang w:val="fr-FR" w:eastAsia="fr-FR"/>
    </w:rPr>
  </w:style>
  <w:style w:type="character" w:customStyle="1" w:styleId="Heading4Char">
    <w:name w:val="Heading 4 Char"/>
    <w:basedOn w:val="DefaultParagraphFont"/>
    <w:link w:val="Heading4"/>
    <w:semiHidden/>
    <w:rsid w:val="00514785"/>
    <w:rPr>
      <w:sz w:val="24"/>
      <w:lang w:val="en-US" w:eastAsia="fr-FR"/>
    </w:rPr>
  </w:style>
  <w:style w:type="character" w:customStyle="1" w:styleId="Heading5Char">
    <w:name w:val="Heading 5 Char"/>
    <w:basedOn w:val="DefaultParagraphFont"/>
    <w:link w:val="Heading5"/>
    <w:semiHidden/>
    <w:rsid w:val="00514785"/>
    <w:rPr>
      <w:sz w:val="24"/>
      <w:lang w:val="en-US" w:eastAsia="fr-FR"/>
    </w:rPr>
  </w:style>
  <w:style w:type="character" w:customStyle="1" w:styleId="Heading6Char">
    <w:name w:val="Heading 6 Char"/>
    <w:basedOn w:val="DefaultParagraphFont"/>
    <w:link w:val="Heading6"/>
    <w:semiHidden/>
    <w:rsid w:val="00514785"/>
    <w:rPr>
      <w:i/>
      <w:sz w:val="22"/>
      <w:lang w:val="cs-CZ"/>
    </w:rPr>
  </w:style>
  <w:style w:type="character" w:customStyle="1" w:styleId="Heading7Char">
    <w:name w:val="Heading 7 Char"/>
    <w:basedOn w:val="DefaultParagraphFont"/>
    <w:link w:val="Heading7"/>
    <w:semiHidden/>
    <w:rsid w:val="00514785"/>
    <w:rPr>
      <w:rFonts w:ascii="Arial" w:hAnsi="Arial"/>
      <w:sz w:val="24"/>
      <w:lang w:val="cs-CZ"/>
    </w:rPr>
  </w:style>
  <w:style w:type="character" w:customStyle="1" w:styleId="Heading8Char">
    <w:name w:val="Heading 8 Char"/>
    <w:basedOn w:val="DefaultParagraphFont"/>
    <w:link w:val="Heading8"/>
    <w:semiHidden/>
    <w:rsid w:val="00514785"/>
    <w:rPr>
      <w:rFonts w:ascii="Arial" w:hAnsi="Arial"/>
      <w:i/>
      <w:sz w:val="24"/>
      <w:lang w:val="cs-CZ"/>
    </w:rPr>
  </w:style>
  <w:style w:type="character" w:customStyle="1" w:styleId="Heading9Char">
    <w:name w:val="Heading 9 Char"/>
    <w:basedOn w:val="DefaultParagraphFont"/>
    <w:link w:val="Heading9"/>
    <w:semiHidden/>
    <w:rsid w:val="00514785"/>
    <w:rPr>
      <w:rFonts w:ascii="Arial" w:hAnsi="Arial"/>
      <w:b/>
      <w:i/>
      <w:sz w:val="18"/>
      <w:lang w:val="cs-CZ"/>
    </w:rPr>
  </w:style>
  <w:style w:type="paragraph" w:styleId="TOCHeading">
    <w:name w:val="TOC Heading"/>
    <w:basedOn w:val="Normal"/>
    <w:next w:val="Normal"/>
    <w:unhideWhenUsed/>
    <w:qFormat/>
    <w:rsid w:val="00514785"/>
    <w:pPr>
      <w:widowControl/>
      <w:spacing w:after="240"/>
    </w:pPr>
    <w:rPr>
      <w:lang w:val="en-GB"/>
    </w:rPr>
  </w:style>
  <w:style w:type="paragraph" w:customStyle="1" w:styleId="EPFooter2">
    <w:name w:val="EPFooter2"/>
    <w:basedOn w:val="Normal"/>
    <w:next w:val="Normal"/>
    <w:rsid w:val="005147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14785"/>
    <w:pPr>
      <w:spacing w:before="480" w:after="240"/>
    </w:pPr>
  </w:style>
  <w:style w:type="paragraph" w:customStyle="1" w:styleId="NormalBold">
    <w:name w:val="NormalBold"/>
    <w:basedOn w:val="Normal"/>
    <w:rsid w:val="00514785"/>
    <w:rPr>
      <w:b/>
    </w:rPr>
  </w:style>
  <w:style w:type="paragraph" w:customStyle="1" w:styleId="NormalBold12a">
    <w:name w:val="NormalBold12a"/>
    <w:basedOn w:val="Normal"/>
    <w:rsid w:val="00514785"/>
    <w:pPr>
      <w:spacing w:after="240"/>
    </w:pPr>
    <w:rPr>
      <w:b/>
    </w:rPr>
  </w:style>
  <w:style w:type="paragraph" w:customStyle="1" w:styleId="NormalHanging12a">
    <w:name w:val="NormalHanging12a"/>
    <w:basedOn w:val="Normal"/>
    <w:link w:val="NormalHanging12aChar"/>
    <w:rsid w:val="00514785"/>
    <w:pPr>
      <w:spacing w:after="240"/>
      <w:ind w:left="567" w:hanging="567"/>
    </w:pPr>
  </w:style>
  <w:style w:type="paragraph" w:customStyle="1" w:styleId="CoverNormal12a">
    <w:name w:val="CoverNormal12a"/>
    <w:basedOn w:val="Normal"/>
    <w:rsid w:val="00514785"/>
    <w:pPr>
      <w:spacing w:after="240"/>
      <w:ind w:left="1418"/>
    </w:pPr>
  </w:style>
  <w:style w:type="paragraph" w:customStyle="1" w:styleId="CoverNormal24a">
    <w:name w:val="CoverNormal24a"/>
    <w:basedOn w:val="Normal"/>
    <w:rsid w:val="00514785"/>
    <w:pPr>
      <w:spacing w:after="480"/>
      <w:ind w:left="1417"/>
    </w:pPr>
  </w:style>
  <w:style w:type="paragraph" w:customStyle="1" w:styleId="CoverNormal">
    <w:name w:val="CoverNormal"/>
    <w:basedOn w:val="Normal"/>
    <w:rsid w:val="00514785"/>
    <w:pPr>
      <w:ind w:left="1418"/>
    </w:pPr>
  </w:style>
  <w:style w:type="paragraph" w:customStyle="1" w:styleId="CoverDocType24a">
    <w:name w:val="CoverDocType24a"/>
    <w:basedOn w:val="Normal"/>
    <w:rsid w:val="00514785"/>
    <w:pPr>
      <w:spacing w:after="480"/>
      <w:ind w:left="1418"/>
    </w:pPr>
    <w:rPr>
      <w:rFonts w:ascii="Arial" w:hAnsi="Arial"/>
      <w:b/>
      <w:sz w:val="48"/>
    </w:rPr>
  </w:style>
  <w:style w:type="paragraph" w:styleId="Header">
    <w:name w:val="header"/>
    <w:basedOn w:val="Normal"/>
    <w:link w:val="HeaderChar"/>
    <w:rsid w:val="00514785"/>
    <w:pPr>
      <w:tabs>
        <w:tab w:val="center" w:pos="4513"/>
        <w:tab w:val="right" w:pos="9026"/>
      </w:tabs>
    </w:pPr>
  </w:style>
  <w:style w:type="character" w:customStyle="1" w:styleId="HeaderChar">
    <w:name w:val="Header Char"/>
    <w:basedOn w:val="DefaultParagraphFont"/>
    <w:link w:val="Header"/>
    <w:rsid w:val="00514785"/>
    <w:rPr>
      <w:sz w:val="24"/>
      <w:lang w:val="cs-CZ"/>
    </w:rPr>
  </w:style>
  <w:style w:type="paragraph" w:customStyle="1" w:styleId="CoverBold">
    <w:name w:val="CoverBold"/>
    <w:basedOn w:val="Normal"/>
    <w:rsid w:val="00514785"/>
    <w:pPr>
      <w:ind w:left="1417"/>
    </w:pPr>
    <w:rPr>
      <w:b/>
    </w:rPr>
  </w:style>
  <w:style w:type="paragraph" w:customStyle="1" w:styleId="EPBody">
    <w:name w:val="EPBody"/>
    <w:basedOn w:val="Normal"/>
    <w:rsid w:val="00514785"/>
    <w:pPr>
      <w:jc w:val="center"/>
    </w:pPr>
    <w:rPr>
      <w:rFonts w:ascii="Arial" w:hAnsi="Arial" w:cs="Arial"/>
      <w:i/>
      <w:sz w:val="22"/>
      <w:szCs w:val="22"/>
    </w:rPr>
  </w:style>
  <w:style w:type="paragraph" w:customStyle="1" w:styleId="CoverReference">
    <w:name w:val="CoverReference"/>
    <w:basedOn w:val="Normal"/>
    <w:rsid w:val="00514785"/>
    <w:pPr>
      <w:spacing w:before="1080"/>
      <w:jc w:val="right"/>
    </w:pPr>
    <w:rPr>
      <w:rFonts w:ascii="Arial" w:hAnsi="Arial" w:cs="Arial"/>
      <w:b/>
    </w:rPr>
  </w:style>
  <w:style w:type="paragraph" w:customStyle="1" w:styleId="CoverDate">
    <w:name w:val="CoverDate"/>
    <w:basedOn w:val="Normal"/>
    <w:rsid w:val="00514785"/>
    <w:pPr>
      <w:spacing w:before="240" w:after="1200"/>
    </w:pPr>
  </w:style>
  <w:style w:type="paragraph" w:customStyle="1" w:styleId="EPFooter">
    <w:name w:val="EPFooter"/>
    <w:basedOn w:val="Normal"/>
    <w:rsid w:val="0051478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14785"/>
    <w:rPr>
      <w:sz w:val="24"/>
      <w:lang w:val="cs-CZ"/>
    </w:rPr>
  </w:style>
  <w:style w:type="character" w:styleId="Hyperlink">
    <w:name w:val="Hyperlink"/>
    <w:basedOn w:val="DefaultParagraphFont"/>
    <w:uiPriority w:val="99"/>
    <w:rsid w:val="00514785"/>
    <w:rPr>
      <w:color w:val="0563C1" w:themeColor="hyperlink"/>
      <w:u w:val="single"/>
    </w:rPr>
  </w:style>
  <w:style w:type="paragraph" w:styleId="Footer">
    <w:name w:val="footer"/>
    <w:basedOn w:val="Normal"/>
    <w:link w:val="FooterChar"/>
    <w:rsid w:val="00514785"/>
    <w:pPr>
      <w:tabs>
        <w:tab w:val="center" w:pos="4513"/>
        <w:tab w:val="right" w:pos="9026"/>
      </w:tabs>
    </w:pPr>
  </w:style>
  <w:style w:type="character" w:customStyle="1" w:styleId="FooterChar">
    <w:name w:val="Footer Char"/>
    <w:basedOn w:val="DefaultParagraphFont"/>
    <w:link w:val="Footer"/>
    <w:rsid w:val="00514785"/>
    <w:rPr>
      <w:sz w:val="24"/>
      <w:lang w:val="cs-CZ"/>
    </w:rPr>
  </w:style>
  <w:style w:type="character" w:styleId="CommentReference">
    <w:name w:val="annotation reference"/>
    <w:basedOn w:val="DefaultParagraphFont"/>
    <w:rsid w:val="00514785"/>
    <w:rPr>
      <w:sz w:val="16"/>
      <w:szCs w:val="16"/>
    </w:rPr>
  </w:style>
  <w:style w:type="paragraph" w:styleId="CommentText">
    <w:name w:val="annotation text"/>
    <w:basedOn w:val="Normal"/>
    <w:link w:val="CommentTextChar"/>
    <w:rsid w:val="00514785"/>
    <w:rPr>
      <w:sz w:val="20"/>
    </w:rPr>
  </w:style>
  <w:style w:type="character" w:customStyle="1" w:styleId="CommentTextChar">
    <w:name w:val="Comment Text Char"/>
    <w:basedOn w:val="DefaultParagraphFont"/>
    <w:link w:val="CommentText"/>
    <w:rsid w:val="00514785"/>
    <w:rPr>
      <w:lang w:val="cs-CZ"/>
    </w:rPr>
  </w:style>
  <w:style w:type="paragraph" w:styleId="CommentSubject">
    <w:name w:val="annotation subject"/>
    <w:basedOn w:val="CommentText"/>
    <w:next w:val="CommentText"/>
    <w:link w:val="CommentSubjectChar"/>
    <w:unhideWhenUsed/>
    <w:rsid w:val="00514785"/>
    <w:rPr>
      <w:b/>
      <w:bCs/>
    </w:rPr>
  </w:style>
  <w:style w:type="character" w:customStyle="1" w:styleId="CommentSubjectChar">
    <w:name w:val="Comment Subject Char"/>
    <w:basedOn w:val="CommentTextChar"/>
    <w:link w:val="CommentSubject"/>
    <w:rsid w:val="00514785"/>
    <w:rPr>
      <w:b/>
      <w:bCs/>
      <w:lang w:val="cs-CZ"/>
    </w:rPr>
  </w:style>
  <w:style w:type="paragraph" w:styleId="Revision">
    <w:name w:val="Revision"/>
    <w:hidden/>
    <w:uiPriority w:val="99"/>
    <w:semiHidden/>
    <w:rsid w:val="00514785"/>
    <w:rPr>
      <w:sz w:val="24"/>
      <w:lang w:val="cs-CZ"/>
    </w:rPr>
  </w:style>
  <w:style w:type="character" w:customStyle="1" w:styleId="UnresolvedMention1">
    <w:name w:val="Unresolved Mention1"/>
    <w:basedOn w:val="DefaultParagraphFont"/>
    <w:uiPriority w:val="99"/>
    <w:semiHidden/>
    <w:unhideWhenUsed/>
    <w:rsid w:val="00514785"/>
    <w:rPr>
      <w:color w:val="605E5C"/>
      <w:shd w:val="clear" w:color="auto" w:fill="E1DFDD"/>
    </w:rPr>
  </w:style>
  <w:style w:type="character" w:styleId="FollowedHyperlink">
    <w:name w:val="FollowedHyperlink"/>
    <w:basedOn w:val="DefaultParagraphFont"/>
    <w:rsid w:val="00514785"/>
    <w:rPr>
      <w:color w:val="954F72" w:themeColor="followedHyperlink"/>
      <w:u w:val="single"/>
    </w:rPr>
  </w:style>
  <w:style w:type="paragraph" w:styleId="BalloonText">
    <w:name w:val="Balloon Text"/>
    <w:basedOn w:val="Normal"/>
    <w:link w:val="BalloonTextChar"/>
    <w:unhideWhenUsed/>
    <w:rsid w:val="00514785"/>
    <w:rPr>
      <w:rFonts w:ascii="Tahoma" w:hAnsi="Tahoma" w:cs="Tahoma"/>
      <w:sz w:val="16"/>
      <w:szCs w:val="16"/>
    </w:rPr>
  </w:style>
  <w:style w:type="character" w:customStyle="1" w:styleId="BalloonTextChar">
    <w:name w:val="Balloon Text Char"/>
    <w:basedOn w:val="DefaultParagraphFont"/>
    <w:link w:val="BalloonText"/>
    <w:rsid w:val="00514785"/>
    <w:rPr>
      <w:rFonts w:ascii="Tahoma" w:hAnsi="Tahoma" w:cs="Tahoma"/>
      <w:sz w:val="16"/>
      <w:szCs w:val="16"/>
      <w:lang w:val="cs-CZ"/>
    </w:rPr>
  </w:style>
  <w:style w:type="character" w:styleId="UnresolvedMention">
    <w:name w:val="Unresolved Mention"/>
    <w:basedOn w:val="DefaultParagraphFont"/>
    <w:uiPriority w:val="99"/>
    <w:semiHidden/>
    <w:unhideWhenUsed/>
    <w:rsid w:val="00794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data.europa.eu/eli/C/2025/4369/oj" TargetMode="External"/><Relationship Id="rId18" Type="http://schemas.openxmlformats.org/officeDocument/2006/relationships/hyperlink" Target="http://data.europa.eu/eli/dir/2024/1711/oj" TargetMode="External"/><Relationship Id="rId3" Type="http://schemas.openxmlformats.org/officeDocument/2006/relationships/hyperlink" Target="http://data.europa.eu/eli/reg/2024/1991/oj" TargetMode="External"/><Relationship Id="rId7" Type="http://schemas.openxmlformats.org/officeDocument/2006/relationships/hyperlink" Target="http://data.europa.eu/eli/reg/2018/841/oj" TargetMode="External"/><Relationship Id="rId12" Type="http://schemas.openxmlformats.org/officeDocument/2006/relationships/hyperlink" Target="http://data.europa.eu/eli/C/2025/808/oj" TargetMode="External"/><Relationship Id="rId17" Type="http://schemas.openxmlformats.org/officeDocument/2006/relationships/hyperlink" Target="https://www.iea.org/reports/global-methane-tracker-2024/tracking-pledges-targets-and-action" TargetMode="External"/><Relationship Id="rId2" Type="http://schemas.openxmlformats.org/officeDocument/2006/relationships/hyperlink" Target="http://data.europa.eu/eli/dec/2022/591/oj" TargetMode="External"/><Relationship Id="rId16"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publications.jrc.ec.europa.eu/repository/handle/JRC141480" TargetMode="External"/><Relationship Id="rId5" Type="http://schemas.openxmlformats.org/officeDocument/2006/relationships/hyperlink" Target="http://data.europa.eu/eli/reg/2024/1787/oj" TargetMode="External"/><Relationship Id="rId15" Type="http://schemas.openxmlformats.org/officeDocument/2006/relationships/hyperlink" Target="https://www.iea.org/energy-system/renewables%23tracking" TargetMode="External"/><Relationship Id="rId10" Type="http://schemas.openxmlformats.org/officeDocument/2006/relationships/hyperlink" Target="https://www.unep.org/resources/report/environmental-impact-conflict-gaza-preliminary-assessment-environmental-impacts" TargetMode="External"/><Relationship Id="rId19" Type="http://schemas.openxmlformats.org/officeDocument/2006/relationships/hyperlink" Target="https://world-nuclear.org/images/articles/Declaration-to-Triple-Nuclear-Energy-_-COP28-_-28-November-2023-FINAL.pdf"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13573</Words>
  <Characters>80549</Characters>
  <Application>Microsoft Office Word</Application>
  <DocSecurity>0</DocSecurity>
  <Lines>671</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2025-11-27T07:19:00Z</dcterms:created>
  <dcterms:modified xsi:type="dcterms:W3CDTF">2025-11-27T07:19:00Z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B10-0445/2025</vt:lpwstr>
  </property>
  <property fmtid="{D5CDD505-2E9C-101B-9397-08002B2CF9AE}" pid="4" name="&lt;Type&gt;">
    <vt:lpwstr>RR</vt:lpwstr>
  </property>
</Properties>
</file>