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34AD" w14:paraId="7FBA67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661C08" w14:textId="77777777" w:rsidR="00751A4A" w:rsidRPr="008334AD" w:rsidRDefault="00EC0E5A" w:rsidP="0010095E">
            <w:pPr>
              <w:pStyle w:val="EPName"/>
            </w:pPr>
            <w:r w:rsidRPr="008334AD">
              <w:t>Európsky parlament</w:t>
            </w:r>
          </w:p>
          <w:p w14:paraId="1B4E4436" w14:textId="77777777" w:rsidR="00751A4A" w:rsidRPr="008334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34AD">
              <w:t>2024</w:t>
            </w:r>
            <w:r w:rsidR="00817416" w:rsidRPr="008334AD">
              <w:t>-202</w:t>
            </w:r>
            <w:r w:rsidRPr="008334AD">
              <w:t>9</w:t>
            </w:r>
          </w:p>
        </w:tc>
        <w:tc>
          <w:tcPr>
            <w:tcW w:w="2268" w:type="dxa"/>
            <w:shd w:val="clear" w:color="auto" w:fill="auto"/>
          </w:tcPr>
          <w:p w14:paraId="249B9546" w14:textId="77777777" w:rsidR="00751A4A" w:rsidRPr="008334AD" w:rsidRDefault="00187494" w:rsidP="0010095E">
            <w:pPr>
              <w:pStyle w:val="EPLogo"/>
            </w:pPr>
            <w:r w:rsidRPr="008334AD">
              <w:rPr>
                <w:noProof/>
                <w:lang w:eastAsia="ja-JP"/>
              </w:rPr>
              <w:drawing>
                <wp:inline distT="0" distB="0" distL="0" distR="0" wp14:anchorId="5006977F" wp14:editId="27EECF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127E5B" w14:textId="77777777" w:rsidR="00D058B8" w:rsidRPr="008334AD" w:rsidRDefault="00D058B8" w:rsidP="004C5D52">
      <w:pPr>
        <w:pStyle w:val="LineTop"/>
      </w:pPr>
    </w:p>
    <w:p w14:paraId="3986332A" w14:textId="77777777" w:rsidR="00680577" w:rsidRPr="008334AD" w:rsidRDefault="00EC0E5A" w:rsidP="00680577">
      <w:pPr>
        <w:pStyle w:val="EPBodyTA1"/>
      </w:pPr>
      <w:r w:rsidRPr="008334AD">
        <w:t>PRIJATÉ TEXTY</w:t>
      </w:r>
    </w:p>
    <w:p w14:paraId="6C659E62" w14:textId="77777777" w:rsidR="00D058B8" w:rsidRPr="008334AD" w:rsidRDefault="00D058B8" w:rsidP="00D058B8">
      <w:pPr>
        <w:pStyle w:val="LineBottom"/>
      </w:pPr>
    </w:p>
    <w:p w14:paraId="117A046C" w14:textId="4CD53949" w:rsidR="00EC0E5A" w:rsidRPr="008334AD" w:rsidRDefault="00EC0E5A" w:rsidP="00EC0E5A">
      <w:pPr>
        <w:pStyle w:val="ATHeading1"/>
      </w:pPr>
      <w:bookmarkStart w:id="0" w:name="TANumber"/>
      <w:r w:rsidRPr="008334AD">
        <w:t>P10_TA(2025)0</w:t>
      </w:r>
      <w:r w:rsidR="00674C27" w:rsidRPr="008334AD">
        <w:t>254</w:t>
      </w:r>
      <w:bookmarkEnd w:id="0"/>
    </w:p>
    <w:p w14:paraId="11086F97" w14:textId="77777777" w:rsidR="00EC0E5A" w:rsidRPr="008334AD" w:rsidRDefault="00EC0E5A" w:rsidP="00EC0E5A">
      <w:pPr>
        <w:pStyle w:val="ATHeading2"/>
      </w:pPr>
      <w:bookmarkStart w:id="1" w:name="title"/>
      <w:r w:rsidRPr="008334AD">
        <w:t xml:space="preserve">Konferencia OSN o zmene klímy v roku 2025 v </w:t>
      </w:r>
      <w:proofErr w:type="spellStart"/>
      <w:r w:rsidRPr="008334AD">
        <w:t>Beléme</w:t>
      </w:r>
      <w:proofErr w:type="spellEnd"/>
      <w:r w:rsidRPr="008334AD">
        <w:t xml:space="preserve"> (Brazília) (COP30)</w:t>
      </w:r>
      <w:bookmarkEnd w:id="1"/>
    </w:p>
    <w:p w14:paraId="0BADAADB" w14:textId="77777777" w:rsidR="00EC0E5A" w:rsidRPr="008334AD" w:rsidRDefault="00EC0E5A" w:rsidP="00EC0E5A">
      <w:pPr>
        <w:rPr>
          <w:i/>
          <w:vanish/>
        </w:rPr>
      </w:pPr>
      <w:r w:rsidRPr="008334AD">
        <w:rPr>
          <w:i/>
        </w:rPr>
        <w:fldChar w:fldCharType="begin"/>
      </w:r>
      <w:r w:rsidRPr="008334AD">
        <w:rPr>
          <w:i/>
        </w:rPr>
        <w:instrText xml:space="preserve"> TC"(</w:instrText>
      </w:r>
      <w:bookmarkStart w:id="2" w:name="DocNumber"/>
      <w:r w:rsidRPr="008334AD">
        <w:rPr>
          <w:i/>
        </w:rPr>
        <w:instrText>B10-0445/2025</w:instrText>
      </w:r>
      <w:bookmarkEnd w:id="2"/>
      <w:r w:rsidRPr="008334AD">
        <w:rPr>
          <w:i/>
        </w:rPr>
        <w:instrText xml:space="preserve">)"\l3 \n&gt; \* MERGEFORMAT </w:instrText>
      </w:r>
      <w:r w:rsidRPr="008334AD">
        <w:rPr>
          <w:i/>
        </w:rPr>
        <w:fldChar w:fldCharType="end"/>
      </w:r>
    </w:p>
    <w:p w14:paraId="2080537A" w14:textId="77777777" w:rsidR="00EC0E5A" w:rsidRPr="008334AD" w:rsidRDefault="00EC0E5A" w:rsidP="00EC0E5A">
      <w:pPr>
        <w:rPr>
          <w:vanish/>
        </w:rPr>
      </w:pPr>
      <w:bookmarkStart w:id="3" w:name="PE"/>
      <w:r w:rsidRPr="008334AD">
        <w:rPr>
          <w:vanish/>
        </w:rPr>
        <w:t>PE772.168</w:t>
      </w:r>
      <w:bookmarkEnd w:id="3"/>
    </w:p>
    <w:p w14:paraId="760F2078" w14:textId="31E37E90" w:rsidR="00EC0E5A" w:rsidRPr="008334AD" w:rsidRDefault="00EC0E5A" w:rsidP="00EC0E5A">
      <w:pPr>
        <w:pStyle w:val="ATHeading3"/>
      </w:pPr>
      <w:bookmarkStart w:id="4" w:name="Sujet"/>
      <w:r w:rsidRPr="008334AD">
        <w:t>Uznesenie Európskeho parlamentu z</w:t>
      </w:r>
      <w:r w:rsidR="00EA3737" w:rsidRPr="008334AD">
        <w:t> 23</w:t>
      </w:r>
      <w:r w:rsidRPr="008334AD">
        <w:t xml:space="preserve">. októbra 2025 o Konferencii OSN o zmene klímy v roku 2025 v </w:t>
      </w:r>
      <w:proofErr w:type="spellStart"/>
      <w:r w:rsidRPr="008334AD">
        <w:t>Beléme</w:t>
      </w:r>
      <w:proofErr w:type="spellEnd"/>
      <w:r w:rsidRPr="008334AD">
        <w:t xml:space="preserve"> (Brazília) (COP 30)</w:t>
      </w:r>
      <w:bookmarkEnd w:id="4"/>
      <w:r w:rsidRPr="008334AD">
        <w:t xml:space="preserve"> </w:t>
      </w:r>
      <w:bookmarkStart w:id="5" w:name="References"/>
      <w:r w:rsidRPr="008334AD">
        <w:t>(2025/2666(RSP))</w:t>
      </w:r>
      <w:bookmarkEnd w:id="5"/>
    </w:p>
    <w:p w14:paraId="0E3F3988" w14:textId="77777777" w:rsidR="00A27977" w:rsidRPr="008334AD" w:rsidRDefault="00A27977" w:rsidP="00A27977">
      <w:pPr>
        <w:pStyle w:val="EPComma"/>
      </w:pPr>
      <w:bookmarkStart w:id="6" w:name="TextBodyBegin"/>
      <w:bookmarkEnd w:id="6"/>
      <w:r w:rsidRPr="008334AD">
        <w:rPr>
          <w:i/>
        </w:rPr>
        <w:t>Európsky parlament</w:t>
      </w:r>
      <w:r w:rsidRPr="008334AD">
        <w:t>,</w:t>
      </w:r>
    </w:p>
    <w:p w14:paraId="2A8EC936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Rámcový dohovor Organizácie Spojených národov o zmene klímy (ďalej len „UNFCCC“) a </w:t>
      </w:r>
      <w:proofErr w:type="spellStart"/>
      <w:r w:rsidRPr="008334AD">
        <w:t>Kjótsky</w:t>
      </w:r>
      <w:proofErr w:type="spellEnd"/>
      <w:r w:rsidRPr="008334AD">
        <w:t xml:space="preserve"> protokol k tomuto dohovoru,</w:t>
      </w:r>
    </w:p>
    <w:p w14:paraId="42C9D5F0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dohodu prijatú 12. decembra 2015 na 21. konferencii zmluvných strán UNFCCC (COP 21) v Paríži (Parížska dohoda),</w:t>
      </w:r>
    </w:p>
    <w:p w14:paraId="5421304D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 xml:space="preserve">so zreteľom na 29. konferenciu zmluvných strán UNFCCC (COP 29), 19. zasadnutie konferencie zmluvných strán slúžiace ako stretnutie strán </w:t>
      </w:r>
      <w:proofErr w:type="spellStart"/>
      <w:r w:rsidRPr="008334AD">
        <w:t>Kjótskeho</w:t>
      </w:r>
      <w:proofErr w:type="spellEnd"/>
      <w:r w:rsidRPr="008334AD">
        <w:t xml:space="preserve"> protokolu (CMP 19), šieste zasadnutie konferencie zmluvných strán slúžiacej ako stretnutie strán Parížskej dohody (CMA 6) a na Glasgowský klimatický pakt prijatý na 26. konferencii zmluvných strán UNFCCC (COP 26) 13. novembra 2021 v Glasgowe,</w:t>
      </w:r>
    </w:p>
    <w:p w14:paraId="1846EB31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dohodu dosiahnutú na 27. konferencii zmluvných strán UNFCCC (COP 27) o vytvorení osobitného fondu na krytie strát a škôd, zriadenie prechodného výboru pre sfunkčnenie nových mechanizmov financovania na krytie strát a škôd na 28 konferencii zmluvných strán UNFCCC (COP 28), a na sieť zo Santiaga pre straty a škody,</w:t>
      </w:r>
    </w:p>
    <w:p w14:paraId="73B97BE2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svoje uznesenie zo 14. novembra 2024 o konferencii OSN o zmene klímy v roku 2024 v Baku, Azerbajdžan (COP 29)</w:t>
      </w:r>
      <w:r w:rsidRPr="008334AD">
        <w:rPr>
          <w:vertAlign w:val="superscript"/>
        </w:rPr>
        <w:footnoteReference w:id="1"/>
      </w:r>
      <w:r w:rsidRPr="008334AD">
        <w:t>,</w:t>
      </w:r>
    </w:p>
    <w:p w14:paraId="2DD27913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dohodu dosiahnutú na konferencii COP 29 o novom kolektívnom kvantifikovanom cieli (NCQG) financovania opatrení v oblasti zmeny klímy a cieli strojnásobiť financovanie pre rozvojové krajiny na 300 miliárd USD ročne do roku 2035 a zabezpečiť spoločné úsilie všetkých aktérov o zvýšenie financovania pre rozvojové krajiny z verejných a súkromných zdrojov na 1,3 bilióna USD ročne do roku 2035,</w:t>
      </w:r>
    </w:p>
    <w:p w14:paraId="7E7B9DFF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Agendu 2030 pre udržateľný rozvoj a ciele udržateľného rozvoja OSN,</w:t>
      </w:r>
    </w:p>
    <w:p w14:paraId="67694681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 xml:space="preserve">so zreteľom na svoje uznesenie z 9. júla 2025 o vykonávaní a plnení cieľov </w:t>
      </w:r>
      <w:r w:rsidRPr="008334AD">
        <w:lastRenderedPageBreak/>
        <w:t>udržateľného rozvoja so zreteľom na politické fórum na vysokej úrovni v roku 2025</w:t>
      </w:r>
      <w:r w:rsidRPr="008334AD">
        <w:rPr>
          <w:vertAlign w:val="superscript"/>
        </w:rPr>
        <w:footnoteReference w:id="2"/>
      </w:r>
      <w:r w:rsidRPr="008334AD">
        <w:t>,</w:t>
      </w:r>
    </w:p>
    <w:p w14:paraId="4CC2C144" w14:textId="050EE5F4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 xml:space="preserve">so zreteľom na osobitnú správu Medzivládneho panelu o zmene klímy (IPCC) z roku 2018 o vplyve globálneho oteplenia o 1,5 °C v porovnaní s </w:t>
      </w:r>
      <w:proofErr w:type="spellStart"/>
      <w:r w:rsidRPr="008334AD">
        <w:t>predindustriálnou</w:t>
      </w:r>
      <w:proofErr w:type="spellEnd"/>
      <w:r w:rsidRPr="008334AD">
        <w:t xml:space="preserve"> úrovňou, jeho osobitnú správu o zmene klímy a pôde, jeho osobitnú správu o oceánoch a </w:t>
      </w:r>
      <w:proofErr w:type="spellStart"/>
      <w:r w:rsidRPr="008334AD">
        <w:t>kryosfére</w:t>
      </w:r>
      <w:proofErr w:type="spellEnd"/>
      <w:r w:rsidRPr="008334AD">
        <w:t xml:space="preserve"> v meniacej sa klíme a jeho šiestu hodnotiacu správu (AR6),</w:t>
      </w:r>
    </w:p>
    <w:p w14:paraId="667D37F3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súhrnnú správu UNFCCC z 28. októbra 2024 o vnútroštátne stanovených príspevkoch podľa Parížskej dohody,</w:t>
      </w:r>
    </w:p>
    <w:p w14:paraId="6CD854D8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správu Svetovej meteorologickej organizácie (WMO) z 19. marca 2025 s názvom „Stav globálnej klímy v roku 2024“,</w:t>
      </w:r>
    </w:p>
    <w:p w14:paraId="423BCE11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 xml:space="preserve">so zreteľom na správu z 15. apríla 2025, ktorú vypracovala služba monitorovania zmeny klímy programu </w:t>
      </w:r>
      <w:proofErr w:type="spellStart"/>
      <w:r w:rsidRPr="008334AD">
        <w:t>Copernicus</w:t>
      </w:r>
      <w:proofErr w:type="spellEnd"/>
      <w:r w:rsidRPr="008334AD">
        <w:t xml:space="preserve"> a WMO, s názvom „Európska správa o stave klímy za rok 2024“,</w:t>
      </w:r>
    </w:p>
    <w:p w14:paraId="0B5D35B9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správu Programu OSN pre životné prostredie (UNEP) o medzerách v oblasti emisií za rok 2024, ktorá bola uverejnená 24. októbra 2024,</w:t>
      </w:r>
    </w:p>
    <w:p w14:paraId="11E2C1FE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oznámenie Komisie z 11. decembra 2019 s názvom „Európska zelená dohoda“ (COM(2019)0640),</w:t>
      </w:r>
    </w:p>
    <w:p w14:paraId="4338E133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 xml:space="preserve">so zreteľom na oznámenie Komisie z 26. februára 2025 s názvom „Dohoda o čistom priemysle: spoločný plán </w:t>
      </w:r>
      <w:proofErr w:type="spellStart"/>
      <w:r w:rsidRPr="008334AD">
        <w:t>konkurenciechopnosti</w:t>
      </w:r>
      <w:proofErr w:type="spellEnd"/>
      <w:r w:rsidRPr="008334AD">
        <w:t xml:space="preserve"> a dekarbonizácie“ (COM(2025)0085),</w:t>
      </w:r>
    </w:p>
    <w:p w14:paraId="782436A5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 xml:space="preserve">so zreteľom na právne predpisy EÚ, ktorými sa ciele Únie znížiť čisté emisie do roku 2030 aspoň o 55 % v porovnaní s úrovňami z roku 1990 a dosiahnuť záväzný cieľ EÚ v oblasti klimatickej neutrality do roku 2050 (balík Fit </w:t>
      </w:r>
      <w:proofErr w:type="spellStart"/>
      <w:r w:rsidRPr="008334AD">
        <w:t>for</w:t>
      </w:r>
      <w:proofErr w:type="spellEnd"/>
      <w:r w:rsidRPr="008334AD">
        <w:t xml:space="preserve"> 55) premietnu do konkrétnych politík v rôznych odvetviach,</w:t>
      </w:r>
    </w:p>
    <w:p w14:paraId="20513EF8" w14:textId="335EBD98" w:rsidR="00A27977" w:rsidRPr="008334AD" w:rsidRDefault="00A27977" w:rsidP="00A27977">
      <w:pPr>
        <w:pStyle w:val="NormalHanging12a"/>
        <w:rPr>
          <w:i/>
        </w:rPr>
      </w:pPr>
      <w:r w:rsidRPr="008334AD">
        <w:t>–</w:t>
      </w:r>
      <w:r w:rsidRPr="008334AD">
        <w:tab/>
        <w:t>so zreteľom na rozhodnutie Európskeho parlamentu a Rady (EÚ) 2022/591 zo 6. apríla 2022 o všeobecnom environmentálnom akčnom programe Únie do roku 2030</w:t>
      </w:r>
      <w:r w:rsidRPr="008334AD">
        <w:rPr>
          <w:vertAlign w:val="superscript"/>
        </w:rPr>
        <w:footnoteReference w:id="3"/>
      </w:r>
      <w:r w:rsidRPr="008334AD">
        <w:t>, ako aj na monitorovaciu správu Európskej environmentálnej agentúry z 20. februára 202</w:t>
      </w:r>
      <w:r w:rsidR="00E94BF5">
        <w:t>5</w:t>
      </w:r>
      <w:r w:rsidRPr="008334AD">
        <w:t>, v ktorej sa monitoruje pokrok pri dosahovaní cieľov 8. environmentálneho akčného programu (EAP), a na správu Komisie z 13. marca 2024 o preskúmaní 8. EAP v polovici trvania (COM(2024)0123),</w:t>
      </w:r>
    </w:p>
    <w:p w14:paraId="67E980A4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svoje uznesenie z 28. novembra 2019 o núdzovom stave v oblasti klímy a životného prostredia</w:t>
      </w:r>
      <w:r w:rsidRPr="008334AD">
        <w:rPr>
          <w:vertAlign w:val="superscript"/>
        </w:rPr>
        <w:footnoteReference w:id="4"/>
      </w:r>
      <w:r w:rsidRPr="008334AD">
        <w:t>,</w:t>
      </w:r>
    </w:p>
    <w:p w14:paraId="03F8F789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oznámenie Komisie zo 6. februára 2024 s názvom Zabezpečenie našej budúcnosti – Cieľ Európy v oblasti klímy do roku 2040 a cesta ku klimatickej neutralite do roku 2050 budovaním udržateľnej, spravodlivej a prosperujúcej spoločnosti (COM(2024)0063),</w:t>
      </w:r>
    </w:p>
    <w:p w14:paraId="013D0217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oznámenie Komisie z 12. marca 2024 s názvom „Riadenie klimatických rizík – ochrana osôb a prosperity“ (COM(2024)0091),</w:t>
      </w:r>
    </w:p>
    <w:p w14:paraId="1C85CC21" w14:textId="77777777" w:rsidR="00A27977" w:rsidRPr="008334AD" w:rsidRDefault="00A27977" w:rsidP="00A27977">
      <w:pPr>
        <w:pStyle w:val="NormalHanging12a"/>
      </w:pPr>
      <w:r w:rsidRPr="008334AD">
        <w:lastRenderedPageBreak/>
        <w:t>–</w:t>
      </w:r>
      <w:r w:rsidRPr="008334AD">
        <w:tab/>
        <w:t>so zreteľom na oznámenie Komisie z 27. mája 2025 s názvom „</w:t>
      </w:r>
      <w:proofErr w:type="spellStart"/>
      <w:r w:rsidRPr="008334AD">
        <w:t>Celoúnijné</w:t>
      </w:r>
      <w:proofErr w:type="spellEnd"/>
      <w:r w:rsidRPr="008334AD">
        <w:t xml:space="preserve"> posúdenie konečných aktualizovaných národných energetických a klimatických plánov – Dosahovanie cieľov Únie v oblasti energetiky a klímy do roku 2030“ (COM(2025)0274),</w:t>
      </w:r>
    </w:p>
    <w:p w14:paraId="53F4C210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správu Európskej environmentálnej agentúry z 11. marca 2024 s názvom „Európske posúdenie klimatických rizík“,</w:t>
      </w:r>
    </w:p>
    <w:p w14:paraId="6FC5CE5E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správu Európskej vedeckej poradnej rady pre zmenu klímy z 15. júna 2023 s názvom „</w:t>
      </w:r>
      <w:proofErr w:type="spellStart"/>
      <w:r w:rsidRPr="008334AD">
        <w:t>Scientific</w:t>
      </w:r>
      <w:proofErr w:type="spellEnd"/>
      <w:r w:rsidRPr="008334AD">
        <w:t xml:space="preserve"> </w:t>
      </w:r>
      <w:proofErr w:type="spellStart"/>
      <w:r w:rsidRPr="008334AD">
        <w:t>advice</w:t>
      </w:r>
      <w:proofErr w:type="spellEnd"/>
      <w:r w:rsidRPr="008334AD">
        <w:t xml:space="preserve"> </w:t>
      </w:r>
      <w:proofErr w:type="spellStart"/>
      <w:r w:rsidRPr="008334AD">
        <w:t>for</w:t>
      </w:r>
      <w:proofErr w:type="spellEnd"/>
      <w:r w:rsidRPr="008334AD">
        <w:t xml:space="preserve"> </w:t>
      </w:r>
      <w:proofErr w:type="spellStart"/>
      <w:r w:rsidRPr="008334AD">
        <w:t>the</w:t>
      </w:r>
      <w:proofErr w:type="spellEnd"/>
      <w:r w:rsidRPr="008334AD">
        <w:t xml:space="preserve"> </w:t>
      </w:r>
      <w:proofErr w:type="spellStart"/>
      <w:r w:rsidRPr="008334AD">
        <w:t>determination</w:t>
      </w:r>
      <w:proofErr w:type="spellEnd"/>
      <w:r w:rsidRPr="008334AD">
        <w:t xml:space="preserve"> of </w:t>
      </w:r>
      <w:proofErr w:type="spellStart"/>
      <w:r w:rsidRPr="008334AD">
        <w:t>an</w:t>
      </w:r>
      <w:proofErr w:type="spellEnd"/>
      <w:r w:rsidRPr="008334AD">
        <w:t xml:space="preserve"> EU-</w:t>
      </w:r>
      <w:proofErr w:type="spellStart"/>
      <w:r w:rsidRPr="008334AD">
        <w:t>wide</w:t>
      </w:r>
      <w:proofErr w:type="spellEnd"/>
      <w:r w:rsidRPr="008334AD">
        <w:t xml:space="preserve"> 2040 </w:t>
      </w:r>
      <w:proofErr w:type="spellStart"/>
      <w:r w:rsidRPr="008334AD">
        <w:t>climate</w:t>
      </w:r>
      <w:proofErr w:type="spellEnd"/>
      <w:r w:rsidRPr="008334AD">
        <w:t xml:space="preserve"> </w:t>
      </w:r>
      <w:proofErr w:type="spellStart"/>
      <w:r w:rsidRPr="008334AD">
        <w:t>target</w:t>
      </w:r>
      <w:proofErr w:type="spellEnd"/>
      <w:r w:rsidRPr="008334AD">
        <w:t xml:space="preserve"> and a </w:t>
      </w:r>
      <w:proofErr w:type="spellStart"/>
      <w:r w:rsidRPr="008334AD">
        <w:t>greenhouse</w:t>
      </w:r>
      <w:proofErr w:type="spellEnd"/>
      <w:r w:rsidRPr="008334AD">
        <w:t xml:space="preserve"> </w:t>
      </w:r>
      <w:proofErr w:type="spellStart"/>
      <w:r w:rsidRPr="008334AD">
        <w:t>gas</w:t>
      </w:r>
      <w:proofErr w:type="spellEnd"/>
      <w:r w:rsidRPr="008334AD">
        <w:t xml:space="preserve"> </w:t>
      </w:r>
      <w:proofErr w:type="spellStart"/>
      <w:r w:rsidRPr="008334AD">
        <w:t>budget</w:t>
      </w:r>
      <w:proofErr w:type="spellEnd"/>
      <w:r w:rsidRPr="008334AD">
        <w:t xml:space="preserve"> </w:t>
      </w:r>
      <w:proofErr w:type="spellStart"/>
      <w:r w:rsidRPr="008334AD">
        <w:t>for</w:t>
      </w:r>
      <w:proofErr w:type="spellEnd"/>
      <w:r w:rsidRPr="008334AD">
        <w:t xml:space="preserve"> 2030 – 2050“ (Vedecké rady pre stanovenie klimatického cieľa pre celú EÚ do roku 2040 a rozpočtu skleníkových plynov na roky 2030 – 2050),</w:t>
      </w:r>
    </w:p>
    <w:p w14:paraId="128AD98C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správu Európskej vedeckej poradnej rady pre zmenu klímy z 2. júna 2025 s názvom „Vedecké poradenstvo k zmene európskeho právneho predpisu v oblasti klímy – stanovenie cieľov v oblasti klímy na posilnenie strategických priorít EÚ“,</w:t>
      </w:r>
    </w:p>
    <w:p w14:paraId="73C88AD3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spoločné oznámenie Komisie a vysokého predstaviteľa Únie pre zahraničné veci a bezpečnostnú politiku z 28. júna 2023 s názvom „Nový pohľad na prepojenie medzi klímou a bezpečnosťou: riešenie vplyvu zmeny klímy a zhoršovania životného prostredia na mier, bezpečnosť a obranu“ (JOIN(2023)0019) a na spoločný pracovný dokument útvarov Komisie a vysokej predstaviteľky Únie pre zahraničné veci a bezpečnostnú politiku zo 17. februára 2025 s názvom „</w:t>
      </w:r>
      <w:proofErr w:type="spellStart"/>
      <w:r w:rsidRPr="008334AD">
        <w:t>Progress</w:t>
      </w:r>
      <w:proofErr w:type="spellEnd"/>
      <w:r w:rsidRPr="008334AD">
        <w:t xml:space="preserve"> Report on </w:t>
      </w:r>
      <w:proofErr w:type="spellStart"/>
      <w:r w:rsidRPr="008334AD">
        <w:t>the</w:t>
      </w:r>
      <w:proofErr w:type="spellEnd"/>
      <w:r w:rsidRPr="008334AD">
        <w:t xml:space="preserve"> </w:t>
      </w:r>
      <w:proofErr w:type="spellStart"/>
      <w:r w:rsidRPr="008334AD">
        <w:t>implementation</w:t>
      </w:r>
      <w:proofErr w:type="spellEnd"/>
      <w:r w:rsidRPr="008334AD">
        <w:t xml:space="preserve"> of </w:t>
      </w:r>
      <w:proofErr w:type="spellStart"/>
      <w:r w:rsidRPr="008334AD">
        <w:t>the</w:t>
      </w:r>
      <w:proofErr w:type="spellEnd"/>
      <w:r w:rsidRPr="008334AD">
        <w:t xml:space="preserve"> </w:t>
      </w:r>
      <w:proofErr w:type="spellStart"/>
      <w:r w:rsidRPr="008334AD">
        <w:t>Joint</w:t>
      </w:r>
      <w:proofErr w:type="spellEnd"/>
      <w:r w:rsidRPr="008334AD">
        <w:t xml:space="preserve"> </w:t>
      </w:r>
      <w:proofErr w:type="spellStart"/>
      <w:r w:rsidRPr="008334AD">
        <w:t>Communication</w:t>
      </w:r>
      <w:proofErr w:type="spellEnd"/>
      <w:r w:rsidRPr="008334AD">
        <w:t xml:space="preserve"> - “A New Outlook on </w:t>
      </w:r>
      <w:proofErr w:type="spellStart"/>
      <w:r w:rsidRPr="008334AD">
        <w:t>the</w:t>
      </w:r>
      <w:proofErr w:type="spellEnd"/>
      <w:r w:rsidRPr="008334AD">
        <w:t xml:space="preserve"> </w:t>
      </w:r>
      <w:proofErr w:type="spellStart"/>
      <w:r w:rsidRPr="008334AD">
        <w:t>Climate</w:t>
      </w:r>
      <w:proofErr w:type="spellEnd"/>
      <w:r w:rsidRPr="008334AD">
        <w:t xml:space="preserve"> and </w:t>
      </w:r>
      <w:proofErr w:type="spellStart"/>
      <w:r w:rsidRPr="008334AD">
        <w:t>Security</w:t>
      </w:r>
      <w:proofErr w:type="spellEnd"/>
      <w:r w:rsidRPr="008334AD">
        <w:t xml:space="preserve"> </w:t>
      </w:r>
      <w:proofErr w:type="spellStart"/>
      <w:r w:rsidRPr="008334AD">
        <w:t>Nexus</w:t>
      </w:r>
      <w:proofErr w:type="spellEnd"/>
      <w:r w:rsidRPr="008334AD">
        <w:t>“ (Správa o pokroku pri vykonávaní spoločného oznámenia – Nový pohľad na prepojenie medzi klímou a bezpečnosťou“ (SWD(2025)0049),</w:t>
      </w:r>
    </w:p>
    <w:p w14:paraId="6F82BEFB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Globálny rámec pre chemické látky – Za planétu bez škôd spôsobených chemickými látkami a odpadom, prijatý na piatej medzinárodnej konferencii o hospodárení s chemickými látkami, ktorá bol usporiadaná v rámci Programu OSN pre životné prostredie (UNEP) v septembri 2023,</w:t>
      </w:r>
    </w:p>
    <w:p w14:paraId="05E5869E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 xml:space="preserve">so zreteľom na globálny rámec pre biodiverzitu z </w:t>
      </w:r>
      <w:proofErr w:type="spellStart"/>
      <w:r w:rsidRPr="008334AD">
        <w:t>Kchun-mingu</w:t>
      </w:r>
      <w:proofErr w:type="spellEnd"/>
      <w:r w:rsidRPr="008334AD">
        <w:t xml:space="preserve"> a Montrealu prijatý na 15. zasadnutí Konferencie zmluvných strán Dohovoru OSN o biologickej diverzite (DBD COP 15) v decembri 2022 a 16. zasadnutí Konferencie zmluvných strán Dohovoru OSN o biologickej diverzite (DBD COP 16), ktoré bolo uzavreté vo februári 2025,</w:t>
      </w:r>
    </w:p>
    <w:p w14:paraId="516A105F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dohodu v rámci Dohovoru Organizácie Spojených národov o morskom práve o ochrane a udržateľnom využívaní morskej biodiverzity v oblastiach mimo vnútroštátnej jurisdikcie (dohoda o BBNJ alebo dohoda OSN o šírom mori) prijatú 19. júna 2023,</w:t>
      </w:r>
    </w:p>
    <w:p w14:paraId="6D02F675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nariadenie Európskeho parlamentu a Rady (EÚ) 2024/1991 z 24. júna 2024 o obnove prírody a o zmene nariadenia (EÚ) 2022/869</w:t>
      </w:r>
      <w:r w:rsidRPr="008334AD">
        <w:rPr>
          <w:rStyle w:val="FootnoteReference"/>
        </w:rPr>
        <w:footnoteReference w:id="5"/>
      </w:r>
      <w:r w:rsidRPr="008334AD">
        <w:t xml:space="preserve"> („právny predpis o obnove prírody“),</w:t>
      </w:r>
    </w:p>
    <w:p w14:paraId="25B5E090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 xml:space="preserve">so zreteľom na svoju pozíciu z 10. apríla 2024 k návrhu smernice Európskeho </w:t>
      </w:r>
      <w:r w:rsidRPr="008334AD">
        <w:lastRenderedPageBreak/>
        <w:t>parlamentu a Rady o monitorovaní a odolnosti pôdy</w:t>
      </w:r>
      <w:r w:rsidRPr="008334AD">
        <w:rPr>
          <w:rStyle w:val="FootnoteReference"/>
        </w:rPr>
        <w:footnoteReference w:id="6"/>
      </w:r>
      <w:r w:rsidRPr="008334AD">
        <w:t>,</w:t>
      </w:r>
    </w:p>
    <w:p w14:paraId="4D74CA1B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nariadenie (EÚ) 2024/3012 Európskeho parlamentu a Rady (EÚ) z 27. novembra 2024, ktorým sa zriaďuje certifikačný rámec Únie pre trvalé odstraňovanie uhlíka, uhlíkové poľnohospodárstvo a ukladanie uhlíka do výrobkov</w:t>
      </w:r>
      <w:r w:rsidRPr="008334AD">
        <w:rPr>
          <w:rStyle w:val="FootnoteReference"/>
        </w:rPr>
        <w:footnoteReference w:id="7"/>
      </w:r>
      <w:r w:rsidRPr="008334AD">
        <w:t>,</w:t>
      </w:r>
    </w:p>
    <w:p w14:paraId="147A46D4" w14:textId="77777777" w:rsidR="00A27977" w:rsidRPr="008334AD" w:rsidRDefault="00A27977" w:rsidP="00A27977">
      <w:pPr>
        <w:pStyle w:val="NormalHanging12a"/>
        <w:rPr>
          <w:szCs w:val="24"/>
        </w:rPr>
      </w:pPr>
      <w:r w:rsidRPr="008334AD">
        <w:t>–</w:t>
      </w:r>
      <w:r w:rsidRPr="008334AD">
        <w:tab/>
        <w:t xml:space="preserve">so zreteľom na nariadenie Európskeho parlamentu a Rady (EÚ) 2024/1787 z 13. júna 2024 o znižovaní emisií metánu v odvetví energetiky </w:t>
      </w:r>
      <w:r w:rsidRPr="008334AD">
        <w:rPr>
          <w:color w:val="333333"/>
          <w:shd w:val="clear" w:color="auto" w:fill="FFFFFF"/>
        </w:rPr>
        <w:t>a o zmene nariadenia (EÚ) 2019/942</w:t>
      </w:r>
      <w:r w:rsidRPr="008334AD">
        <w:rPr>
          <w:rStyle w:val="FootnoteReference"/>
          <w:bCs/>
          <w:color w:val="333333"/>
          <w:szCs w:val="24"/>
          <w:shd w:val="clear" w:color="auto" w:fill="FFFFFF"/>
        </w:rPr>
        <w:footnoteReference w:id="8"/>
      </w:r>
      <w:r w:rsidRPr="008334AD">
        <w:t>,</w:t>
      </w:r>
    </w:p>
    <w:p w14:paraId="31FBDE66" w14:textId="77777777" w:rsidR="00A27977" w:rsidRPr="008334AD" w:rsidRDefault="00A27977" w:rsidP="00A27977">
      <w:pPr>
        <w:pStyle w:val="NormalHanging12a"/>
        <w:rPr>
          <w:b/>
          <w:i/>
        </w:rPr>
      </w:pPr>
      <w:r w:rsidRPr="008334AD">
        <w:rPr>
          <w:b/>
          <w:i/>
        </w:rPr>
        <w:t>–</w:t>
      </w:r>
      <w:r w:rsidRPr="008334AD">
        <w:rPr>
          <w:b/>
          <w:i/>
        </w:rPr>
        <w:tab/>
      </w:r>
      <w:r w:rsidRPr="008334AD">
        <w:t>so zreteľom na rezolúciu schválenú Radou OSN pre ľudské práva z 12. júla 2019 o ľudských právach a zmene klímy (A/HRC/RES/41/21),</w:t>
      </w:r>
    </w:p>
    <w:p w14:paraId="268FCF6A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vyhlásenie zo 4. novembra 2021 s názvom Podpora podmienok pre spravodlivú medzinárodnú transformáciu prijaté na konferencii COP 26,</w:t>
      </w:r>
    </w:p>
    <w:p w14:paraId="7614DF9C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 xml:space="preserve">so zreteľom na závery Rady o financovaní opatrení v oblasti zmeny klímy z 10. októbra 2025 v súvislosti s 30. konferenciou zmluvných strán UNFCCC (COP 30) v </w:t>
      </w:r>
      <w:proofErr w:type="spellStart"/>
      <w:r w:rsidRPr="008334AD">
        <w:t>Beléme</w:t>
      </w:r>
      <w:proofErr w:type="spellEnd"/>
      <w:r w:rsidRPr="008334AD">
        <w:t>,</w:t>
      </w:r>
    </w:p>
    <w:p w14:paraId="19D3562A" w14:textId="1D36C411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 xml:space="preserve">so zreteľom na otázky Komisii a Rade týkajúce sa Konferencie OSN o zmene klímy, ktorá sa koná v roku 2025 v </w:t>
      </w:r>
      <w:proofErr w:type="spellStart"/>
      <w:r w:rsidRPr="008334AD">
        <w:t>Beléme</w:t>
      </w:r>
      <w:proofErr w:type="spellEnd"/>
      <w:r w:rsidRPr="008334AD">
        <w:t xml:space="preserve"> (Brazília) (COP 30) (O-000028/2025 – B10</w:t>
      </w:r>
      <w:r w:rsidRPr="008334AD">
        <w:noBreakHyphen/>
      </w:r>
      <w:r w:rsidR="00EA3737" w:rsidRPr="008334AD">
        <w:t>0011</w:t>
      </w:r>
      <w:r w:rsidRPr="008334AD">
        <w:t>/2025 a O-000029/2025 – B10</w:t>
      </w:r>
      <w:r w:rsidRPr="008334AD">
        <w:noBreakHyphen/>
      </w:r>
      <w:r w:rsidR="00EA3737" w:rsidRPr="008334AD">
        <w:t>0012</w:t>
      </w:r>
      <w:r w:rsidRPr="008334AD">
        <w:t>/2025),</w:t>
      </w:r>
    </w:p>
    <w:p w14:paraId="5B9D51B6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článok 142 ods. 5 a článok 136 ods. 2 rokovacieho poriadku</w:t>
      </w:r>
    </w:p>
    <w:p w14:paraId="3D54A5C2" w14:textId="77777777" w:rsidR="00A27977" w:rsidRPr="008334AD" w:rsidRDefault="00A27977" w:rsidP="00A27977">
      <w:pPr>
        <w:pStyle w:val="NormalHanging12a"/>
      </w:pPr>
      <w:r w:rsidRPr="008334AD">
        <w:t>–</w:t>
      </w:r>
      <w:r w:rsidRPr="008334AD">
        <w:tab/>
        <w:t>so zreteľom na návrh uznesenia Výboru pre životné prostredie, klímu a bezpečnosť potravín,</w:t>
      </w:r>
    </w:p>
    <w:p w14:paraId="7367D9DE" w14:textId="77777777" w:rsidR="00A27977" w:rsidRPr="008334AD" w:rsidRDefault="00A27977" w:rsidP="00A27977">
      <w:pPr>
        <w:pStyle w:val="NormalHanging12a"/>
      </w:pPr>
      <w:r w:rsidRPr="008334AD">
        <w:t>A.</w:t>
      </w:r>
      <w:r w:rsidRPr="008334AD">
        <w:tab/>
        <w:t>keďže vyhlásil núdzový stav v oblasti klímy a životného prostredia a zaviazal sa urýchlene bojovať proti tejto hrozbe a obmedziť ju; keďže z nedávnych vedeckých štúdií</w:t>
      </w:r>
      <w:r w:rsidRPr="008334AD">
        <w:rPr>
          <w:vertAlign w:val="superscript"/>
        </w:rPr>
        <w:footnoteReference w:id="9"/>
      </w:r>
      <w:r w:rsidRPr="008334AD">
        <w:t xml:space="preserve"> vyplýva, že globálne otepľovanie a zvyšovanie hladiny morí spôsobené ľudskou činnosťou sa zrýchľujú ešte väčším tempom, než sa pôvodne predpokladalo;</w:t>
      </w:r>
    </w:p>
    <w:p w14:paraId="721E040B" w14:textId="77777777" w:rsidR="00A27977" w:rsidRPr="008334AD" w:rsidRDefault="00A27977" w:rsidP="00A27977">
      <w:pPr>
        <w:pStyle w:val="NormalHanging12a"/>
      </w:pPr>
      <w:r w:rsidRPr="008334AD">
        <w:t>B.</w:t>
      </w:r>
      <w:r w:rsidRPr="008334AD">
        <w:tab/>
        <w:t>keďže Parížska dohoda nadobudla platnosť 4. novembra 2016; keďže v roku 2025 uplynie desať rokov od prijatia Parížskej dohody;</w:t>
      </w:r>
    </w:p>
    <w:p w14:paraId="048E1781" w14:textId="77777777" w:rsidR="00A27977" w:rsidRPr="008334AD" w:rsidRDefault="00A27977" w:rsidP="00A27977">
      <w:pPr>
        <w:pStyle w:val="NormalHanging12a"/>
      </w:pPr>
      <w:r w:rsidRPr="008334AD">
        <w:t>C.</w:t>
      </w:r>
      <w:r w:rsidRPr="008334AD">
        <w:tab/>
        <w:t>keďže podľa správy UNEP o medzerách v oblasti emisií za rok 2024</w:t>
      </w:r>
      <w:r w:rsidRPr="008334AD">
        <w:rPr>
          <w:vertAlign w:val="superscript"/>
        </w:rPr>
        <w:footnoteReference w:id="10"/>
      </w:r>
      <w:r w:rsidRPr="008334AD">
        <w:t xml:space="preserve"> by úplné vykonávanie bezpodmienečných vnútroštátnych príspevkov stanovených v rámci Parížskej dohody do roku 2030 viedlo k tomu, že zvýšenie teploty by bolo možné obmedziť na 2,8 °C v tomto storočí a úplné zavedenie podmienených vnútroštátne stanovených príspevkov (NDC) by znížilo toto zvýšenie teploty na 2,6 °C;</w:t>
      </w:r>
    </w:p>
    <w:p w14:paraId="5A286CEE" w14:textId="77777777" w:rsidR="00A27977" w:rsidRPr="008334AD" w:rsidRDefault="00A27977" w:rsidP="00A27977">
      <w:pPr>
        <w:pStyle w:val="NormalHanging12a"/>
      </w:pPr>
      <w:r w:rsidRPr="008334AD">
        <w:lastRenderedPageBreak/>
        <w:t>D.</w:t>
      </w:r>
      <w:r w:rsidRPr="008334AD">
        <w:tab/>
        <w:t>keďže v súhrnnej správe o NDC za rok 2024</w:t>
      </w:r>
      <w:r w:rsidRPr="008334AD">
        <w:rPr>
          <w:vertAlign w:val="superscript"/>
        </w:rPr>
        <w:footnoteReference w:id="11"/>
      </w:r>
      <w:r w:rsidRPr="008334AD">
        <w:t xml:space="preserve"> sa uvádza, že celková úroveň globálnych emisií skleníkových plynov v roku 2030 by mala byť o 2,6 % nižšia ako v roku 2019; keďže Medzivládny panel o zmene klímy (IPCC) dospel k záveru, že emisie skleníkových plynov musia byť podľa scenárov, v ktorých sa otepľovanie obmedzí na 1,5 °C, do roku 2030 o 43 % nižšie ako v roku 2019;</w:t>
      </w:r>
    </w:p>
    <w:p w14:paraId="5BE7C1B9" w14:textId="77777777" w:rsidR="00A27977" w:rsidRPr="008334AD" w:rsidRDefault="00A27977" w:rsidP="00A27977">
      <w:pPr>
        <w:pStyle w:val="NormalHanging12a"/>
      </w:pPr>
      <w:r w:rsidRPr="008334AD">
        <w:t>E.</w:t>
      </w:r>
      <w:r w:rsidRPr="008334AD">
        <w:tab/>
        <w:t>keďže EÚ by mala zostať lídrom v medzinárodných rokovaniach o klíme; keďže na dosiahnutie globálnych cieľov v oblasti klímy je potrebné spoločné úsilie všetkých krajín; keďže dekarbonizácia v samotnej EÚ nebude stačiť; keďže Spojené štáty sú zodpovedné za 23,8 % celosvetových kumulatívnych emisií CO</w:t>
      </w:r>
      <w:r w:rsidRPr="008334AD">
        <w:rPr>
          <w:vertAlign w:val="subscript"/>
        </w:rPr>
        <w:t>2</w:t>
      </w:r>
      <w:r w:rsidRPr="008334AD">
        <w:t>, členské štáty EÚ za 16,5 %, Čína 15 %, Rusko 6,7 % a Spojené kráľovstvo 4,4 %; keďže EÚ je v súčasnosti po Číne, Spojených štátoch a Indii štvrtým najväčším ročným producentom emisií CO</w:t>
      </w:r>
      <w:r w:rsidRPr="008334AD">
        <w:rPr>
          <w:vertAlign w:val="subscript"/>
        </w:rPr>
        <w:t>2</w:t>
      </w:r>
      <w:r w:rsidRPr="008334AD">
        <w:t xml:space="preserve"> na svete, čo predstavuje približne 6 % celosvetových emisií; keďže EÚ predstavuje 5,7 % svetovej populácie a 14,7 % svetového HDP</w:t>
      </w:r>
      <w:r w:rsidRPr="008334AD">
        <w:rPr>
          <w:vertAlign w:val="superscript"/>
        </w:rPr>
        <w:footnoteReference w:id="12"/>
      </w:r>
      <w:r w:rsidRPr="008334AD">
        <w:t>;</w:t>
      </w:r>
    </w:p>
    <w:p w14:paraId="64FFB92F" w14:textId="77777777" w:rsidR="00A27977" w:rsidRPr="008334AD" w:rsidRDefault="00A27977" w:rsidP="00A27977">
      <w:pPr>
        <w:pStyle w:val="NormalHanging12a"/>
      </w:pPr>
      <w:r w:rsidRPr="008334AD">
        <w:t>F.</w:t>
      </w:r>
      <w:r w:rsidRPr="008334AD">
        <w:tab/>
        <w:t>keďže cesty obmedzujúce globálne otepľovanie na 1,5 °C si vyžadujú dosiahnutie čistých záporných emisií po roku 2050;</w:t>
      </w:r>
    </w:p>
    <w:p w14:paraId="41703E41" w14:textId="77777777" w:rsidR="00A27977" w:rsidRPr="008334AD" w:rsidRDefault="00A27977" w:rsidP="00A27977">
      <w:pPr>
        <w:pStyle w:val="NormalHanging12a"/>
      </w:pPr>
      <w:r w:rsidRPr="008334AD">
        <w:t>G.</w:t>
      </w:r>
      <w:r w:rsidRPr="008334AD">
        <w:tab/>
        <w:t>keďže väčšina opatrení na zmiernenie zmeny klímy uvedených v šiestej hodnotiacej správe IPCC, ktorá bola uverejnená v roku 2023, zahŕňa zachytávanie a ukladanie uhlíka a odstraňovanie uhlíka;</w:t>
      </w:r>
    </w:p>
    <w:p w14:paraId="0A1118F6" w14:textId="77777777" w:rsidR="00A27977" w:rsidRPr="008334AD" w:rsidRDefault="00A27977" w:rsidP="00A27977">
      <w:pPr>
        <w:pStyle w:val="NormalHanging12a"/>
        <w:rPr>
          <w:bCs/>
        </w:rPr>
      </w:pPr>
      <w:r w:rsidRPr="008334AD">
        <w:t>H.</w:t>
      </w:r>
      <w:r w:rsidRPr="008334AD">
        <w:tab/>
        <w:t xml:space="preserve">keďže Medzivládny panel o zmene klímy odhaduje, že globálny uhlíkový rozpočet so 67 % pravdepodobnosťou obmedzenia globálneho otepľovania na 1,5 °C predstavuje od roku 2020 približne 400 </w:t>
      </w:r>
      <w:proofErr w:type="spellStart"/>
      <w:r w:rsidRPr="008334AD">
        <w:t>gigaton</w:t>
      </w:r>
      <w:proofErr w:type="spellEnd"/>
      <w:r w:rsidRPr="008334AD">
        <w:t xml:space="preserve"> CO₂</w:t>
      </w:r>
      <w:r w:rsidRPr="008334AD">
        <w:rPr>
          <w:bCs/>
          <w:vertAlign w:val="superscript"/>
        </w:rPr>
        <w:footnoteReference w:id="13"/>
      </w:r>
      <w:r w:rsidRPr="008334AD">
        <w:t>; keďže pri súčasných celosvetových úrovniach emisií sa očakáva, že tento globálny uhlíkový rozpočet sa vyčerpá do roku 2030;</w:t>
      </w:r>
    </w:p>
    <w:p w14:paraId="4CF74492" w14:textId="77777777" w:rsidR="00A27977" w:rsidRPr="008334AD" w:rsidRDefault="00A27977" w:rsidP="00A27977">
      <w:pPr>
        <w:pStyle w:val="NormalHanging12a"/>
      </w:pPr>
      <w:r w:rsidRPr="008334AD">
        <w:t>I.</w:t>
      </w:r>
      <w:r w:rsidRPr="008334AD">
        <w:tab/>
        <w:t>keďže metán je zodpovedný približne za 30 % nárastu globálnych teplôt od priemyselnej revolúcie; keďže EÚ sa na konferencii COP 26 podieľala na vyhlásení globálneho záväzku o metáne, ktorého cieľom je znížiť emisie metánu do roku 2030 o 30 % v porovnaní s úrovňou v roku 2020; keďže zo správy Medzinárodnej agentúry pre energiu z mája 2025 s názvom „</w:t>
      </w:r>
      <w:proofErr w:type="spellStart"/>
      <w:r w:rsidRPr="008334AD">
        <w:t>Global</w:t>
      </w:r>
      <w:proofErr w:type="spellEnd"/>
      <w:r w:rsidRPr="008334AD">
        <w:t xml:space="preserve"> </w:t>
      </w:r>
      <w:proofErr w:type="spellStart"/>
      <w:r w:rsidRPr="008334AD">
        <w:t>Methane</w:t>
      </w:r>
      <w:proofErr w:type="spellEnd"/>
      <w:r w:rsidRPr="008334AD">
        <w:t xml:space="preserve"> </w:t>
      </w:r>
      <w:proofErr w:type="spellStart"/>
      <w:r w:rsidRPr="008334AD">
        <w:t>Tracker</w:t>
      </w:r>
      <w:proofErr w:type="spellEnd"/>
      <w:r w:rsidRPr="008334AD">
        <w:t xml:space="preserve"> 2025“ (Globálne sledovanie metánu 2025) vyplýva, že emisie metánu stále rastú a že plnenie globálneho záväzku o metáne je stále slabé;</w:t>
      </w:r>
    </w:p>
    <w:p w14:paraId="450E7F83" w14:textId="77777777" w:rsidR="00A27977" w:rsidRPr="008334AD" w:rsidRDefault="00A27977" w:rsidP="00A27977">
      <w:pPr>
        <w:pStyle w:val="NormalHanging12a"/>
      </w:pPr>
      <w:r w:rsidRPr="008334AD">
        <w:t>J.</w:t>
      </w:r>
      <w:r w:rsidRPr="008334AD">
        <w:tab/>
        <w:t>keďže podľa zistení IPCC záchyty na pevnine a v oceánoch za posledných šesť desaťročí absorbovali 56 % emisií CO₂ spôsobených človekom</w:t>
      </w:r>
      <w:r w:rsidRPr="008334AD">
        <w:rPr>
          <w:vertAlign w:val="superscript"/>
        </w:rPr>
        <w:footnoteReference w:id="14"/>
      </w:r>
      <w:r w:rsidRPr="008334AD">
        <w:t>;</w:t>
      </w:r>
    </w:p>
    <w:p w14:paraId="583EA2B3" w14:textId="77777777" w:rsidR="00A27977" w:rsidRPr="008334AD" w:rsidRDefault="00A27977" w:rsidP="00A27977">
      <w:pPr>
        <w:pStyle w:val="NormalHanging12a"/>
      </w:pPr>
      <w:r w:rsidRPr="008334AD">
        <w:lastRenderedPageBreak/>
        <w:t>K.</w:t>
      </w:r>
      <w:r w:rsidRPr="008334AD">
        <w:tab/>
        <w:t>keďže bolo prekročených šesť z deviatich planetárnych medzí, ktoré vymedzilo Centrum pre štúdium odolnosti v Štokholme (</w:t>
      </w:r>
      <w:proofErr w:type="spellStart"/>
      <w:r w:rsidRPr="008334AD">
        <w:t>Resilience</w:t>
      </w:r>
      <w:proofErr w:type="spellEnd"/>
      <w:r w:rsidRPr="008334AD">
        <w:t xml:space="preserve"> Centre)</w:t>
      </w:r>
      <w:r w:rsidRPr="008334AD">
        <w:rPr>
          <w:vertAlign w:val="superscript"/>
        </w:rPr>
        <w:footnoteReference w:id="15"/>
      </w:r>
      <w:r w:rsidRPr="008334AD">
        <w:t xml:space="preserve"> vrátane planetárnej medze pre klímu;</w:t>
      </w:r>
    </w:p>
    <w:p w14:paraId="75F48C42" w14:textId="77777777" w:rsidR="00A27977" w:rsidRPr="008334AD" w:rsidRDefault="00A27977" w:rsidP="00A27977">
      <w:pPr>
        <w:pStyle w:val="NormalHanging12a"/>
      </w:pPr>
      <w:r w:rsidRPr="008334AD">
        <w:t>L.</w:t>
      </w:r>
      <w:r w:rsidRPr="008334AD">
        <w:tab/>
        <w:t>keďže v Programe OSN pre životné prostredie sa vzájomne prepojené environmentálne núdzové situácie zmeny klímy, znečistenia a straty biodiverzity opisujú ako „trojitá kríza planéty“, keďže zmena klímy zhoršuje stratu biodiverzity, znečistenie urýchľuje zmenu klímy aj kolaps ekosystému a strata biodiverzity oslabuje odolnosť voči zmene klímy;</w:t>
      </w:r>
    </w:p>
    <w:p w14:paraId="41B5BB02" w14:textId="77777777" w:rsidR="00A27977" w:rsidRPr="008334AD" w:rsidRDefault="00A27977" w:rsidP="00A27977">
      <w:pPr>
        <w:pStyle w:val="NormalHanging12a"/>
      </w:pPr>
      <w:r w:rsidRPr="008334AD">
        <w:t>M.</w:t>
      </w:r>
      <w:r w:rsidRPr="008334AD">
        <w:tab/>
        <w:t>keďže ochrana, zachovanie a obnova biodiverzity a ekosystémov, a to aj prostredníctvom väčšieho úsilia o zastavenie a zvrátenie odlesňovania a degradácie lesov, sú nevyhnutnými opatreniami na dosiahnutie teplotného cieľa Parížskej dohody;</w:t>
      </w:r>
    </w:p>
    <w:p w14:paraId="73D41F74" w14:textId="77777777" w:rsidR="00A27977" w:rsidRPr="008334AD" w:rsidRDefault="00A27977" w:rsidP="00A27977">
      <w:pPr>
        <w:pStyle w:val="NormalHanging12a"/>
      </w:pPr>
      <w:r w:rsidRPr="008334AD">
        <w:t>N.</w:t>
      </w:r>
      <w:r w:rsidRPr="008334AD">
        <w:tab/>
        <w:t xml:space="preserve">keďže globálny rámec pre biodiverzitu (GBF) z </w:t>
      </w:r>
      <w:proofErr w:type="spellStart"/>
      <w:r w:rsidRPr="008334AD">
        <w:t>Kchun-mingu</w:t>
      </w:r>
      <w:proofErr w:type="spellEnd"/>
      <w:r w:rsidRPr="008334AD">
        <w:t xml:space="preserve"> a Montrealu obsahuje konkrétne opatrenia na zastavenie a zvrátenie straty prírody vrátane cieľov obnoviť 30 % všetkých degradovaných ekosystémov do roku 2030 a cieľa zachovať 30 % pôdy, vôd a morí;</w:t>
      </w:r>
    </w:p>
    <w:p w14:paraId="2BC79C47" w14:textId="77777777" w:rsidR="00A27977" w:rsidRPr="008334AD" w:rsidRDefault="00A27977" w:rsidP="00A27977">
      <w:pPr>
        <w:pStyle w:val="NormalHanging12a"/>
      </w:pPr>
      <w:r w:rsidRPr="008334AD">
        <w:t>O.</w:t>
      </w:r>
      <w:r w:rsidRPr="008334AD">
        <w:tab/>
        <w:t xml:space="preserve">keďže rok 2024 bol najteplejším zaznamenaným rokom a globálne teploty po prvýkrát presiahli 1,5 °C v porovnaní s </w:t>
      </w:r>
      <w:proofErr w:type="spellStart"/>
      <w:r w:rsidRPr="008334AD">
        <w:t>predindustriálnou</w:t>
      </w:r>
      <w:proofErr w:type="spellEnd"/>
      <w:r w:rsidRPr="008334AD">
        <w:t xml:space="preserve"> úrovňou; keďže údaje programu </w:t>
      </w:r>
      <w:proofErr w:type="spellStart"/>
      <w:r w:rsidRPr="008334AD">
        <w:t>Copernicus</w:t>
      </w:r>
      <w:proofErr w:type="spellEnd"/>
      <w:r w:rsidRPr="008334AD">
        <w:t xml:space="preserve"> za prvú polovicu roka 2025 patria k najvyšším zaznamenaným teplotám, pričom teplejší bol len máj v roku 2024</w:t>
      </w:r>
      <w:r w:rsidRPr="008334AD">
        <w:rPr>
          <w:vertAlign w:val="superscript"/>
        </w:rPr>
        <w:footnoteReference w:id="16"/>
      </w:r>
      <w:r w:rsidRPr="008334AD">
        <w:t xml:space="preserve">; keďže každý z posledných desiatich rokov sa radí medzi prvých desať najhorúcejších rokov podľa záznamov; keďže Európa je najrýchlejšie sa otepľujúcim kontinentom na svete, ktorý sa podľa údajov programu </w:t>
      </w:r>
      <w:proofErr w:type="spellStart"/>
      <w:r w:rsidRPr="008334AD">
        <w:t>Copernicus</w:t>
      </w:r>
      <w:proofErr w:type="spellEnd"/>
      <w:r w:rsidRPr="008334AD">
        <w:rPr>
          <w:vertAlign w:val="superscript"/>
        </w:rPr>
        <w:footnoteReference w:id="17"/>
      </w:r>
      <w:r w:rsidRPr="008334AD">
        <w:t xml:space="preserve"> od 80. rokov 20. storočia otepľuje približne dvojnásobne rýchlejšie ako celosvetový priemer;</w:t>
      </w:r>
    </w:p>
    <w:p w14:paraId="23C32271" w14:textId="77777777" w:rsidR="00A27977" w:rsidRPr="008334AD" w:rsidRDefault="00A27977" w:rsidP="00A27977">
      <w:pPr>
        <w:pStyle w:val="NormalHanging12a"/>
      </w:pPr>
      <w:r w:rsidRPr="008334AD">
        <w:t>P.</w:t>
      </w:r>
      <w:r w:rsidRPr="008334AD">
        <w:tab/>
        <w:t>keďže Valné zhromaždenie Organizácie Spojených národov uznalo právo na prístup k čistému, zdravému a udržateľnému životnému prostrediu ako všeobecné ľudské právo</w:t>
      </w:r>
      <w:r w:rsidRPr="008334AD">
        <w:rPr>
          <w:vertAlign w:val="superscript"/>
        </w:rPr>
        <w:footnoteReference w:id="18"/>
      </w:r>
      <w:r w:rsidRPr="008334AD">
        <w:t xml:space="preserve"> a článok 37 Charty základných práv Európskej únie zakotvuje zásadu, že ochrana životného prostredia sa musí začleniť do politík Únie,</w:t>
      </w:r>
    </w:p>
    <w:p w14:paraId="100D09F1" w14:textId="77777777" w:rsidR="00A27977" w:rsidRPr="008334AD" w:rsidRDefault="00A27977" w:rsidP="00A27977">
      <w:pPr>
        <w:pStyle w:val="NormalHanging12a"/>
      </w:pPr>
      <w:r w:rsidRPr="008334AD">
        <w:t>Q.</w:t>
      </w:r>
      <w:r w:rsidRPr="008334AD">
        <w:tab/>
        <w:t xml:space="preserve">keďže znečistenie ovzdušia predstavuje závažnú hrozbu pre životné prostredie a verejné zdravie a je neoddeliteľne spojené s klimatickou krízou, a to z hľadiska spoločných zdrojov energie, ako je spaľovanie fosílnych palív, ako aj z hľadiska potreby integrovaných politických riešení; keďže látky znečisťujúce klímu s krátkou životnosťou, ako je metán a čierny uhlík, sú zodpovedné za takmer polovicu súčasných úrovní globálneho otepľovania a spôsobujú vážne zdravotné následky, najmä u </w:t>
      </w:r>
      <w:r w:rsidRPr="008334AD">
        <w:lastRenderedPageBreak/>
        <w:t>zraniteľných skupín obyvateľstva</w:t>
      </w:r>
      <w:r w:rsidRPr="008334AD">
        <w:rPr>
          <w:vertAlign w:val="superscript"/>
        </w:rPr>
        <w:footnoteReference w:id="19"/>
      </w:r>
      <w:r w:rsidRPr="008334AD">
        <w:t>;</w:t>
      </w:r>
    </w:p>
    <w:p w14:paraId="5F432190" w14:textId="77777777" w:rsidR="00A27977" w:rsidRPr="008334AD" w:rsidRDefault="00A27977" w:rsidP="00A27977">
      <w:pPr>
        <w:pStyle w:val="NormalHanging12a"/>
      </w:pPr>
      <w:r w:rsidRPr="008334AD">
        <w:t>R.</w:t>
      </w:r>
      <w:r w:rsidRPr="008334AD">
        <w:tab/>
        <w:t xml:space="preserve">keďže Spojené štáty sa už druhýkrát rozhodli jednostranne odstúpiť od Parížskej dohody; keďže USA ukončujú politiku </w:t>
      </w:r>
      <w:proofErr w:type="spellStart"/>
      <w:r w:rsidRPr="008334AD">
        <w:t>multilateralizmu</w:t>
      </w:r>
      <w:proofErr w:type="spellEnd"/>
      <w:r w:rsidRPr="008334AD">
        <w:t xml:space="preserve"> a poskytovania rozvojovej pomoci, humanitárnej pomoci a medzinárodného financovania opatrení v oblasti zmeny klímy; keďže EÚ má zodpovednosť a strategický záujem pomôcť vyplniť túto medzeru;</w:t>
      </w:r>
    </w:p>
    <w:p w14:paraId="2D6B884D" w14:textId="77777777" w:rsidR="00A27977" w:rsidRPr="008334AD" w:rsidRDefault="00A27977" w:rsidP="00A27977">
      <w:pPr>
        <w:pStyle w:val="NormalHanging12a"/>
      </w:pPr>
      <w:r w:rsidRPr="008334AD">
        <w:t>S.</w:t>
      </w:r>
      <w:r w:rsidRPr="008334AD">
        <w:tab/>
        <w:t>keďže zosúladenie globálnych finančných tokov s cestou k emisne neutrálnemu hospodárstvu odolnému voči zmene klímy je základným cieľom zelenej transformácie v súlade s článkom 2 Parížskej dohody;</w:t>
      </w:r>
    </w:p>
    <w:p w14:paraId="1158B689" w14:textId="77777777" w:rsidR="00A27977" w:rsidRPr="008334AD" w:rsidRDefault="00A27977" w:rsidP="00A27977">
      <w:pPr>
        <w:pStyle w:val="NormalHanging12a"/>
      </w:pPr>
      <w:r w:rsidRPr="008334AD">
        <w:t>T.</w:t>
      </w:r>
      <w:r w:rsidRPr="008334AD">
        <w:tab/>
        <w:t>keďže v správe Stáleho výboru pre financie UNFCCC z roku 2021 s názvom „</w:t>
      </w:r>
      <w:proofErr w:type="spellStart"/>
      <w:r w:rsidRPr="008334AD">
        <w:t>First</w:t>
      </w:r>
      <w:proofErr w:type="spellEnd"/>
      <w:r w:rsidRPr="008334AD">
        <w:t xml:space="preserve"> report on </w:t>
      </w:r>
      <w:proofErr w:type="spellStart"/>
      <w:r w:rsidRPr="008334AD">
        <w:t>the</w:t>
      </w:r>
      <w:proofErr w:type="spellEnd"/>
      <w:r w:rsidRPr="008334AD">
        <w:t xml:space="preserve"> </w:t>
      </w:r>
      <w:proofErr w:type="spellStart"/>
      <w:r w:rsidRPr="008334AD">
        <w:t>determination</w:t>
      </w:r>
      <w:proofErr w:type="spellEnd"/>
      <w:r w:rsidRPr="008334AD">
        <w:t xml:space="preserve"> of </w:t>
      </w:r>
      <w:proofErr w:type="spellStart"/>
      <w:r w:rsidRPr="008334AD">
        <w:t>the</w:t>
      </w:r>
      <w:proofErr w:type="spellEnd"/>
      <w:r w:rsidRPr="008334AD">
        <w:t xml:space="preserve"> </w:t>
      </w:r>
      <w:proofErr w:type="spellStart"/>
      <w:r w:rsidRPr="008334AD">
        <w:t>needs</w:t>
      </w:r>
      <w:proofErr w:type="spellEnd"/>
      <w:r w:rsidRPr="008334AD">
        <w:t xml:space="preserve"> of </w:t>
      </w:r>
      <w:proofErr w:type="spellStart"/>
      <w:r w:rsidRPr="008334AD">
        <w:t>developing</w:t>
      </w:r>
      <w:proofErr w:type="spellEnd"/>
      <w:r w:rsidRPr="008334AD">
        <w:t xml:space="preserve"> country </w:t>
      </w:r>
      <w:proofErr w:type="spellStart"/>
      <w:r w:rsidRPr="008334AD">
        <w:t>Parties</w:t>
      </w:r>
      <w:proofErr w:type="spellEnd"/>
      <w:r w:rsidRPr="008334AD">
        <w:t>“ (Prvá správa o určení potrieb rozvojových krajín, ktoré sú zmluvnými stranami dohovoru) sa uvádza, že z národných správ, ktoré zmluvné strany UNFCCC predložili rozvojovým krajinám, ktoré sú zmluvnými stranami, vyplýva, že náklady na uspokojenie ich potrieb do roku 2030 v súvislosti s vykonávaním Rámcového dohovoru OSN o zmene klímy a Parížskej dohody predstavujú kumulatívne 5,8 – 5,9 bilióna USD</w:t>
      </w:r>
      <w:r w:rsidRPr="008334AD">
        <w:rPr>
          <w:vertAlign w:val="superscript"/>
        </w:rPr>
        <w:footnoteReference w:id="20"/>
      </w:r>
      <w:r w:rsidRPr="008334AD">
        <w:t>; keďže nový kolektívny kvantifikovaný cieľ UNFCCC o financovaní opatrení v oblasti zmeny klímy obsahuje záväzok zvýšiť objem finančných prostriedkov do roku 2035 minimálne na 1,3 bilióna USD ročne;</w:t>
      </w:r>
    </w:p>
    <w:p w14:paraId="135F60F7" w14:textId="77777777" w:rsidR="00A27977" w:rsidRPr="008334AD" w:rsidRDefault="00A27977" w:rsidP="00A27977">
      <w:pPr>
        <w:pStyle w:val="NormalHanging12a"/>
      </w:pPr>
      <w:r w:rsidRPr="008334AD">
        <w:t>U.</w:t>
      </w:r>
      <w:r w:rsidRPr="008334AD">
        <w:tab/>
        <w:t>keďže iniciatíva zmluvy o nešírení fosílnych palív je inšpirovaná Zmluvou o nešírení jadrových zbraní, a požaduje záväznú medzinárodnú zmluvu na zastavenie expanzie fosílnych palív, postupné ukončenie súčasnej produkcie a podporu spravodlivej globálnej transformácie; keďže zmluvu o nešírení fosílnych palív schválilo zatiaľ len 17 krajín, pričom žiadna z nich nie je členským štátom EÚ</w:t>
      </w:r>
      <w:r w:rsidRPr="008334AD">
        <w:rPr>
          <w:vertAlign w:val="superscript"/>
        </w:rPr>
        <w:footnoteReference w:id="21"/>
      </w:r>
      <w:r w:rsidRPr="008334AD">
        <w:t>;</w:t>
      </w:r>
    </w:p>
    <w:p w14:paraId="4D17AA3D" w14:textId="77777777" w:rsidR="00A27977" w:rsidRPr="008334AD" w:rsidRDefault="00A27977" w:rsidP="00A27977">
      <w:pPr>
        <w:pStyle w:val="NormalHanging12a"/>
      </w:pPr>
      <w:r w:rsidRPr="008334AD">
        <w:t>V.</w:t>
      </w:r>
      <w:r w:rsidRPr="008334AD">
        <w:tab/>
        <w:t>keďže Európska vedecká poradná rada pre zmenu klímy odporúča urýchlené a úplné zrušenie dotácií na fosílne palivá v EÚ v súlade s platnými záväzkami; keďže 8. EAP požaduje stanovenie jasného termínu ukončenia takýchto dotácií v súlade s touto ambíciou v oblasti klímy;</w:t>
      </w:r>
    </w:p>
    <w:p w14:paraId="1FEABD14" w14:textId="77777777" w:rsidR="00A27977" w:rsidRPr="008334AD" w:rsidRDefault="00A27977" w:rsidP="00A27977">
      <w:pPr>
        <w:pStyle w:val="NormalHanging12a"/>
      </w:pPr>
      <w:r w:rsidRPr="008334AD">
        <w:t>W.</w:t>
      </w:r>
      <w:r w:rsidRPr="008334AD">
        <w:tab/>
        <w:t xml:space="preserve">keďže deti sú obzvlášť zraniteľné voči dôsledkom zmeny klímy vrátane smrteľných chorôb, znečistenia, nedostatku potravín a vody a extrémnych výkyvov počasia; keďže takmer 1 miliarda detí žije v 33 krajinách, ktoré sú klasifikované ako „mimoriadne rizikové“ z dôvodu kombinácie vystavenia klimatickým a environmentálnym rizikám a </w:t>
      </w:r>
      <w:r w:rsidRPr="008334AD">
        <w:lastRenderedPageBreak/>
        <w:t>vysokej miery zraniteľnosti</w:t>
      </w:r>
      <w:r w:rsidRPr="008334AD">
        <w:rPr>
          <w:vertAlign w:val="superscript"/>
        </w:rPr>
        <w:footnoteReference w:id="22"/>
      </w:r>
      <w:r w:rsidRPr="008334AD">
        <w:t>;</w:t>
      </w:r>
    </w:p>
    <w:p w14:paraId="0B6476B8" w14:textId="77777777" w:rsidR="00A27977" w:rsidRPr="008334AD" w:rsidRDefault="00A27977" w:rsidP="00A27977">
      <w:pPr>
        <w:pStyle w:val="NormalHanging12a"/>
      </w:pPr>
      <w:r w:rsidRPr="008334AD">
        <w:t>X.</w:t>
      </w:r>
      <w:r w:rsidRPr="008334AD">
        <w:tab/>
        <w:t>keďže ambiciózne multilaterálne rámce v oblasti klímy a s nimi zosúladené opatrenia slúžia strategickým záujmom EÚ a predstavujú pre EÚ ako svetového lídra v oblasti ekologickej transformácie príležitosti;</w:t>
      </w:r>
    </w:p>
    <w:p w14:paraId="282B2B24" w14:textId="77777777" w:rsidR="00A27977" w:rsidRPr="008334AD" w:rsidRDefault="00A27977" w:rsidP="00A27977">
      <w:pPr>
        <w:pStyle w:val="NormalHanging12a"/>
        <w:rPr>
          <w:b/>
          <w:bCs/>
          <w:i/>
          <w:iCs/>
        </w:rPr>
      </w:pPr>
      <w:r w:rsidRPr="008334AD">
        <w:rPr>
          <w:b/>
          <w:i/>
        </w:rPr>
        <w:t xml:space="preserve">Globálne hodnotenie, vnútroštátne stanovené príspevky a konferencia COP 30 v </w:t>
      </w:r>
      <w:proofErr w:type="spellStart"/>
      <w:r w:rsidRPr="008334AD">
        <w:rPr>
          <w:b/>
          <w:i/>
        </w:rPr>
        <w:t>Beléme</w:t>
      </w:r>
      <w:proofErr w:type="spellEnd"/>
    </w:p>
    <w:p w14:paraId="1B22C3B2" w14:textId="77777777" w:rsidR="00A27977" w:rsidRPr="008334AD" w:rsidRDefault="00A27977" w:rsidP="00A27977">
      <w:pPr>
        <w:pStyle w:val="NormalHanging12a"/>
        <w:rPr>
          <w:bCs/>
          <w:iCs/>
        </w:rPr>
      </w:pPr>
      <w:r w:rsidRPr="008334AD">
        <w:t>1.</w:t>
      </w:r>
      <w:r w:rsidRPr="008334AD">
        <w:tab/>
        <w:t>zdôrazňuje, že výsledok prvého globálneho hodnotenia na konferencii COP 28 uznáva, že cesty k obmedzeniu globálneho oteplenia na 1,5 °C bez prekročenia alebo s obmedzeným prekročením na 2 °C si vyžadujú, aby vrchol globálnych emisií skleníkových plynov nastal do roku 2025, a že obmedzenie globálneho oteplenia na 1,5 °C bez prekročenia alebo s obmedzeným prekročením si vyžaduje výrazné, rýchle a trvalé zníženie globálnych emisií skleníkových plynov o 43 % do roku 2030 a o 60 % do roku 2035 v porovnaní s úrovňou z roku 2019, aby sa do roku 2050 dosiahla nulová čistá bilancia emisií skleníkových plynov;</w:t>
      </w:r>
    </w:p>
    <w:p w14:paraId="1FBA3F4F" w14:textId="77777777" w:rsidR="00A27977" w:rsidRPr="008334AD" w:rsidRDefault="00A27977" w:rsidP="00A27977">
      <w:pPr>
        <w:pStyle w:val="NormalHanging12a"/>
      </w:pPr>
      <w:r w:rsidRPr="008334AD">
        <w:t>2.</w:t>
      </w:r>
      <w:r w:rsidRPr="008334AD">
        <w:tab/>
        <w:t>berie na vedomie relatívny pokrok, ktorý sa dosiahol v niektorých oblastiach na konferencii COP 29 v Baku, najmä pokiaľ ide o nový kolektívny kvantifikovaný cieľ týkajúci sa financovania opatrení v oblasti zmeny klímy, pokrok v oblasti sprevádzkovania Fondu na krytie strát a škôd a dohodu o trhu s uhlíkom; vyjadruje však poľutovanie nad nedostatočným pokrokom v oblasti zmierňovania;</w:t>
      </w:r>
    </w:p>
    <w:p w14:paraId="471B83A7" w14:textId="77777777" w:rsidR="00A27977" w:rsidRPr="008334AD" w:rsidRDefault="00A27977" w:rsidP="00A27977">
      <w:pPr>
        <w:pStyle w:val="NormalHanging12a"/>
      </w:pPr>
      <w:r w:rsidRPr="008334AD">
        <w:t>3.</w:t>
      </w:r>
      <w:r w:rsidRPr="008334AD">
        <w:tab/>
        <w:t>so znepokojením konštatuje, že súhrnné zníženie emisií z predložených vnútroštátne stanovených príspevkov výrazne zaostáva za emisnými trajektóriami, ktoré sú potrebné na dodržanie cieľa Parížskej dohody a záverov prvého globálneho hodnotenia; naliehavo vyzýva COP 30, aby opätovne potvrdila záväzok dosiahnuť cieľ 1,5 °C a dohodla sa na potrebe naďalej posilňovať ambície a prijať konkrétne rozhodnutia na podporu vykonávania vnútroštátne stanovených príspevkov; domnieva sa, že globálne hodnotenie by sa malo konať častejšie, a vyzýva všetky strany, ktoré nie sú na ceste k dosiahnutiu cieľa Parížskej dohody, aby okrem päťročného cyklu preskúmania každý druhý rok aktualizovali a posilnili svoje vnútroštátne stanovené príspevky;</w:t>
      </w:r>
    </w:p>
    <w:p w14:paraId="0596823A" w14:textId="77777777" w:rsidR="00A27977" w:rsidRPr="008334AD" w:rsidRDefault="00A27977" w:rsidP="00A27977">
      <w:pPr>
        <w:pStyle w:val="NormalHanging12a"/>
      </w:pPr>
      <w:r w:rsidRPr="008334AD">
        <w:t>4.</w:t>
      </w:r>
      <w:r w:rsidRPr="008334AD">
        <w:tab/>
        <w:t>zdôrazňuje, že je potrebné spoločné úsilie a ďalšie opatrenia všetkých zmluvných strán s cieľom odstrániť medzeru v oblasti emisií a realizovať opatrenia vyplývajúce z prvého globálneho hodnotenia prostredníctvom konkrétnych cieľov, ako aj zintenzívniť opatrenia stanovené na národnej úrovni; zdôrazňuje osobitnú zodpovednosť všetkých veľkých producentov emisií vrátane rozvíjajúcich sa ekonomík a krajín G20, aby v tomto smere preukázali vedúcu úlohu; vyzýva EÚ a podobne zmýšľajúcich partnerov, aby viedli koalíciu s vysokými ambíciami a spolupracovali so všetkými stranami s cieľom zabezpečiť úspešný výsledok konferencie COP 30;</w:t>
      </w:r>
    </w:p>
    <w:p w14:paraId="7A0E9567" w14:textId="77777777" w:rsidR="00A27977" w:rsidRPr="008334AD" w:rsidRDefault="00A27977" w:rsidP="00A27977">
      <w:pPr>
        <w:pStyle w:val="NormalHanging12a"/>
      </w:pPr>
      <w:r w:rsidRPr="008334AD">
        <w:t>5.</w:t>
      </w:r>
      <w:r w:rsidRPr="008334AD">
        <w:tab/>
        <w:t xml:space="preserve">dôrazne vyjadruje poľutovanie nad rozhodnutím vlády USA odstúpiť po druhýkrát od Parížskej dohody; vyzýva Spojené štáty, aby prehodnotili svoje odstúpenie od dohody a prispeli svojím spravodlivým dielom k celosvetovému úsiliu o riešenie zmeny klímy a k celosvetovému financovaniu opatrení v oblasti zmeny klímy v súlade s Parížskou dohodou, najmä pokiaľ ide o ich zodpovednosť na základe ich kumulatívnych emisií v minulosti; nabáda štáty USA a neštátne subjekty, aby sa naďalej zapájali do </w:t>
      </w:r>
      <w:r w:rsidRPr="008334AD">
        <w:lastRenderedPageBreak/>
        <w:t>medzinárodnej spolupráce v oblasti klímy, a to aj na konferenciách OSN o zmene klímy; konštatuje, že žiadna iná krajina nenasledovala Spojené štáty a neodstúpila od Parížskej dohody; zdôrazňuje osobitnú zodpovednosť a strategický záujem EÚ na tom, aby sa ujala vedúcej úlohy a obnovila dôveru v celosvetové opatrenia v oblasti klímy, a to aj prostredníctvom opatrení na zabránenie ďalšiemu odstúpeniu od Parížskej dohody; domnieva sa, že všetky aspekty vonkajšej činnosti EÚ vrátane obchodnej a rozvojovej politiky môžu prispieť k dosiahnutiu týchto cieľov;</w:t>
      </w:r>
    </w:p>
    <w:p w14:paraId="1C868250" w14:textId="77777777" w:rsidR="00A27977" w:rsidRPr="008334AD" w:rsidRDefault="00A27977" w:rsidP="00A27977">
      <w:pPr>
        <w:pStyle w:val="NormalHanging12a"/>
        <w:rPr>
          <w:rFonts w:eastAsia="Calibri"/>
        </w:rPr>
      </w:pPr>
      <w:r w:rsidRPr="008334AD">
        <w:t>6.</w:t>
      </w:r>
      <w:r w:rsidRPr="008334AD">
        <w:tab/>
        <w:t>pripomína zásadu súdržnosti politík v záujme rozvoja, ku ktorej sa EÚ a jej členské štáty zaviazali a ktorej cieľom je minimalizovať rozpory a vytvárať synergie medzi rôznymi politikami EÚ; trvá na jednotnom prístupe k vykonávaniu Parížskej dohody a Agendy 2030 pre udržateľný rozvoj vo vnútorných aj vonkajších politikách;</w:t>
      </w:r>
    </w:p>
    <w:p w14:paraId="6F41EE22" w14:textId="77777777" w:rsidR="00A27977" w:rsidRPr="008334AD" w:rsidRDefault="00A27977" w:rsidP="00A27977">
      <w:pPr>
        <w:pStyle w:val="NormalHanging12a"/>
      </w:pPr>
      <w:r w:rsidRPr="008334AD">
        <w:t>7.</w:t>
      </w:r>
      <w:r w:rsidRPr="008334AD">
        <w:tab/>
        <w:t>pripomína, že v prvom globálnom hodnotení zmluvné strany UNFCCC uznali potrebu hlbokého, rýchleho a trvalého zníženia emisií skleníkových plynov v súlade s cieľmi 1,5 °C a zaviazali sa prispieť k celosvetovému úsiliu o strojnásobenie kapacity energie z obnoviteľných zdrojov na celom svete a zdvojnásobenie globálnej priemernej ročnej miery zlepšenia energetickej efektívnosti do roku 2030; je naďalej znepokojený nedostatočným pokrokom v plnení týchto cieľov; zdôrazňuje, že je nevyhnutné, aby konferencia COP 30 vychádzala z týchto cieľov, prijala konkrétne rozhodnutia o ich realizácii a podnikla dodatočné opatrenia, ak by ambiciózna medzera pretrvávala; opätovne potvrdzuje svoj záväzok splniť konsenzus dosiahnutý vo vyhlásení o klíme a zdraví z konferencie COP 28; berie na vedomie záväzok prispieť k urýchleniu rozvoja technológií s nulovými a nízkymi emisiami; v tejto súvislosti pripomína odsek 28 písm. e) prvého globálneho hodnotenia prijatého na konferencii COP 28;</w:t>
      </w:r>
    </w:p>
    <w:p w14:paraId="4F597B99" w14:textId="77777777" w:rsidR="00A27977" w:rsidRPr="008334AD" w:rsidRDefault="00A27977" w:rsidP="00A27977">
      <w:pPr>
        <w:pStyle w:val="NormalHanging12a"/>
      </w:pPr>
      <w:r w:rsidRPr="008334AD">
        <w:t>8.</w:t>
      </w:r>
      <w:r w:rsidRPr="008334AD">
        <w:tab/>
        <w:t xml:space="preserve">pripomína, že krajiny sa v prvom globálnom hodnotení zaviazali urýchliť úsilie o postupné ukončenie </w:t>
      </w:r>
      <w:proofErr w:type="spellStart"/>
      <w:r w:rsidRPr="008334AD">
        <w:t>neekologizovanej</w:t>
      </w:r>
      <w:proofErr w:type="spellEnd"/>
      <w:r w:rsidRPr="008334AD">
        <w:t xml:space="preserve"> výroby energie z uhlia a vyradenie neefektívnych dotácií na fosílne palivá, a aby sa v rámci energetických systémov spravodlivo, usporiadane a primerane odklonili od fosílnych palív s cieľom urýchliť opatrenia v tomto kritickom desaťročí a dosiahnuť tak nulovú bilanciu do roku 2050 v súlade s vedeckými poznatkami; vyzýva všetky zmluvné strany, aby zintenzívnili úsilie v tomto smere a zapojili sa do vypracovania zmluvy o nešírení fosílnych palív; očakáva, že COP 30 posilní záväzok prechodu od fosílnych palív, a trvá na naliehavej potrebe ambicióznych a časovo ohraničených plánov na postupné ukončenie dotácií na fosílne palivá a ich výroby;</w:t>
      </w:r>
    </w:p>
    <w:p w14:paraId="36E77021" w14:textId="77777777" w:rsidR="00A27977" w:rsidRPr="008334AD" w:rsidRDefault="00A27977" w:rsidP="00A27977">
      <w:pPr>
        <w:pStyle w:val="NormalHanging12a"/>
      </w:pPr>
      <w:r w:rsidRPr="008334AD">
        <w:t>9.</w:t>
      </w:r>
      <w:r w:rsidRPr="008334AD">
        <w:tab/>
        <w:t xml:space="preserve">konštatuje, že rok 2025 je pre krajiny konečným termínom na predloženie vnútroštátne stanovených príspevkov do roku 2035, ktoré sú nevyhnutné na zvýšenie ambícií v oblasti klímy, sledovanie pokroku a zvyšovanie odolnosti; považuje za nevyhnutné, aby EÚ išla príkladom, a vyzýva ju a všetky zmluvné strany, ktoré tak ešte neurobili, aby reagovali na globálne hodnotenie COP 28 a predložili absolútne, a nie relatívne, ciele znižovania emisií v celom hospodárstve, ktoré sa budú vzťahovať na všetky skleníkové plyny, sektory a kategórie v súlade s cieľom 1,5 °C čo najskôr a v dostatočnom predstihu pred konferenciou COP 30; vyjadruje poľutovanie nad tým, že väčšina zmluvných strán nedodržala lehotu na predloženie aktualizovaných NDC, a zdôrazňuje, že v záujme dobrého fungovania </w:t>
      </w:r>
      <w:proofErr w:type="spellStart"/>
      <w:r w:rsidRPr="008334AD">
        <w:t>multilateralizmu</w:t>
      </w:r>
      <w:proofErr w:type="spellEnd"/>
      <w:r w:rsidRPr="008334AD">
        <w:t xml:space="preserve"> v politike v oblasti klímy je dôležité dodržiavať všetky procesy UNFCCC a lehoty na predloženie;</w:t>
      </w:r>
    </w:p>
    <w:p w14:paraId="67C569C4" w14:textId="77777777" w:rsidR="00A27977" w:rsidRPr="008334AD" w:rsidRDefault="00A27977" w:rsidP="00A27977">
      <w:pPr>
        <w:pStyle w:val="NormalHanging12a"/>
        <w:rPr>
          <w:bCs/>
          <w:iCs/>
        </w:rPr>
      </w:pPr>
      <w:r w:rsidRPr="008334AD">
        <w:t>10.</w:t>
      </w:r>
      <w:r w:rsidRPr="008334AD">
        <w:tab/>
        <w:t>zdôrazňuje význam tohto podrobného a transparentného podávania správ, v ktorých sa posudzuje pokrok v oblasti vnútroštátne stanovených príspevkov;</w:t>
      </w:r>
    </w:p>
    <w:p w14:paraId="1B7784DC" w14:textId="77777777" w:rsidR="00A27977" w:rsidRPr="008334AD" w:rsidRDefault="00A27977" w:rsidP="00A27977">
      <w:pPr>
        <w:pStyle w:val="NormalHanging12a"/>
      </w:pPr>
      <w:r w:rsidRPr="008334AD">
        <w:lastRenderedPageBreak/>
        <w:t>11.</w:t>
      </w:r>
      <w:r w:rsidRPr="008334AD">
        <w:tab/>
        <w:t xml:space="preserve">berie na vedomie pokrok pri vykonávaní článku 6 Parížskej dohody a zdôrazňuje, že využívanie článku 6 by malo vždy viesť k zaručenému čistému prínosu pre klímu, a preto vyzýva všetky zmluvné strany, aby zabezpečili, že projekty započítané k článku 6 nebudú brániť domácemu znižovaniu emisií; naliehavo vyzýva dozorný orgán a všetky zmluvné strany, aby dodržiavali Glasgowskú dohodu, a teda zabezpečili, aby všetky schválené činnosti v rámci mechanizmu čistého rozvoja boli v súlade s metodikami článku 6.4 najneskôr do konca roku 2025; vyzýva Komisiu, aby presadzovala a podporovala vytvorenie pevného medzinárodného rámca riadenia pre medzinárodne prenášané výsledky zmierňovania na medzinárodnej úrovni, ktorý by zahŕňal záväzné normy týkajúce sa medzinárodných uhlíkových kreditov s cieľom zaručiť environmentálnu, klimatickú a sociálnu integritu, spravodlivé rozdelenie prínosov zmierňovania, jasné pravidlá vykonávania na zabezpečenie transparentnosti, </w:t>
      </w:r>
      <w:proofErr w:type="spellStart"/>
      <w:r w:rsidRPr="008334AD">
        <w:t>dodatočnosti</w:t>
      </w:r>
      <w:proofErr w:type="spellEnd"/>
      <w:r w:rsidRPr="008334AD">
        <w:t xml:space="preserve"> a trvalosti, prísne povinnosti podávania správ a účinné mechanizmy dohľadu nad všetkými projektmi podľa článku 6, aby sa odstránilo riziko dvojitého započítavania a zabezpečila environmentálna integrita systému; žiada jasné pravidlá o rozdelení zodpovednosti za riziká spojené s monitorovaním a zvratom, aby sa zabránilo neprimeranému zaťaženiu hostiteľských strán; zdôrazňuje, že je potrebné, aby iniciatívy súkromného trhu s uhlíkom uplatňovali najvyššie štandardy integrity;</w:t>
      </w:r>
    </w:p>
    <w:p w14:paraId="53309AAD" w14:textId="77777777" w:rsidR="00A27977" w:rsidRPr="008334AD" w:rsidRDefault="00A27977" w:rsidP="00A27977">
      <w:pPr>
        <w:pStyle w:val="NormalHanging12a"/>
      </w:pPr>
      <w:r w:rsidRPr="008334AD">
        <w:t>12.</w:t>
      </w:r>
      <w:r w:rsidRPr="008334AD">
        <w:tab/>
        <w:t>vyzýva všetky zmluvné strany, aby na konferencii COP 30 dosiahli významný pokrok a zabezpečili, aby sa druhé globálne hodnotenie, ktoré sa začne v roku 2026, riadilo najlepšími dostupnými vedeckými poznatkami a integrovalo prierezové otázky, ako je rodová spravodlivosť, ľudské práva a ochrana ekosystémov;</w:t>
      </w:r>
    </w:p>
    <w:p w14:paraId="0AAAC5E1" w14:textId="77777777" w:rsidR="00A27977" w:rsidRPr="008334AD" w:rsidRDefault="00A27977" w:rsidP="00A27977">
      <w:pPr>
        <w:pStyle w:val="NormalHanging12a"/>
        <w:rPr>
          <w:b/>
          <w:i/>
          <w:iCs/>
        </w:rPr>
      </w:pPr>
      <w:r w:rsidRPr="008334AD">
        <w:rPr>
          <w:b/>
          <w:i/>
        </w:rPr>
        <w:t>Medzinárodné financovanie opatrení v oblasti zmeny klímy a udržateľné financovanie</w:t>
      </w:r>
    </w:p>
    <w:p w14:paraId="5475F2D9" w14:textId="77777777" w:rsidR="00A27977" w:rsidRPr="008334AD" w:rsidRDefault="00A27977" w:rsidP="00A27977">
      <w:pPr>
        <w:pStyle w:val="NormalHanging12a"/>
      </w:pPr>
      <w:r w:rsidRPr="008334AD">
        <w:t>13.</w:t>
      </w:r>
      <w:r w:rsidRPr="008334AD">
        <w:tab/>
        <w:t>zdôrazňuje, že zabezpečenie primeraného financovania opatrení v oblasti zmeny klímy je kľúčové na dosiahnutie cieľov Parížskej dohody; pripomína, že mnohé vnútroštátne stanovené príspevky rozvojových krajín sú podmienené medzinárodným financovaním opatrení v oblasti zmeny klímy; zdôrazňuje, že podľa rôznych správ OSN je celosvetový rozdiel medzi potrebným a súčasne poskytovaným financovaním opatrení v oblasti zmeny klímy veľký a stále sa zväčšuje a že tento rastúci rozdiel vyplýva z viacerých faktorov, z ktorých všetky by sa mali primerane riešiť;</w:t>
      </w:r>
    </w:p>
    <w:p w14:paraId="4BF24BD1" w14:textId="77777777" w:rsidR="00A27977" w:rsidRPr="008334AD" w:rsidRDefault="00A27977" w:rsidP="00A27977">
      <w:pPr>
        <w:pStyle w:val="NormalHanging12a"/>
      </w:pPr>
      <w:r w:rsidRPr="008334AD">
        <w:t>14.</w:t>
      </w:r>
      <w:r w:rsidRPr="008334AD">
        <w:tab/>
        <w:t>zdôrazňuje, že oneskorená mobilizácia financovania opatrení v oblasti zmeny klímy povedie k zvýšeniu nákladov, nárastu alternatívnych nákladov a zníženiu výnosov v oblasti klímy; konštatuje v tejto súvislosti, že podľa odhadov Medzinárodnej agentúry pre energiu môže byť na kompenzáciu každého dolára, ktorý nebude investovaný do čistej energie pred rokom 2030, následne potrebných štyri až päť dolárov;</w:t>
      </w:r>
    </w:p>
    <w:p w14:paraId="29537ABA" w14:textId="77777777" w:rsidR="00A27977" w:rsidRPr="008334AD" w:rsidRDefault="00A27977" w:rsidP="00A27977">
      <w:pPr>
        <w:pStyle w:val="NormalHanging12a"/>
      </w:pPr>
      <w:r w:rsidRPr="008334AD">
        <w:t>15.</w:t>
      </w:r>
      <w:r w:rsidRPr="008334AD">
        <w:tab/>
        <w:t>zdôrazňuje, že adaptácia je nedostatočne financovaná a že nový kolektívny kvantifikovaný cieľ nereaguje dostatočne na potreby financovania adaptácie; zdôrazňuje skutočnosť, že hoci sú potrebné všetky zdroje financovania – verejné aj súkromné –, medzinárodné verejné financie sú potrebné najmä na uspokojenie potrieb adaptácie a riešenie strát a škôd;</w:t>
      </w:r>
    </w:p>
    <w:p w14:paraId="0297F755" w14:textId="77777777" w:rsidR="00A27977" w:rsidRPr="008334AD" w:rsidRDefault="00A27977" w:rsidP="00A27977">
      <w:pPr>
        <w:pStyle w:val="NormalHanging12a"/>
      </w:pPr>
      <w:r w:rsidRPr="008334AD">
        <w:t>16.</w:t>
      </w:r>
      <w:r w:rsidRPr="008334AD">
        <w:tab/>
        <w:t xml:space="preserve">konštatuje, že EÚ a jej členské štáty poskytujú približne tretinu celosvetového verejného financovania opatrení v oblasti klímy, a tým sú celosvetovo najväčšími poskytovateľmi, pričom v roku 2023 bolo poskytnutých 28,6 miliardy EUR z verejných zdrojov a mobilizovalo sa aj 7,2 miliardy EUR vo forme súkromných finančných prostriedkov; opakovane zdôrazňuje, že rozpočty EÚ a vnútroštátne rozpočty by sa mali upraviť tak, aby spĺňali dohodnutý nový kolektívny kvantifikovaný cieľ, aby EÚ </w:t>
      </w:r>
      <w:r w:rsidRPr="008334AD">
        <w:lastRenderedPageBreak/>
        <w:t>poskytla svoj spravodlivý podiel na medzinárodnom financovaní opatrení v oblasti zmeny klímy, a to aj prostredníctvom mobilizácie súkromného financovania opatrení v oblasti zmeny klímy; domnieva sa, že nový kolektívny kvantifikovaný cieľ predstavuje dolnú hranicu mobilizácie financovania opatrení v oblasti zmeny klímy;</w:t>
      </w:r>
    </w:p>
    <w:p w14:paraId="1AF82F7A" w14:textId="77777777" w:rsidR="00A27977" w:rsidRPr="008334AD" w:rsidRDefault="00A27977" w:rsidP="00A27977">
      <w:pPr>
        <w:pStyle w:val="NormalHanging12a"/>
      </w:pPr>
      <w:r w:rsidRPr="008334AD">
        <w:t>17.</w:t>
      </w:r>
      <w:r w:rsidRPr="008334AD">
        <w:tab/>
        <w:t>uznáva, že EÚ zohrala významnú úlohu pri sprostredkovaní dohody o dosiahnutí konsenzu týkajúceho sa nového kolektívneho kvantifikovaného cieľa; vyzýva všetky zmluvné strany, aby prispeli svojím spravodlivým dielom k plneniu nového kolektívneho kvantifikovaného cieľa, ktorý by mal zahŕňať čiastkové ciele v oblasti financovania zmierňovania a adaptácie a v oblasti strát a škôd; vyzýva EÚ a jej členské štáty, aby prostredníctvom špecializovaného a predvídateľného mechanizmu verejného financovania EÚ zvýšili nové a dodatočné financovanie opatrení v oblasti zmeny klímy, ktoré by bolo v súlade s dohodnutým novým kolektívnym kvantifikovaným cieľom; pripomína, že na to, aby sa dosiahli potrebné globálne úrovne financovania opatrení v oblasti zmeny klímy, je potrebná širšia základňa prispievateľov, ktorá bude odrážať vyvíjajúce sa finančné možnosti zmluvných strán; očakáva, že krajiny s vyššími strednými príjmami a vysokými emisiami prispejú svojím spravodlivým podielom a zvýšia svoje príspevky viac ako v súčasnosti; vyzýva všetky zmluvné strany, aby určili nové a inovatívne zdroje verejného a súkromného financovania; vyzýva zmluvné strany, aby pri financovaní nového kolektívneho kvantifikovaného cieľa uprednostňovali nástroje a opatrenia, ktoré sú založené na grantoch a nevyvolávajú zadlženie, aby sa zabezpečilo, že prijímajúce krajiny budú schopné realizovať potrebné opatrenia na zmiernenie zmeny klímy a adaptáciu na ňu bez toho, aby sa zvýšilo ich dlhové zaťaženie; vyjadruje svoje znepokojenie nad tým, že nový kolektívny kvantifikovaný cieľ sa plní zmenou kategorizácie iných fondov; poukazuje aj na obavy týkajúce sa nejasností v súvislosti s druhmi financovania, ktoré prispievajú k novému kolektívnemu kvantifikovanému cieľu, najmä na otázku dvojitého započítavania;</w:t>
      </w:r>
    </w:p>
    <w:p w14:paraId="3E422C9F" w14:textId="77777777" w:rsidR="00A27977" w:rsidRPr="008334AD" w:rsidRDefault="00A27977" w:rsidP="00A27977">
      <w:pPr>
        <w:pStyle w:val="NormalHanging12a"/>
      </w:pPr>
      <w:r w:rsidRPr="008334AD">
        <w:t>18.</w:t>
      </w:r>
      <w:r w:rsidRPr="008334AD">
        <w:tab/>
        <w:t xml:space="preserve">vyzýva všetkých aktérov, aby zabezpečili, že plán z Baku až po </w:t>
      </w:r>
      <w:proofErr w:type="spellStart"/>
      <w:r w:rsidRPr="008334AD">
        <w:t>Belém</w:t>
      </w:r>
      <w:proofErr w:type="spellEnd"/>
      <w:r w:rsidRPr="008334AD">
        <w:t xml:space="preserve"> poskytne jasný a realizovateľný plán na mobilizáciu príslušných zdrojov; vyzýva všetky zmluvné strany, aby podporovali silnú spoluprácu medzi verejným a súkromným sektorom a mobilizovali súkromné investície vo veľkom rozsahu posilnením regulačných rámcov pre zodpovedné a udržateľné investície; konštatuje, že najväčší podiel požadovaných investícií do transformácie hospodárstva v súvislosti so zmenou klímy na celom svete budú musieť pokryť súkromné investície; zdôrazňuje, že je potrebné, aby plán zahŕňal spoľahlivý a nezávislý mechanizmus zodpovednosti, ktorý zabezpečí transparentnosť a účinné sledovanie pokroku;</w:t>
      </w:r>
    </w:p>
    <w:p w14:paraId="0BB69D51" w14:textId="77777777" w:rsidR="00A27977" w:rsidRPr="008334AD" w:rsidRDefault="00A27977" w:rsidP="00A27977">
      <w:pPr>
        <w:pStyle w:val="NormalHanging12a"/>
      </w:pPr>
      <w:r w:rsidRPr="008334AD">
        <w:t>19.</w:t>
      </w:r>
      <w:r w:rsidRPr="008334AD">
        <w:tab/>
        <w:t>konštatuje, že mnoho krajín ohrozených zmenou klímy vrátane niekoľkých najmenej rozvinutých krajín je v dlhovej tiesni alebo im hrozí značné riziko dlhovej tiesne, a preto by sa financovanie opatrení v oblasti zmeny klímy malo prideľovať tak, aby sa nezhoršilo ich dlhové zaťaženie, pričom by sa malo uprednostniť financovanie založené na grantoch; vyzýva Komisiu a členské štáty, aby posúdili svoje možnosti, ako prispieť k zmierneniu tejto dlhovej tiesne, a aby bezodkladne prijali príslušné opatrenia;</w:t>
      </w:r>
    </w:p>
    <w:p w14:paraId="77BDDFD3" w14:textId="77777777" w:rsidR="00A27977" w:rsidRPr="008334AD" w:rsidRDefault="00A27977" w:rsidP="00A27977">
      <w:pPr>
        <w:pStyle w:val="NormalHanging12a"/>
      </w:pPr>
      <w:r w:rsidRPr="008334AD">
        <w:t>20.</w:t>
      </w:r>
      <w:r w:rsidRPr="008334AD">
        <w:tab/>
        <w:t>zdôrazňuje, že v orgánoch OSN panuje zhoda v tom, že financovanie opatrení v oblasti zmeny klímy nemožno spravodlivo rozšíriť, pokiaľ sa nevyrieši dlhová kríza; v tejto súvislosti zdôrazňuje význam nástrojov na odpustenie dlhu;</w:t>
      </w:r>
    </w:p>
    <w:p w14:paraId="4A4092B8" w14:textId="77777777" w:rsidR="00A27977" w:rsidRPr="008334AD" w:rsidRDefault="00A27977" w:rsidP="00A27977">
      <w:pPr>
        <w:pStyle w:val="NormalHanging12a"/>
        <w:rPr>
          <w:rFonts w:eastAsia="Calibri"/>
        </w:rPr>
      </w:pPr>
      <w:r w:rsidRPr="008334AD">
        <w:t>21.</w:t>
      </w:r>
      <w:r w:rsidRPr="008334AD">
        <w:tab/>
        <w:t xml:space="preserve">vyzýva Komisiu, členské štáty a medzinárodných partnerov, aby začlenili </w:t>
      </w:r>
      <w:proofErr w:type="spellStart"/>
      <w:r w:rsidRPr="008334AD">
        <w:t>mikrofinancovanie</w:t>
      </w:r>
      <w:proofErr w:type="spellEnd"/>
      <w:r w:rsidRPr="008334AD">
        <w:t xml:space="preserve"> opatrení v oblasti zmeny klímy ako základnú zložku stratégií adaptácie na zmenu klímy a jej zmierňovania tým, že podporia miestne </w:t>
      </w:r>
      <w:proofErr w:type="spellStart"/>
      <w:r w:rsidRPr="008334AD">
        <w:t>mikrofinančné</w:t>
      </w:r>
      <w:proofErr w:type="spellEnd"/>
      <w:r w:rsidRPr="008334AD">
        <w:t xml:space="preserve"> </w:t>
      </w:r>
      <w:r w:rsidRPr="008334AD">
        <w:lastRenderedPageBreak/>
        <w:t xml:space="preserve">inštitúcie pri vývoji a rozširovaní finančných produktov pre zraniteľné skupiny obyvateľstva vrátane </w:t>
      </w:r>
      <w:proofErr w:type="spellStart"/>
      <w:r w:rsidRPr="008334AD">
        <w:t>mikroúverov</w:t>
      </w:r>
      <w:proofErr w:type="spellEnd"/>
      <w:r w:rsidRPr="008334AD">
        <w:t xml:space="preserve"> na zelené technológie, </w:t>
      </w:r>
      <w:proofErr w:type="spellStart"/>
      <w:r w:rsidRPr="008334AD">
        <w:t>mikropoistenia</w:t>
      </w:r>
      <w:proofErr w:type="spellEnd"/>
      <w:r w:rsidRPr="008334AD">
        <w:t xml:space="preserve"> proti klimatickým rizikám a </w:t>
      </w:r>
      <w:proofErr w:type="spellStart"/>
      <w:r w:rsidRPr="008334AD">
        <w:t>mikroúspor</w:t>
      </w:r>
      <w:proofErr w:type="spellEnd"/>
      <w:r w:rsidRPr="008334AD">
        <w:t xml:space="preserve"> na zvýšenie odolnosti spoločenstiev s osobitným dôrazom na ženy, mladých ľudí a vidiecke spoločenstvá;</w:t>
      </w:r>
    </w:p>
    <w:p w14:paraId="2A497A6E" w14:textId="77777777" w:rsidR="00A27977" w:rsidRPr="008334AD" w:rsidRDefault="00A27977" w:rsidP="00A27977">
      <w:pPr>
        <w:pStyle w:val="NormalHanging12a"/>
        <w:rPr>
          <w:rFonts w:eastAsia="Calibri"/>
        </w:rPr>
      </w:pPr>
      <w:r w:rsidRPr="008334AD">
        <w:t>22.</w:t>
      </w:r>
      <w:r w:rsidRPr="008334AD">
        <w:tab/>
        <w:t>zdôrazňuje, že je naliehavo potrebné zjednodušiť, urýchliť a prispôsobiť postupy financovania opatrení v oblasti zmeny klímy realite rozvojových krajín, a to najmä vytvorením jednotných prístupových miest, harmonizáciou kritérií na podávanie žiadostí a poskytovaním technickej pomoci pri príprave projektov, aby sa zabezpečila dostupnosť, rýchlosť a účinnosť financovania opatrení v oblasti zmeny klímy pre miestne organizácie a spoločenstvá, ktoré sú najviac postihnuté zmenou klímy;</w:t>
      </w:r>
    </w:p>
    <w:p w14:paraId="5FEAA2C7" w14:textId="77777777" w:rsidR="00A27977" w:rsidRPr="008334AD" w:rsidRDefault="00A27977" w:rsidP="00A27977">
      <w:pPr>
        <w:pStyle w:val="NormalHanging12a"/>
      </w:pPr>
      <w:r w:rsidRPr="008334AD">
        <w:t>23.</w:t>
      </w:r>
      <w:r w:rsidRPr="008334AD">
        <w:tab/>
        <w:t>považuje za nevyhnutné dosiahnuť pokrok na konferencii COP 30 pri uplatňovaní článku 2 ods. 1 písm. c) Parížskej dohody a zaradiť ho medzi stály bod programu konferencie COP; vyzýva EÚ, aby sa zapojila do medzinárodných iniciatív, ako je Bridgetownská iniciatíva 3.0; vyzýva na rýchlejšiu reformu medzinárodnej finančnej štruktúry a vyzýva všetky hlavné medzinárodné finančné inštitúcie a multilaterálne rozvojové banky, aby sa zhostili svojej úlohy klimatických bánk a zosúladili svoje portfóliá a úverové politiky s Parížskou dohodou tak, aby boli dlhodobo finančne udržateľné; vyzýva takisto domáce a medzinárodné finančné systémy, aby lepšie riešili výzvy spojené so zmenou klímy odstraňovaním prekážok prístupu k financovaniu opatrení v oblasti zmeny klímy pre čisté technológie a odklonením verejných a súkromných finančných tokov od činností náročných na emisie;</w:t>
      </w:r>
    </w:p>
    <w:p w14:paraId="47739DCF" w14:textId="77777777" w:rsidR="00A27977" w:rsidRPr="008334AD" w:rsidRDefault="00A27977" w:rsidP="00A27977">
      <w:pPr>
        <w:pStyle w:val="NormalHanging12a"/>
      </w:pPr>
      <w:r w:rsidRPr="008334AD">
        <w:t>24.</w:t>
      </w:r>
      <w:r w:rsidRPr="008334AD">
        <w:tab/>
        <w:t>domnieva sa, že Európska investičná banka (EIB) by mala slúžiť ako klimatická banka Únie, a preto berie na vedomie jej plán klimatickej banky a aktualizovanú úverovú politiku v oblasti energetiky, ako aj dodatočné úsilie Európskeho investičného fondu ako dôležité kroky pri presadzovaní investícií do oblasti klímy.</w:t>
      </w:r>
    </w:p>
    <w:p w14:paraId="3979EF28" w14:textId="77777777" w:rsidR="00A27977" w:rsidRPr="008334AD" w:rsidRDefault="00A27977" w:rsidP="00A27977">
      <w:pPr>
        <w:pStyle w:val="NormalHanging12a"/>
        <w:rPr>
          <w:b/>
          <w:bCs/>
          <w:i/>
        </w:rPr>
      </w:pPr>
      <w:r w:rsidRPr="008334AD">
        <w:rPr>
          <w:b/>
          <w:i/>
        </w:rPr>
        <w:t>Adaptácia, straty a škody a spravodlivá transformácia</w:t>
      </w:r>
    </w:p>
    <w:p w14:paraId="15D8AD06" w14:textId="77777777" w:rsidR="00A27977" w:rsidRPr="008334AD" w:rsidRDefault="00A27977" w:rsidP="00A27977">
      <w:pPr>
        <w:pStyle w:val="NormalHanging12a"/>
      </w:pPr>
      <w:r w:rsidRPr="008334AD">
        <w:t>25.</w:t>
      </w:r>
      <w:r w:rsidRPr="008334AD">
        <w:tab/>
        <w:t>zdôrazňuje potrebu zintenzívniť adaptáciu na zmenu klímy, odolnosť a pripravenosť v rámci EÚ aj na celom svete s cieľom minimalizovať negatívne účinky zmeny klímy a straty biodiverzity a komplexne sa touto otázkou zaoberať na konferenciách zmluvných strán, pričom zdôrazňuje dôležitú úlohu miestnych a regionálnych orgánov pri navrhovaní a vykonávaní týchto opatrení; uznáva význam celosvetovej spolupráce a výmeny know-how, najlepších dostupných vedeckých poznatkov a najlepších postupov v oblasti adaptácie na zmenu klímy; zdôrazňuje, že náklady na adaptáciu sa zvýšia v prípade nečinnosti a oneskorených opatrení, a to tak v oblasti zmierňovania, ako aj adaptácie;</w:t>
      </w:r>
    </w:p>
    <w:p w14:paraId="34726A57" w14:textId="77777777" w:rsidR="00A27977" w:rsidRPr="008334AD" w:rsidRDefault="00A27977" w:rsidP="00A27977">
      <w:pPr>
        <w:pStyle w:val="NormalHanging12a"/>
      </w:pPr>
      <w:r w:rsidRPr="008334AD">
        <w:t>26.</w:t>
      </w:r>
      <w:r w:rsidRPr="008334AD">
        <w:tab/>
        <w:t>pripomína svoje hlboké znepokojenie nad rastúcou intenzitou a frekvenciou extrémnych poveternostných javov v EÚ a na celom svete vrátane lesných požiarov, sucha, vĺn horúčav a povodní, ako aj nad ich vplyvom na ľudské zdravie a rastúcim počtom obetí na životoch; konštatuje, že vo všetkých scenároch IPCC sa očakáva, že zvyšovanie hladiny morí sa v priebehu tohto storočia zrýchli, čo spôsobí finančné náklady a stratu pobrežných oblastí na celom svete;</w:t>
      </w:r>
    </w:p>
    <w:p w14:paraId="2466570F" w14:textId="77777777" w:rsidR="00A27977" w:rsidRPr="008334AD" w:rsidRDefault="00A27977" w:rsidP="00A27977">
      <w:pPr>
        <w:pStyle w:val="NormalHanging12a"/>
      </w:pPr>
      <w:r w:rsidRPr="008334AD">
        <w:t>27.</w:t>
      </w:r>
      <w:r w:rsidRPr="008334AD">
        <w:tab/>
        <w:t xml:space="preserve">zdôrazňuje, že na konferencii COP 30 je potrebné zabezpečiť fungovanie rámca pre globálny cieľ v oblasti adaptácie, a to aj prostredníctvom prijatia účinných a zvládnuteľných ukazovateľov a spoľahlivých, komplexných systémov sledovania a riešenia spôsobov vykonávania, aby sa umožnilo účinné monitorovanie pokroku pri </w:t>
      </w:r>
      <w:r w:rsidRPr="008334AD">
        <w:lastRenderedPageBreak/>
        <w:t>dosahovaní cieľov týkajúcich sa adaptácie stanovených na konferencii COP 28; poukazuje na to, že zatiaľ čo financovanie a vykonávanie opatrení na zmiernenie zmeny klímy pokročilo, adaptačné úsilie naďalej zaostáva a rozdiely vo financovaní aj v konkrétnych opatreniach sa zväčšujú;</w:t>
      </w:r>
    </w:p>
    <w:p w14:paraId="0526B0EC" w14:textId="77777777" w:rsidR="00A27977" w:rsidRPr="008334AD" w:rsidRDefault="00A27977" w:rsidP="00A27977">
      <w:pPr>
        <w:pStyle w:val="NormalHanging12a"/>
      </w:pPr>
      <w:r w:rsidRPr="008334AD">
        <w:t>28.</w:t>
      </w:r>
      <w:r w:rsidRPr="008334AD">
        <w:tab/>
        <w:t xml:space="preserve">vyzdvihuje význam národných adaptačných plánov a zdôrazňuje potrebu ich zosúladenia s plánom z Baku až po </w:t>
      </w:r>
      <w:proofErr w:type="spellStart"/>
      <w:r w:rsidRPr="008334AD">
        <w:t>Belém</w:t>
      </w:r>
      <w:proofErr w:type="spellEnd"/>
      <w:r w:rsidRPr="008334AD">
        <w:t>; vyzýva zmluvné strany, ktoré tak ešte neurobili, aby čo najskôr zaviedli svoje národné adaptačné plány, a všetky zmluvné strany, aby pokročili v ich vykonávaní do roku 2030 a zamerali sa na riešenia založené na prírode; vyzýva všetky zmluvné strany, aby do svojich plánov začlenili prierezové prvky, ako je rodová rovnosť a ľudské práva;</w:t>
      </w:r>
    </w:p>
    <w:p w14:paraId="385DF260" w14:textId="77777777" w:rsidR="00A27977" w:rsidRPr="008334AD" w:rsidRDefault="00A27977" w:rsidP="00A27977">
      <w:pPr>
        <w:pStyle w:val="NormalHanging12a"/>
        <w:rPr>
          <w:rFonts w:eastAsia="Calibri"/>
        </w:rPr>
      </w:pPr>
      <w:r w:rsidRPr="008334AD">
        <w:t>29.</w:t>
      </w:r>
      <w:r w:rsidRPr="008334AD">
        <w:tab/>
        <w:t>vyzýva na zvýšenie investícií do systémov včasného varovania a systémov riadenia rizík v zraniteľných regiónoch, pričom zdôrazňuje ich zásadnú úlohu pri ochrane životov, zabezpečení živobytia a posilnení odolnosti voči klimatickým rizikám;</w:t>
      </w:r>
    </w:p>
    <w:p w14:paraId="07281FE6" w14:textId="77777777" w:rsidR="00A27977" w:rsidRPr="008334AD" w:rsidRDefault="00A27977" w:rsidP="00A27977">
      <w:pPr>
        <w:pStyle w:val="NormalHanging12a"/>
        <w:rPr>
          <w:rFonts w:eastAsia="Calibri"/>
        </w:rPr>
      </w:pPr>
      <w:r w:rsidRPr="008334AD">
        <w:t>30.</w:t>
      </w:r>
      <w:r w:rsidRPr="008334AD">
        <w:tab/>
        <w:t>nabáda k väčšej podpore získavania, výmeny a analýzy údajov o klíme a rizikách katastrof, ako aj k zavádzaniu vhodných technológií na tieto činnosti s cieľom zlepšiť dostupnosť a kvalitu informácií pre ohrozené skupiny obyvateľstva; odporúča, aby všetky iniciatívy včasného varovania podporované EÚ vyčlenili osobitné zdroje na priebežnú údržbu a aktualizáciu systému, najmä vzhľadom na globálne výzvy v oblasti vedecky podloženého pozorovania a postupov;</w:t>
      </w:r>
    </w:p>
    <w:p w14:paraId="295C77EC" w14:textId="77777777" w:rsidR="00A27977" w:rsidRPr="008334AD" w:rsidRDefault="00A27977" w:rsidP="00A27977">
      <w:pPr>
        <w:pStyle w:val="NormalHanging12a"/>
      </w:pPr>
      <w:r w:rsidRPr="008334AD">
        <w:t>31.</w:t>
      </w:r>
      <w:r w:rsidRPr="008334AD">
        <w:tab/>
        <w:t>víta rozhodnutie prijaté na konferencii COP 28 zriadiť Fond na krytie strát a škôd a očakáva ďalší pokrok v jeho vykonávaní a financovaní; vyzýva všetky zmluvné strany, aby v tejto súvislosti zabezpečili transparentné pravidlá; zdôrazňuje, že je dôležité uznať osobitný charakter strát a škôd tým, že sa budú posudzovať oddelene od adaptácie, a to aj v rámci globálneho hodnotenia;</w:t>
      </w:r>
    </w:p>
    <w:p w14:paraId="5B716981" w14:textId="77777777" w:rsidR="00A27977" w:rsidRPr="008334AD" w:rsidRDefault="00A27977" w:rsidP="00A27977">
      <w:pPr>
        <w:pStyle w:val="NormalHanging12a"/>
      </w:pPr>
      <w:r w:rsidRPr="008334AD">
        <w:t>32.</w:t>
      </w:r>
      <w:r w:rsidRPr="008334AD">
        <w:tab/>
        <w:t>vyzýva všetky zmluvné strany, aby zabezpečili transparentné prísľuby a predvídateľné mechanizmy realizácie krytia strát a škôd vrátane predčasného vyplatenia prostriedkov z Fondu na krytie strát a škôd; vyzýva všetky zmluvné strany, aby zabezpečili, že zdroje smerujúce do fondu budú dodatočné k existujúcim príspevkom na financovanie opatrení v oblasti zmeny klímy; je pevne presvedčený, že financovanie strát a škôd musí uprednostniť granty a musí oficiálnu rozvojovú pomoc dopĺňať a odlišovať sa od nej;</w:t>
      </w:r>
    </w:p>
    <w:p w14:paraId="28E972B9" w14:textId="77777777" w:rsidR="00A27977" w:rsidRPr="008334AD" w:rsidRDefault="00A27977" w:rsidP="00A27977">
      <w:pPr>
        <w:pStyle w:val="NormalHanging12a"/>
      </w:pPr>
      <w:r w:rsidRPr="008334AD">
        <w:t>33.</w:t>
      </w:r>
      <w:r w:rsidRPr="008334AD">
        <w:tab/>
        <w:t>opakuje svoju výzvu, aby otázka strát a škôd bola stálym bodom programu zasadnutí COP;</w:t>
      </w:r>
    </w:p>
    <w:p w14:paraId="1EE2FC86" w14:textId="77777777" w:rsidR="00A27977" w:rsidRPr="008334AD" w:rsidRDefault="00A27977" w:rsidP="00A27977">
      <w:pPr>
        <w:pStyle w:val="NormalHanging12a"/>
      </w:pPr>
      <w:r w:rsidRPr="008334AD">
        <w:t>34.</w:t>
      </w:r>
      <w:r w:rsidRPr="008334AD">
        <w:tab/>
        <w:t>vyzýva všetky zmluvné strany, aby pokročili v pracovnom programe spravodlivej transformácie podporou konkrétnych opatrení na riešenie nerovností, ktoré sa v dôsledku zmeny klímy ešte zhoršujú; domnieva sa, že pracovný program by mal zahŕňať ciele vytvárania dôstojnej práce a spravodlivej transformácie pre všetkých, a vyzýva všetky strany, aby podporovali sociálny dialóg so zamestnávateľskými a zamestnaneckými organizáciami a zapojenie zainteresovaných strán ako základ na vytvorenie silného sociálneho konsenzu; vyzýva všetky zmluvné strany, aby konštruktívne pracovali na dosiahnutí dohody o ďalšom plnení pracovného programu, pričom uznáva, že prostriedky na jeho realizáciu musia byť poskytnuté bezodkladne;</w:t>
      </w:r>
    </w:p>
    <w:p w14:paraId="04FE67F1" w14:textId="77777777" w:rsidR="00A27977" w:rsidRPr="008334AD" w:rsidRDefault="00A27977" w:rsidP="00A27977">
      <w:pPr>
        <w:pStyle w:val="NormalHanging12a"/>
      </w:pPr>
      <w:r w:rsidRPr="008334AD">
        <w:t>35.</w:t>
      </w:r>
      <w:r w:rsidRPr="008334AD">
        <w:tab/>
        <w:t xml:space="preserve">zdôrazňuje, že zmena klímy ohrozuje základné práva a blaho detí a mladých ľudí; zdôrazňuje potrebu začleniť práva detí a medzigeneračnú spravodlivosť do všetkých aspektov politiky v oblasti klímy vrátane adaptácie, zmiernenia, strát a škôd a </w:t>
      </w:r>
      <w:r w:rsidRPr="008334AD">
        <w:lastRenderedPageBreak/>
        <w:t>financovania opatrení v oblasti zmeny klímy;</w:t>
      </w:r>
    </w:p>
    <w:p w14:paraId="2EE63210" w14:textId="77777777" w:rsidR="00A27977" w:rsidRPr="008334AD" w:rsidRDefault="00A27977" w:rsidP="00A27977">
      <w:pPr>
        <w:pStyle w:val="NormalHanging12a"/>
        <w:rPr>
          <w:b/>
          <w:i/>
          <w:iCs/>
        </w:rPr>
      </w:pPr>
      <w:r w:rsidRPr="008334AD">
        <w:rPr>
          <w:b/>
          <w:i/>
        </w:rPr>
        <w:t>Politika EÚ v oblasti klímy zosúladená s Parížskou dohodou</w:t>
      </w:r>
    </w:p>
    <w:p w14:paraId="501B5B6A" w14:textId="77777777" w:rsidR="00A27977" w:rsidRPr="008334AD" w:rsidRDefault="00A27977" w:rsidP="00A27977">
      <w:pPr>
        <w:pStyle w:val="NormalHanging12a"/>
      </w:pPr>
      <w:r w:rsidRPr="008334AD">
        <w:t>36.</w:t>
      </w:r>
      <w:r w:rsidRPr="008334AD">
        <w:tab/>
        <w:t>zdôrazňuje, že ak sa budú súčasné právne predpisy EÚ v oblasti klímy vykonávať v plnej miere, čisté emisie skleníkových plynov EÚ sa do roku 2030 znížia približne o 57 % v porovnaní s úrovňami z roku 1990; konštatuje, že EÚ je v súčasnosti na ceste k zníženiu čistých emisií skleníkových plynov do roku 2030 približne len o 54 % v porovnaní s úrovňami z roku 1990, ak členské štáty budú v plnej miere realizovať existujúce a plánované vnútroštátne opatrenia a politiky EÚ</w:t>
      </w:r>
      <w:r w:rsidRPr="008334AD">
        <w:rPr>
          <w:vertAlign w:val="superscript"/>
        </w:rPr>
        <w:footnoteReference w:id="23"/>
      </w:r>
      <w:r w:rsidRPr="008334AD">
        <w:t>; vyzýva členské štáty, aby prijali potrebné opatrenia na odstránenie tohto nedostatku, a Komisiu, aby prijala ďalšie opatrenia na podporu členských štátov v tomto úsilí; zdôrazňuje, že je potrebné, aby politika EÚ v oblasti klímy naďalej stanovovala ambiciózne ciele v súlade s dohodnutými cieľmi a aby vo svojich opatreniach uprednostňovala nákladovú efektívnosť, konkurencieschopnosť európskeho hospodárstva, sociálne začlenenie a vysokú úroveň ochrany životného prostredia;</w:t>
      </w:r>
    </w:p>
    <w:p w14:paraId="448ED5E9" w14:textId="77777777" w:rsidR="00A27977" w:rsidRPr="008334AD" w:rsidRDefault="00A27977" w:rsidP="00A27977">
      <w:pPr>
        <w:pStyle w:val="NormalHanging12a"/>
      </w:pPr>
      <w:r w:rsidRPr="008334AD">
        <w:t>37.</w:t>
      </w:r>
      <w:r w:rsidRPr="008334AD">
        <w:tab/>
        <w:t>zdôrazňuje, že je dôležité dodržiavať termíny predkladania aktualizácií národných energetických a klimatických plánov (NECP), aby Komisia mohla uskutočniť riadny proces preskúmania; víta posúdenie Komisie týkajúce sa konečných národných energetických a klimatických plánov do roku 2030 členských štátov, ktoré ich predložili; naliehavo vyzýva Komisiu a členské štáty, aby rozhodným spôsobom odstránili rozdiel medzi národnými energetickými a klimatickými plánmi a záväznými cieľmi EÚ, a to aj prostredníctvom plánov vykonávania;</w:t>
      </w:r>
    </w:p>
    <w:p w14:paraId="36B134C5" w14:textId="77777777" w:rsidR="00A27977" w:rsidRPr="008334AD" w:rsidRDefault="00A27977" w:rsidP="00A27977">
      <w:pPr>
        <w:pStyle w:val="NormalHanging12a"/>
      </w:pPr>
      <w:r w:rsidRPr="008334AD">
        <w:t>38.</w:t>
      </w:r>
      <w:r w:rsidRPr="008334AD">
        <w:tab/>
        <w:t>zdôrazňuje potrebu prijať vedecky podložený cieľ EÚ v oblasti klímy do roku 2040 v súlade s európskym právnym predpisom v oblasti klímy</w:t>
      </w:r>
      <w:r w:rsidRPr="008334AD">
        <w:rPr>
          <w:vertAlign w:val="superscript"/>
        </w:rPr>
        <w:footnoteReference w:id="24"/>
      </w:r>
      <w:r w:rsidRPr="008334AD">
        <w:t>, s prihliadnutím na všetky kritériá uvedené v článku 4 ods. 5 tohto právneho predpisu, a v súlade so závermi prvého globálneho hodnotenia; pripomína odporúčania Európskej vedeckej poradnej rady pre zmeny klímy a berie na vedomie návrh Komisie týkajúci sa klimatického cieľa do roku 2040, ktorý sprevádzajú podporné politiky; okrem toho vyjadruje poľutovanie nad tým, že Rada nebola schopná dohodnúť sa na NDC na rok 2035 pred termínom 23. septembra 2025; naliehavo vyzýva Radu, aby sa čo najskôr dohodla na NDC, ktorý by bol na hornej hranici uvedeného rozsahu;</w:t>
      </w:r>
    </w:p>
    <w:p w14:paraId="47423D56" w14:textId="77777777" w:rsidR="00A27977" w:rsidRPr="008334AD" w:rsidRDefault="00A27977" w:rsidP="00A27977">
      <w:pPr>
        <w:pStyle w:val="NormalHanging12a"/>
      </w:pPr>
      <w:r w:rsidRPr="008334AD">
        <w:t>39.</w:t>
      </w:r>
      <w:r w:rsidRPr="008334AD">
        <w:tab/>
        <w:t>pripomína, že je potrebné, aby EÚ zostala lídrom v medzinárodných rokovaniach o klíme a v opatreniach v oblasti klímy, aby prispela k vytvoreniu rovnakých podmienok na celosvetovej úrovni a zabránila riziku úniku uhlíka pre európske spoločnosti, ako aj aby si zachovala podporu verejnosti pre opatrenia v oblasti klímy a zabránila úniku uhlíka;</w:t>
      </w:r>
    </w:p>
    <w:p w14:paraId="5337E8ED" w14:textId="77777777" w:rsidR="00A27977" w:rsidRPr="008334AD" w:rsidRDefault="00A27977" w:rsidP="00A27977">
      <w:pPr>
        <w:pStyle w:val="NormalHanging12a"/>
      </w:pPr>
      <w:r w:rsidRPr="008334AD">
        <w:t>40.</w:t>
      </w:r>
      <w:r w:rsidRPr="008334AD">
        <w:tab/>
        <w:t xml:space="preserve">zdôrazňuje úlohu Európskej vedeckej poradnej rady pre zmenu klímy (EVPRZK), ako sa stanovuje v európskom právnom predpise v oblasti klímy; vyzýva Komisiu, aby v správach o posúdení vplyvu alebo iných verejne prístupných dokumentoch zdôvodnila </w:t>
      </w:r>
      <w:r w:rsidRPr="008334AD">
        <w:lastRenderedPageBreak/>
        <w:t>odchýlky od odporúčaní EVPRZK a aby sa zaoberala politickými kompromismi; okrem toho vyzýva Komisiu, aby v nadchádzajúcich návrhoch rozpočtu zabezpečila dostatočné finančné prostriedky pre EVPRZK a umožnila jej tak plniť jej zákonný mandát;</w:t>
      </w:r>
    </w:p>
    <w:p w14:paraId="22EFC063" w14:textId="77777777" w:rsidR="00A27977" w:rsidRPr="008334AD" w:rsidRDefault="00A27977" w:rsidP="00A27977">
      <w:pPr>
        <w:pStyle w:val="NormalHanging12a"/>
      </w:pPr>
      <w:r w:rsidRPr="008334AD">
        <w:t>41.</w:t>
      </w:r>
      <w:r w:rsidRPr="008334AD">
        <w:tab/>
        <w:t>opakuje, že je potrebné začleniť ambície v oblasti klímy do všetkých politík EÚ a opatrení na ich transpozíciu, a zdôrazňuje, že v článku 6 ods. 2 a 4 európskeho právneho predpisu v oblasti klímy sa Komisii ukladá povinnosť posúdiť, či všetky súčasné opatrenia, návrhy opatrení a legislatívne návrhy, vrátane rozpočtových návrhov sú v súlade s cieľmi EÚ v oblasti klímy; pripomína, že podľa európskeho právneho predpisu v oblasti klímy by sa opatrenia EÚ a členských štátov mali riadiť zásadami predbežnej opatrnosti a „znečisťovateľ platí“ stanovenými v Zmluve o fungovaní Európskej únie a mali by tiež zohľadňovať zásadu energetickej únie týkajúcu sa prvoradosti energetickej efektívnosti a zásadu „neškodiť“;</w:t>
      </w:r>
    </w:p>
    <w:p w14:paraId="62B46C35" w14:textId="77777777" w:rsidR="00A27977" w:rsidRPr="008334AD" w:rsidRDefault="00A27977" w:rsidP="00A27977">
      <w:pPr>
        <w:pStyle w:val="NormalHanging12a"/>
      </w:pPr>
      <w:r w:rsidRPr="008334AD">
        <w:t>42.</w:t>
      </w:r>
      <w:r w:rsidRPr="008334AD">
        <w:tab/>
        <w:t xml:space="preserve">zdôrazňuje, že účinný prístup k spravodlivosti v záležitostiach životného prostredia v súlade s </w:t>
      </w:r>
      <w:proofErr w:type="spellStart"/>
      <w:r w:rsidRPr="008334AD">
        <w:t>Aarhuským</w:t>
      </w:r>
      <w:proofErr w:type="spellEnd"/>
      <w:r w:rsidRPr="008334AD">
        <w:t xml:space="preserve"> dohovorom je rozhodujúci pre dosiahnutie cieľov Parížskej dohody; verí, že EÚ a členské štáty by mali ísť príkladom a uplatňovať zistenia a odporúčania Výboru pre dodržiavanie </w:t>
      </w:r>
      <w:proofErr w:type="spellStart"/>
      <w:r w:rsidRPr="008334AD">
        <w:t>Aarhuského</w:t>
      </w:r>
      <w:proofErr w:type="spellEnd"/>
      <w:r w:rsidRPr="008334AD">
        <w:t xml:space="preserve"> dohovoru a zároveň rešpektovať svoje vlastné medzinárodné záväzky vyplývajúce z </w:t>
      </w:r>
      <w:proofErr w:type="spellStart"/>
      <w:r w:rsidRPr="008334AD">
        <w:t>Aarhuského</w:t>
      </w:r>
      <w:proofErr w:type="spellEnd"/>
      <w:r w:rsidRPr="008334AD">
        <w:t xml:space="preserve"> dohovoru a zásady právneho štátu;</w:t>
      </w:r>
    </w:p>
    <w:p w14:paraId="3EA809B7" w14:textId="77777777" w:rsidR="00A27977" w:rsidRPr="008334AD" w:rsidRDefault="00A27977" w:rsidP="00A27977">
      <w:pPr>
        <w:pStyle w:val="NormalHanging12a"/>
      </w:pPr>
      <w:r w:rsidRPr="008334AD">
        <w:t>43.</w:t>
      </w:r>
      <w:r w:rsidRPr="008334AD">
        <w:tab/>
        <w:t>vyzýva členské štáty a Komisiu aby zabezpečili, aby národné energetické a klimatické plány a dlhodobé stratégie členských štátov zahŕňali dostatočné opatrenia a finančné prostriedky na dosiahnutie cieľov EÚ stanovených na rok 2030 a na nasledujúce obdobie; vyzýva členské štáty, aby zintenzívnili svoje úsilie a zabezpečili, že EÚ svoje ciele stanovené do roku 2030 splní;</w:t>
      </w:r>
    </w:p>
    <w:p w14:paraId="4F8990DD" w14:textId="77777777" w:rsidR="00A27977" w:rsidRPr="008334AD" w:rsidRDefault="00A27977" w:rsidP="00A27977">
      <w:pPr>
        <w:pStyle w:val="NormalHanging12a"/>
      </w:pPr>
      <w:r w:rsidRPr="008334AD">
        <w:t>44.</w:t>
      </w:r>
      <w:r w:rsidRPr="008334AD">
        <w:tab/>
        <w:t>poukazuje na to, že v čase rastúcej geopolitickej nestability a nestabilných trhov s energiou je dekarbonizácia pre EÚ silnou hnacou silou strategickej autonómie a hospodárskej konkurencieschopnosti; pripomína, že táto skutočnosť je zohľadnená v dohode o čistom priemysle a jej cieli spojiť opatrenia v oblasti klímy a konkurencieschopnosť do jednej zastrešujúcej stratégie;</w:t>
      </w:r>
    </w:p>
    <w:p w14:paraId="6B8750E3" w14:textId="77777777" w:rsidR="00A27977" w:rsidRPr="008334AD" w:rsidRDefault="00A27977" w:rsidP="00A27977">
      <w:pPr>
        <w:pStyle w:val="NormalHanging12a"/>
      </w:pPr>
      <w:r w:rsidRPr="008334AD">
        <w:t>45.</w:t>
      </w:r>
      <w:r w:rsidRPr="008334AD">
        <w:tab/>
        <w:t>so znepokojením konštatuje, že dotácie na fosílne palivá v posledných rokoch vzrástli, pričom v roku 2023 dosiahli dotácie na spotrebu fosílnych palív celosvetovo 620 miliárd USD a podstatný podiel dotácií sa zaznamenal v rozvíjajúcich sa a rozvojových ekonomikách; vyjadruje poľutovanie nad tým, že dotácie na fosílnu energiu v EÚ zostali vysoké a v roku 2023 dosiahli 111 miliárd EUR, hoci sa oproti roku 2022 znížili; pripomína, že dotácie na dovážanú fosílnu energiu zaťažujú európske hospodárstva a narúšajú stimuly na prechod na čistú energiu; zdôrazňuje, že je dôležité znížiť dotácie pre palivá, ktoré najviac znečisťujú životné prostredie, na medzinárodnej úrovni a transparentne informovať o týchto dotáciách; opäť zdôrazňuje, že je potrebné, aby Komisia a členské štáty vykonávali požiadavku uvedenú v 8. EAP „stanoviť lehotu na postupné zrušenie dotácií na fosílne palivá v súlade s ambíciou obmedziť globálne otepľovanie na 1,5 °C“; vyjadruje poľutovanie nad nedostatočným pokrokom od prijatia programu v roku 2022 a vyzýva Komisiu, aby predložila svoj plán ďalšieho znižovania a postupného rušenia dotácií na fosílne palivá v súlade so záväzkami EÚ v oblasti klímy;</w:t>
      </w:r>
    </w:p>
    <w:p w14:paraId="4137162A" w14:textId="77777777" w:rsidR="00A27977" w:rsidRPr="008334AD" w:rsidRDefault="00A27977" w:rsidP="00A27977">
      <w:pPr>
        <w:pStyle w:val="NormalHanging12a"/>
      </w:pPr>
      <w:r w:rsidRPr="008334AD">
        <w:t>46.</w:t>
      </w:r>
      <w:r w:rsidRPr="008334AD">
        <w:tab/>
        <w:t xml:space="preserve">zdôrazňuje, že súčasná geopolitická situácia zvýrazňuje naliehavú potrebu ukončiť závislosť EÚ od fosílnych palív a urýchliť transformáciu energetiky; víta pokrok dosiahnutý v rámci programu </w:t>
      </w:r>
      <w:proofErr w:type="spellStart"/>
      <w:r w:rsidRPr="008334AD">
        <w:t>REPowerEU</w:t>
      </w:r>
      <w:proofErr w:type="spellEnd"/>
      <w:r w:rsidRPr="008334AD">
        <w:t xml:space="preserve"> a vyzýva EÚ a členské štáty, aby konali </w:t>
      </w:r>
      <w:r w:rsidRPr="008334AD">
        <w:lastRenderedPageBreak/>
        <w:t>rýchlejšie;</w:t>
      </w:r>
    </w:p>
    <w:p w14:paraId="795A3347" w14:textId="77777777" w:rsidR="00A27977" w:rsidRPr="008334AD" w:rsidRDefault="00A27977" w:rsidP="00A27977">
      <w:pPr>
        <w:pStyle w:val="NormalHanging12a"/>
      </w:pPr>
      <w:r w:rsidRPr="008334AD">
        <w:t>47.</w:t>
      </w:r>
      <w:r w:rsidRPr="008334AD">
        <w:tab/>
        <w:t>očakáva pripravovaný plán EÚ na prispôsobenie sa zmene klímy vrátane vhodných legislatívnych opatrení na zabezpečenie koordinovanej pripravenosti EÚ čeliť rastúcim klimatickým rizikám;</w:t>
      </w:r>
    </w:p>
    <w:p w14:paraId="146E2BD3" w14:textId="77777777" w:rsidR="00A27977" w:rsidRPr="008334AD" w:rsidRDefault="00A27977" w:rsidP="00A27977">
      <w:pPr>
        <w:pStyle w:val="NormalHanging12a"/>
      </w:pPr>
      <w:r w:rsidRPr="008334AD">
        <w:t>48.</w:t>
      </w:r>
      <w:r w:rsidRPr="008334AD">
        <w:tab/>
        <w:t>vyzýva EÚ, aby ďalej preskúmala a riešila spôsoby, ktorými prispieva k zmene klímy za svojimi hranicami;</w:t>
      </w:r>
    </w:p>
    <w:p w14:paraId="6193E909" w14:textId="77777777" w:rsidR="00A27977" w:rsidRPr="008334AD" w:rsidRDefault="00A27977" w:rsidP="00A27977">
      <w:pPr>
        <w:pStyle w:val="NormalHanging12a"/>
        <w:rPr>
          <w:b/>
          <w:bCs/>
          <w:i/>
        </w:rPr>
      </w:pPr>
      <w:r w:rsidRPr="008334AD">
        <w:rPr>
          <w:b/>
          <w:i/>
        </w:rPr>
        <w:t>Trojitá planetárna kríza: zmena klímy, znečistenie a strata biodiverzity</w:t>
      </w:r>
    </w:p>
    <w:p w14:paraId="025FDEA2" w14:textId="77777777" w:rsidR="00A27977" w:rsidRPr="008334AD" w:rsidRDefault="00A27977" w:rsidP="00A27977">
      <w:pPr>
        <w:pStyle w:val="NormalHanging12a"/>
      </w:pPr>
      <w:r w:rsidRPr="008334AD">
        <w:t>49.</w:t>
      </w:r>
      <w:r w:rsidRPr="008334AD">
        <w:tab/>
        <w:t>zdôrazňuje, že krízy súvisiace so zmenou klímy, znečistením a stratou biodiverzity sú navzájom prepojené a navzájom sa posilňujú, a že reakcie na tieto krízy musia byť zosúladené; zdôrazňuje význam ochrany, zachovania a obnovy biodiverzity a ekosystémov vrátane existujúcich ekosystémov bohatých na uhlík a udržateľného manažmentu prírodných zdrojov s cieľom zlepšiť zmierňovanie zmeny klímy a adaptáciu na ňu spôsobom blízkym prírode;</w:t>
      </w:r>
    </w:p>
    <w:p w14:paraId="32EC9098" w14:textId="77777777" w:rsidR="00A27977" w:rsidRPr="008334AD" w:rsidRDefault="00A27977" w:rsidP="00A27977">
      <w:pPr>
        <w:pStyle w:val="NormalHanging12a"/>
      </w:pPr>
      <w:r w:rsidRPr="008334AD">
        <w:t>50.</w:t>
      </w:r>
      <w:r w:rsidRPr="008334AD">
        <w:tab/>
        <w:t>pripomína význam odvetvia využívania pôdy, zmien vo využívaní pôdy a lesného hospodárstva (LULUCF) pri dosahovaní cieľov EÚ v oblasti klímy a biodiverzity; pripomína, že právny predpis o obnove prírody je jedným z nástrojov EÚ na dosiahnutie jej cieľov v rámci nariadenia o LULUCF</w:t>
      </w:r>
      <w:r w:rsidRPr="008334AD">
        <w:rPr>
          <w:rStyle w:val="FootnoteReference"/>
        </w:rPr>
        <w:footnoteReference w:id="25"/>
      </w:r>
      <w:r w:rsidRPr="008334AD">
        <w:t xml:space="preserve"> a jej medzinárodných záväzkov v oblasti biodiverzity, najmä globálneho rámca pre biodiverzitu z </w:t>
      </w:r>
      <w:proofErr w:type="spellStart"/>
      <w:r w:rsidRPr="008334AD">
        <w:t>Kchun-mingu</w:t>
      </w:r>
      <w:proofErr w:type="spellEnd"/>
      <w:r w:rsidRPr="008334AD">
        <w:t xml:space="preserve"> a Montrealu;</w:t>
      </w:r>
    </w:p>
    <w:p w14:paraId="3873E359" w14:textId="77777777" w:rsidR="00A27977" w:rsidRPr="008334AD" w:rsidRDefault="00A27977" w:rsidP="00A27977">
      <w:pPr>
        <w:pStyle w:val="NormalHanging12a"/>
      </w:pPr>
      <w:r w:rsidRPr="008334AD">
        <w:t>51.</w:t>
      </w:r>
      <w:r w:rsidRPr="008334AD">
        <w:tab/>
        <w:t>pripomína, že je dôležité, aby sa environmentálne politiky navrhovali a vykonávali v úplnom súlade s prístupom „jedno zdravie“, ktorého cieľom je udržateľná rovnováha a optimalizácia zdravia ľudí, zvierat a ekosystémov;</w:t>
      </w:r>
    </w:p>
    <w:p w14:paraId="50E5ACCA" w14:textId="77777777" w:rsidR="00A27977" w:rsidRPr="008334AD" w:rsidRDefault="00A27977" w:rsidP="00A27977">
      <w:pPr>
        <w:pStyle w:val="NormalHanging12a"/>
      </w:pPr>
      <w:r w:rsidRPr="008334AD">
        <w:t>52.</w:t>
      </w:r>
      <w:r w:rsidRPr="008334AD">
        <w:tab/>
        <w:t>zdôrazňuje, že je potrebné podporovať a chrániť ochrancov životného prostredia a brať na zodpovednosť tých, ktorí ich ohrozujú;</w:t>
      </w:r>
    </w:p>
    <w:p w14:paraId="1622AAF6" w14:textId="77777777" w:rsidR="00A27977" w:rsidRPr="008334AD" w:rsidRDefault="00A27977" w:rsidP="00A27977">
      <w:pPr>
        <w:pStyle w:val="NormalHanging12a"/>
      </w:pPr>
      <w:r w:rsidRPr="008334AD">
        <w:t>53.</w:t>
      </w:r>
      <w:r w:rsidRPr="008334AD">
        <w:tab/>
        <w:t>zdôrazňuje, že pôda je najväčšou suchozemskou zásobárňou uhlíka a zohráva nenahraditeľnú úlohu v globálnom klimatickom cykle; víta všetky snahy vlád a mimovládnych organizácií o maximalizáciu potenciálu pôdy na zmiernenie zmeny klímy a zlepšenie dostupnosti vody; v tejto súvislosti zdôrazňuje dohodu dosiahnutú na úrovni EÚ o právnom predpise o monitorovaní pôdy, ktorý slúži na zlepšenie schopnosti členských štátov a pomôže EÚ splniť jej medzinárodné záväzky;</w:t>
      </w:r>
    </w:p>
    <w:p w14:paraId="4B055038" w14:textId="77777777" w:rsidR="00A27977" w:rsidRPr="008334AD" w:rsidRDefault="00A27977" w:rsidP="00A27977">
      <w:pPr>
        <w:pStyle w:val="NormalHanging12a"/>
      </w:pPr>
      <w:r w:rsidRPr="008334AD">
        <w:t>54.</w:t>
      </w:r>
      <w:r w:rsidRPr="008334AD">
        <w:tab/>
        <w:t xml:space="preserve">zdôrazňuje dôležitú úlohu lesov pri opatreniach v oblasti klímy a pri zmierňovaní zmeny klímy; v tejto súvislosti zdôrazňuje význam celosvetového úsilia v boji proti odlesňovaniu, keďže lesy sú jedným z najväčších záchytov uhlíka a sú dôležitými zásobárňami z hľadiska biodiverzity; zdôrazňuje naliehavú potrebu chrániť najdôležitejšie lesné územia sveta, ako je amazonský dažďový prales, a to aj v najvzdialenejších regiónoch EÚ; opätovne potvrdzuje záväzok EÚ dodržiavať vyhlásenie lídrov z Glasgowa o lesoch a využívaní pôdy (COP 26); vyzýva všetky zmluvné strany, aby si stanovili ciele na zvýšenie čistého odstraňovania ekvivalentu </w:t>
      </w:r>
      <w:r w:rsidRPr="008334AD">
        <w:lastRenderedPageBreak/>
        <w:t>CO</w:t>
      </w:r>
      <w:r w:rsidRPr="008334AD">
        <w:rPr>
          <w:vertAlign w:val="subscript"/>
        </w:rPr>
        <w:t>2</w:t>
      </w:r>
      <w:r w:rsidRPr="008334AD">
        <w:t xml:space="preserve"> prostredníctvom činností LULUCF;</w:t>
      </w:r>
    </w:p>
    <w:p w14:paraId="25E35EAB" w14:textId="77777777" w:rsidR="00A27977" w:rsidRPr="008334AD" w:rsidRDefault="00A27977" w:rsidP="00A27977">
      <w:pPr>
        <w:pStyle w:val="NormalHanging12a"/>
      </w:pPr>
      <w:r w:rsidRPr="008334AD">
        <w:t>55.</w:t>
      </w:r>
      <w:r w:rsidRPr="008334AD">
        <w:tab/>
        <w:t xml:space="preserve">zdôrazňuje zásadný význam mokradí – vrátane rašelinísk, </w:t>
      </w:r>
      <w:proofErr w:type="spellStart"/>
      <w:r w:rsidRPr="008334AD">
        <w:t>mangrovových</w:t>
      </w:r>
      <w:proofErr w:type="spellEnd"/>
      <w:r w:rsidRPr="008334AD">
        <w:t xml:space="preserve"> porastov a iných pobrežných a vnútrozemských </w:t>
      </w:r>
      <w:proofErr w:type="spellStart"/>
      <w:r w:rsidRPr="008334AD">
        <w:t>mokraďových</w:t>
      </w:r>
      <w:proofErr w:type="spellEnd"/>
      <w:r w:rsidRPr="008334AD">
        <w:t xml:space="preserve"> ekosystémov – ,ktoré patria medzi najúčinnejšie prirodzené záchyty uhlíka na našej planéte; vyzýva všetky zmluvné strany, aby urýchlene zvýšili úsilie o zachovanie, udržateľné obhospodarovanie a obnovu mokradí ako ústrednú stratégiu na zmiernenie zmeny klímy, adaptáciu na ňu, ochranu biodiverzity a udržateľnosť súvisiacich sociálnych a hospodárskych činností;</w:t>
      </w:r>
    </w:p>
    <w:p w14:paraId="1EB3964C" w14:textId="77777777" w:rsidR="00A27977" w:rsidRPr="008334AD" w:rsidRDefault="00A27977" w:rsidP="00A27977">
      <w:pPr>
        <w:pStyle w:val="NormalHanging12a"/>
      </w:pPr>
      <w:r w:rsidRPr="008334AD">
        <w:t>56.</w:t>
      </w:r>
      <w:r w:rsidRPr="008334AD">
        <w:tab/>
        <w:t xml:space="preserve">zdôrazňuje, že je dôležité identifikovať a maximalizovať potenciálne synergie medzi opatreniami v oblasti biodiverzity a klímy, a to aj uprednostňovaním ochrany, obnovy a riadenia ekosystémov a druhov dôležitých v uhlíkových cykloch, ako sa na tom dohodlo na konferencii COP 16 v </w:t>
      </w:r>
      <w:proofErr w:type="spellStart"/>
      <w:r w:rsidRPr="008334AD">
        <w:t>Cali</w:t>
      </w:r>
      <w:proofErr w:type="spellEnd"/>
      <w:r w:rsidRPr="008334AD">
        <w:t xml:space="preserve"> (Kolumbia); zdôrazňuje význam realizácie globálneho rámca pre biodiverzitu z </w:t>
      </w:r>
      <w:proofErr w:type="spellStart"/>
      <w:r w:rsidRPr="008334AD">
        <w:t>Kchun-mingu</w:t>
      </w:r>
      <w:proofErr w:type="spellEnd"/>
      <w:r w:rsidRPr="008334AD">
        <w:t xml:space="preserve"> a Montrealu; v tejto súvislosti víta skutočnosť, že 55 zmluvných strán predložilo národné stratégie a akčné plány v oblasti biodiverzity a 139 zmluvných strán predložilo národné ciele, a vyzýva všetky ostatné zmluvné strany, aby ich urýchlene nasledovali;</w:t>
      </w:r>
    </w:p>
    <w:p w14:paraId="6A99A2B8" w14:textId="77777777" w:rsidR="00A27977" w:rsidRPr="008334AD" w:rsidRDefault="00A27977" w:rsidP="00A27977">
      <w:pPr>
        <w:pStyle w:val="NormalHanging12a"/>
      </w:pPr>
      <w:r w:rsidRPr="008334AD">
        <w:t>57.</w:t>
      </w:r>
      <w:r w:rsidRPr="008334AD">
        <w:tab/>
        <w:t xml:space="preserve">zdôrazňuje význam ochrany, zachovania a obnovy vodných ekosystémov a ekosystémov súvisiacich s vodou; vyzýva na viac opatrení v oblasti udržateľného využívania vody, a to aj prostredníctvom využívania inovatívnych vodných technológií, najmä na miestach, ktoré sú vážne postihnuté suchom alebo nedostatkom vody; upozorňuje na ničivé environmentálne, sociálne a hospodárske dôsledky </w:t>
      </w:r>
      <w:proofErr w:type="spellStart"/>
      <w:r w:rsidRPr="008334AD">
        <w:t>dezertifikácie</w:t>
      </w:r>
      <w:proofErr w:type="spellEnd"/>
      <w:r w:rsidRPr="008334AD">
        <w:t xml:space="preserve">, sucha, povodní a znečistenia vody; víta Európsku stratégiu pre odolnosť v oblasti vody a vyzýva Komisiu a členské štáty, aby ju urýchlene vykonávali; vyzýva na ďalšie opatrenia na riešenie znečistenia </w:t>
      </w:r>
      <w:proofErr w:type="spellStart"/>
      <w:r w:rsidRPr="008334AD">
        <w:t>perfluóralkylovými</w:t>
      </w:r>
      <w:proofErr w:type="spellEnd"/>
      <w:r w:rsidRPr="008334AD">
        <w:t xml:space="preserve"> a </w:t>
      </w:r>
      <w:proofErr w:type="spellStart"/>
      <w:r w:rsidRPr="008334AD">
        <w:t>polyfluóralkylovými</w:t>
      </w:r>
      <w:proofErr w:type="spellEnd"/>
      <w:r w:rsidRPr="008334AD">
        <w:t xml:space="preserve"> látkami; vyzýva Komisiu a členské štáty, aby zintenzívnili presadzovanie existujúcich právnych predpisov a zabezpečili dodržiavanie rámcovej smernice o vode</w:t>
      </w:r>
      <w:r w:rsidRPr="008334AD">
        <w:rPr>
          <w:rStyle w:val="FootnoteReference"/>
        </w:rPr>
        <w:footnoteReference w:id="26"/>
      </w:r>
      <w:r w:rsidRPr="008334AD">
        <w:t>;</w:t>
      </w:r>
    </w:p>
    <w:p w14:paraId="23046721" w14:textId="77777777" w:rsidR="00A27977" w:rsidRPr="008334AD" w:rsidRDefault="00A27977" w:rsidP="00A27977">
      <w:pPr>
        <w:pStyle w:val="NormalHanging12a"/>
      </w:pPr>
      <w:r w:rsidRPr="008334AD">
        <w:t>58.</w:t>
      </w:r>
      <w:r w:rsidRPr="008334AD">
        <w:tab/>
        <w:t xml:space="preserve">víta prijatie dohody OSN o šírom mori a vyzýva na jej urýchlenú ratifikáciu a vykonávanie zmluvnými stranami; vyzýva zmluvné strany, aby pokračovali v dialógu o oceánoch a zmene klímy; zdôrazňuje, že globálny klimatický systém závisí od zdravia oceánskych a morských ekosystémov, ktoré stráca svoju regulačnú kapacitu v dôsledku globálneho otepľovania, znečistenia, nadmerného využívania morskej biodiverzity, </w:t>
      </w:r>
      <w:proofErr w:type="spellStart"/>
      <w:r w:rsidRPr="008334AD">
        <w:t>acidifikácie</w:t>
      </w:r>
      <w:proofErr w:type="spellEnd"/>
      <w:r w:rsidRPr="008334AD">
        <w:t xml:space="preserve">, </w:t>
      </w:r>
      <w:proofErr w:type="spellStart"/>
      <w:r w:rsidRPr="008334AD">
        <w:t>eutrofizácie</w:t>
      </w:r>
      <w:proofErr w:type="spellEnd"/>
      <w:r w:rsidRPr="008334AD">
        <w:t xml:space="preserve">, </w:t>
      </w:r>
      <w:proofErr w:type="spellStart"/>
      <w:r w:rsidRPr="008334AD">
        <w:t>deoxygenácie</w:t>
      </w:r>
      <w:proofErr w:type="spellEnd"/>
      <w:r w:rsidRPr="008334AD">
        <w:t xml:space="preserve"> a pobrežnej erózie;</w:t>
      </w:r>
    </w:p>
    <w:p w14:paraId="7AF5213F" w14:textId="77777777" w:rsidR="00A27977" w:rsidRPr="008334AD" w:rsidRDefault="00A27977" w:rsidP="00A27977">
      <w:pPr>
        <w:pStyle w:val="NormalHanging12a"/>
      </w:pPr>
      <w:r w:rsidRPr="008334AD">
        <w:t>59.</w:t>
      </w:r>
      <w:r w:rsidRPr="008334AD">
        <w:tab/>
        <w:t xml:space="preserve">zdôrazňuje význam celosvetového úsilia v boji proti degradácii morských ekosystémov, keďže oceán absorbuje 25 % všetkých emisií uhlíka, zachytáva 90 % prebytočného tepla, dodáva viac než 50 % svetového kyslíka a je základným rezervoárom z hľadiska biodiverzity; víta výsledok Týždňa oceánov v </w:t>
      </w:r>
      <w:proofErr w:type="spellStart"/>
      <w:r w:rsidRPr="008334AD">
        <w:t>Nice</w:t>
      </w:r>
      <w:proofErr w:type="spellEnd"/>
      <w:r w:rsidRPr="008334AD">
        <w:t xml:space="preserve"> týkajúci sa zvýšenia finančných záväzkov na ochranu oceánov; vyzýva na urýchlené prijatie opatrení na obnovu morských ekosystémov a zabezpečenie účinnej ochrany chránených morských oblastí; pripomína cieľ č. 3 globálneho rámca pre biodiverzitu z </w:t>
      </w:r>
      <w:proofErr w:type="spellStart"/>
      <w:r w:rsidRPr="008334AD">
        <w:t>Kchun-mingu</w:t>
      </w:r>
      <w:proofErr w:type="spellEnd"/>
      <w:r w:rsidRPr="008334AD">
        <w:t xml:space="preserve"> a Montrealu na ochranu 30 % morí do roku 2030;</w:t>
      </w:r>
    </w:p>
    <w:p w14:paraId="290959EF" w14:textId="77777777" w:rsidR="00A27977" w:rsidRPr="008334AD" w:rsidRDefault="00A27977" w:rsidP="00A27977">
      <w:pPr>
        <w:pStyle w:val="NormalHanging12a"/>
      </w:pPr>
      <w:r w:rsidRPr="008334AD">
        <w:t>60.</w:t>
      </w:r>
      <w:r w:rsidRPr="008334AD">
        <w:tab/>
        <w:t xml:space="preserve">zdôrazňuje, že je potrebné komplexne riešiť prepojenia medzi zmenou klímy, znečistením ovzdušia a verejným zdravím, a to aj na konferencii COP; víta vyhlásenie z konferencie COP 28 o klíme a zdraví, ktoré podpísalo viac ako 150 vlád; vyzýva, aby sa </w:t>
      </w:r>
      <w:r w:rsidRPr="008334AD">
        <w:lastRenderedPageBreak/>
        <w:t xml:space="preserve">zlepšovanie kvality ovzdušia začlenilo do politík v oblasti klímy a zohľadnilo v NDC; vyzýva všetky zmluvné strany, aby urýchlili zmysluplné opatrenia </w:t>
      </w:r>
      <w:proofErr w:type="spellStart"/>
      <w:r w:rsidRPr="008334AD">
        <w:t>prispievajúce</w:t>
      </w:r>
      <w:proofErr w:type="spellEnd"/>
      <w:r w:rsidRPr="008334AD">
        <w:t xml:space="preserve"> ku kvalite ovzdušia; vyzýva zmluvné strany, aby zabezpečili, že pri financovaní opatrení v oblasti zmeny klímy sa budú uprednostňovať riešenia v oblasti čistoty ovzdušia s merateľnými prínosmi pre zdravie, spravodlivosť a klímu;</w:t>
      </w:r>
    </w:p>
    <w:p w14:paraId="66CBFCF7" w14:textId="77777777" w:rsidR="00A27977" w:rsidRPr="008334AD" w:rsidRDefault="00A27977" w:rsidP="00A27977">
      <w:pPr>
        <w:pStyle w:val="NormalHanging12a"/>
      </w:pPr>
      <w:r w:rsidRPr="008334AD">
        <w:t>61.</w:t>
      </w:r>
      <w:r w:rsidRPr="008334AD">
        <w:tab/>
        <w:t xml:space="preserve">zdôrazňuje, že zmena klímy prispeje ku zvýšenej odolnosti voči antibiotikám; v tejto súvislosti pripomína, že je potrebné urýchlene prijať opatrenia na boj proti </w:t>
      </w:r>
      <w:proofErr w:type="spellStart"/>
      <w:r w:rsidRPr="008334AD">
        <w:t>antimikrobiálnej</w:t>
      </w:r>
      <w:proofErr w:type="spellEnd"/>
      <w:r w:rsidRPr="008334AD">
        <w:t xml:space="preserve"> rezistencii, a vyzýva všetky zmluvné strany, aby vyvinuli ďalšie úsilie na dosiahnutie zníženia a opatrnejšieho používania </w:t>
      </w:r>
      <w:proofErr w:type="spellStart"/>
      <w:r w:rsidRPr="008334AD">
        <w:t>antimikrobiálnych</w:t>
      </w:r>
      <w:proofErr w:type="spellEnd"/>
      <w:r w:rsidRPr="008334AD">
        <w:t xml:space="preserve"> látok s cieľom bojovať proti riziku rezistencie; v tejto súvislosti žiada, aby sa v príslušných medzinárodných zmluvách prijali záväzné záväzky; vyjadruje poľutovanie nad doterajšou nečinnosťou;</w:t>
      </w:r>
    </w:p>
    <w:p w14:paraId="3AB47316" w14:textId="77777777" w:rsidR="00A27977" w:rsidRPr="008334AD" w:rsidRDefault="00A27977" w:rsidP="00A27977">
      <w:pPr>
        <w:pStyle w:val="NormalHanging12a"/>
      </w:pPr>
      <w:r w:rsidRPr="008334AD">
        <w:t>62.</w:t>
      </w:r>
      <w:r w:rsidRPr="008334AD">
        <w:tab/>
        <w:t>zdôrazňuje potrebu bojovať proti vplyvu plastov na životné prostredie počas ich životného cyklu vrátane ich vplyvu na klímu; zdôrazňuje, že je potrebné stanoviť primerané ceny uhlíka za suroviny, aby sa v odvetví plastov významne znížilo používanie fosílnych palív; konštatuje, že práca na globálnej zmluve o plastoch stále prebieha, a vyjadruje poľutovanie nad tým, že zmluvné strany v auguste 2025 v Ženeve opäť nedokázali uzavrieť zmluvu pre nezhody v otázke jej rozsahu pôsobnosti; vyzýva na prijatie ambicióznej dohody, ktorá sa bude týkať všetkých etáp výroby plastu, jeho spotreby a nakladania s plastovým odpadom;</w:t>
      </w:r>
    </w:p>
    <w:p w14:paraId="37AFE74A" w14:textId="77777777" w:rsidR="00A27977" w:rsidRPr="008334AD" w:rsidRDefault="00A27977" w:rsidP="00A27977">
      <w:pPr>
        <w:pStyle w:val="NormalHanging12a"/>
      </w:pPr>
      <w:r w:rsidRPr="008334AD">
        <w:t>63.</w:t>
      </w:r>
      <w:r w:rsidRPr="008334AD">
        <w:tab/>
        <w:t>vyjadruje poľutovanie nad vysokými nákladmi na celosvetové znečistenie chemickými látkami, ktoré zhoršuje krízu v oblasti klímy a biodiverzity; vyzýva zmluvné strany, aby zaviedli opatrenia na splnenie strategických cieľov a zámerov prijatých v rámci Globálneho rámca OSN pre chemické látky; zdôrazňuje, že je potrebné, aby EÚ a jej členské štáty stáli na čele celosvetového úsilia o riešenie problému znečistenia chemickými látkami, a to aj prostredníctvom revízie svojich politík v oblasti chemických látok tam, kde je to potrebné;</w:t>
      </w:r>
    </w:p>
    <w:p w14:paraId="7248C29E" w14:textId="77777777" w:rsidR="00A27977" w:rsidRPr="008334AD" w:rsidRDefault="00A27977" w:rsidP="00A27977">
      <w:pPr>
        <w:pStyle w:val="NormalHanging12a"/>
        <w:rPr>
          <w:b/>
          <w:bCs/>
          <w:i/>
        </w:rPr>
      </w:pPr>
      <w:r w:rsidRPr="008334AD">
        <w:rPr>
          <w:b/>
          <w:i/>
        </w:rPr>
        <w:t>Práva pôvodného obyvateľstva</w:t>
      </w:r>
    </w:p>
    <w:p w14:paraId="6C5F2533" w14:textId="77777777" w:rsidR="00A27977" w:rsidRPr="008334AD" w:rsidRDefault="00A27977" w:rsidP="00A27977">
      <w:pPr>
        <w:pStyle w:val="NormalHanging12a"/>
      </w:pPr>
      <w:r w:rsidRPr="008334AD">
        <w:t>64.</w:t>
      </w:r>
      <w:r w:rsidRPr="008334AD">
        <w:tab/>
        <w:t>zdôrazňuje potrebu chrániť práva a záujmy pôvodného obyvateľstva a miestnych komunít, ako sú uvedené v Deklarácii OSN o právach pôvodného obyvateľstva; zdôrazňuje potrebu zabezpečiť právo na slobodný, vopred udelený a informovaný súhlas; zdôrazňuje, že všetky projekty podľa článku 6, ktoré majú vplyv na územia alebo komunity pôvodného obyvateľstva, musia zapojiť toto pôvodné obyvateľstvo a rešpektovať jeho práva;</w:t>
      </w:r>
    </w:p>
    <w:p w14:paraId="192314D5" w14:textId="77777777" w:rsidR="00A27977" w:rsidRPr="008334AD" w:rsidRDefault="00A27977" w:rsidP="00A27977">
      <w:pPr>
        <w:pStyle w:val="NormalHanging12a"/>
      </w:pPr>
      <w:r w:rsidRPr="008334AD">
        <w:t>65.</w:t>
      </w:r>
      <w:r w:rsidRPr="008334AD">
        <w:tab/>
        <w:t>zdôrazňuje, že pôvodné obyvateľstvo nie je len zainteresovanou alebo zraniteľnou skupinou, ale je nositeľom práv podľa preambuly Parížskej dohody; zdôrazňuje potrebu politickej účasti pôvodného obyvateľstva na konferenciách zmluvných strán a ďalších procesoch UNFCCC na podporu zmysluplného zapojenia do všetkých rozhodovacích orgánov; uznáva, že je potrebné financovať a uľahčiť prítomnosť pôvodného obyvateľstva na konferenciách zmluvných strán a technických zasadnutiach pomocných orgánov;</w:t>
      </w:r>
    </w:p>
    <w:p w14:paraId="71E2FA3B" w14:textId="77777777" w:rsidR="00A27977" w:rsidRPr="008334AD" w:rsidRDefault="00A27977" w:rsidP="00A27977">
      <w:pPr>
        <w:pStyle w:val="NormalHanging12a"/>
      </w:pPr>
      <w:r w:rsidRPr="008334AD">
        <w:t>66.</w:t>
      </w:r>
      <w:r w:rsidRPr="008334AD">
        <w:tab/>
        <w:t xml:space="preserve">uznáva, že územia pôvodného obyvateľstva sú ohniskami biodiverzity a že pôvodné obyvateľstvo zohráva dôležitú úlohu pri ochrane a udržateľnom obhospodarovaní zdrojov; zdôrazňuje, že podľa piatej hodnotiacej správy IPCC sú znalosti pôvodných a miestnych obyvateľov a tradičné znalosti významným zdrojom, ktorý môže pomôcť </w:t>
      </w:r>
      <w:r w:rsidRPr="008334AD">
        <w:lastRenderedPageBreak/>
        <w:t>pri adaptácii na zmenu klímy; vyjadruje poľutovanie nad tým, že poznatky pôvodného obyvateľstva sa nevyužívajú efektívne; zdôrazňuje najmä úlohu týchto poznatkov pri predchádzaní nesprávnej adaptácii;</w:t>
      </w:r>
    </w:p>
    <w:p w14:paraId="2BA694E2" w14:textId="77777777" w:rsidR="00A27977" w:rsidRPr="008334AD" w:rsidRDefault="00A27977" w:rsidP="00A27977">
      <w:pPr>
        <w:pStyle w:val="NormalHanging12a"/>
      </w:pPr>
      <w:r w:rsidRPr="008334AD">
        <w:t>67.</w:t>
      </w:r>
      <w:r w:rsidRPr="008334AD">
        <w:tab/>
        <w:t>zdôrazňuje, že je potrebné, aby pôvodné obyvateľstvo malo priamy prístup k financovaniu opatrení v oblasti zmeny klímy prostredníctvom medzinárodných fondov na ochranu klímy, ako sú Zelený klimatický fond, Adaptačný fond a Fond na krytie strát a škôd;</w:t>
      </w:r>
    </w:p>
    <w:p w14:paraId="30AA67DC" w14:textId="77777777" w:rsidR="00A27977" w:rsidRPr="008334AD" w:rsidRDefault="00A27977" w:rsidP="00A27977">
      <w:pPr>
        <w:pStyle w:val="NormalHanging12a"/>
        <w:rPr>
          <w:b/>
          <w:bCs/>
          <w:i/>
        </w:rPr>
      </w:pPr>
      <w:r w:rsidRPr="008334AD">
        <w:rPr>
          <w:b/>
          <w:i/>
        </w:rPr>
        <w:t>Klíma, mier a bezpečnosť</w:t>
      </w:r>
    </w:p>
    <w:p w14:paraId="145F40E3" w14:textId="77777777" w:rsidR="00A27977" w:rsidRPr="008334AD" w:rsidRDefault="00A27977" w:rsidP="00A27977">
      <w:pPr>
        <w:pStyle w:val="NormalHanging12a"/>
      </w:pPr>
      <w:r w:rsidRPr="008334AD">
        <w:t>68.</w:t>
      </w:r>
      <w:r w:rsidRPr="008334AD">
        <w:tab/>
        <w:t>berie na vedomie, že na zasadnutiach COP sa venovala zvýšená pozornosť programu v oblasti klímy, mieru a bezpečnosti, čo sa prejavilo najmä na konferencii COP 29 v podobe výzvy z Baku o opatreniach v oblasti klímy v záujme mieru, pomoci a obnovy, ako aj na predchádzajúcej konferencii COP 27, kde bola prijatá iniciatíva reakcie na zmenu klímy pre udržanie mieru, a vo vyhlásení z COP 28 o klíme, pomoci, obnove a mieri;</w:t>
      </w:r>
    </w:p>
    <w:p w14:paraId="2548EF67" w14:textId="77777777" w:rsidR="00A27977" w:rsidRPr="008334AD" w:rsidRDefault="00A27977" w:rsidP="00A27977">
      <w:pPr>
        <w:pStyle w:val="NormalHanging12a"/>
      </w:pPr>
      <w:r w:rsidRPr="008334AD">
        <w:t>69.</w:t>
      </w:r>
      <w:r w:rsidRPr="008334AD">
        <w:tab/>
        <w:t>konštatuje, že v správe Komisie o pokroku v súvislosti so spoločným oznámením s názvom „Nový pohľad na prepojenie medzi klímou a bezpečnosťou“, ktorá bola uverejnená vo februári 2025, sa uznáva prepojenie medzi zmenou klímy, zhoršovaním životného prostredia a otázkami mieru, bezpečnosti a obrany, pričom sa zdôrazňuje ich význam pre zahraničnú politiku;</w:t>
      </w:r>
    </w:p>
    <w:p w14:paraId="7A14F8F6" w14:textId="77777777" w:rsidR="00A27977" w:rsidRPr="008334AD" w:rsidRDefault="00A27977" w:rsidP="00A27977">
      <w:pPr>
        <w:pStyle w:val="NormalHanging12a"/>
      </w:pPr>
      <w:r w:rsidRPr="008334AD">
        <w:t>70.</w:t>
      </w:r>
      <w:r w:rsidRPr="008334AD">
        <w:tab/>
        <w:t>zdôrazňuje, že zmena klímy a zhoršovanie životného prostredia sú faktory, ktoré znásobujú hrozby a ktoré môžu viesť k nedostatku potravín a prírodných zdrojov, zvyšovaniu napätia v medzinárodných vzťahoch a konfliktom o prírodné zdroje a spôsobovať prírodné katastrofy, ktoré sú hlavnou príčinou vysídľovania ľudí a migračných tokov;</w:t>
      </w:r>
    </w:p>
    <w:p w14:paraId="119FFE90" w14:textId="77777777" w:rsidR="00A27977" w:rsidRPr="008334AD" w:rsidRDefault="00A27977" w:rsidP="00A27977">
      <w:pPr>
        <w:pStyle w:val="NormalHanging12a"/>
      </w:pPr>
      <w:r w:rsidRPr="008334AD">
        <w:t>71.</w:t>
      </w:r>
      <w:r w:rsidRPr="008334AD">
        <w:tab/>
        <w:t>zdôrazňuje, že je potrebné venovať zvýšenú medzinárodnú pozornosť vplyvu konfliktov na životné prostredie; upozorňuje na devastáciu životného prostredia spôsobenú vojenskými útokmi a operáciami na celom svete a vyzýva na zastavenie týchto aktivít v súlade s medzinárodným právom; zdôrazňuje, že okrem bezprostredného ničenia a strát na ľudských životoch prebiehajúce konflikty narúšajú ekosystémy, vyčerpávajú prírodné zdroje, znečisťujú životné prostredie a ohrozujú zdravie našej planéty pre budúce generácie, pričom podkopávajú úsilie o zmiernenie zmeny klímy a adaptáciu na ňu; zdôrazňuje najmä najnovšie správy UNEP o desivom rozsahu škôd na životnom prostredí spôsobených konfliktmi na Ukrajine</w:t>
      </w:r>
      <w:r w:rsidRPr="008334AD">
        <w:rPr>
          <w:vertAlign w:val="superscript"/>
        </w:rPr>
        <w:footnoteReference w:id="27"/>
      </w:r>
      <w:r w:rsidRPr="008334AD">
        <w:t xml:space="preserve"> a v Gaze</w:t>
      </w:r>
      <w:r w:rsidRPr="008334AD">
        <w:rPr>
          <w:vertAlign w:val="superscript"/>
        </w:rPr>
        <w:footnoteReference w:id="28"/>
      </w:r>
      <w:r w:rsidRPr="008334AD">
        <w:t>; ďalej pripomína správu Spoločného výskumného centra o škodách na životnom prostredí spôsobených pokračujúcou ruskou agresiou na Ukrajine</w:t>
      </w:r>
      <w:r w:rsidRPr="008334AD">
        <w:rPr>
          <w:vertAlign w:val="superscript"/>
        </w:rPr>
        <w:footnoteReference w:id="29"/>
      </w:r>
      <w:r w:rsidRPr="008334AD">
        <w:t xml:space="preserve">, ktorá poukazuje na prudký nárast toxického znečistenia, degradáciu pôdy a narušenie monitorovacích systémov; verí, že subjekty, ktoré Medzinárodný súdny dvor uznal za zodpovedné za konflikty, musia byť tiež zodpovedné za klimatické a environmentálne náklady vojny a okupácie a </w:t>
      </w:r>
      <w:r w:rsidRPr="008334AD">
        <w:lastRenderedPageBreak/>
        <w:t>rekonštrukcie po skončení konfliktu;</w:t>
      </w:r>
    </w:p>
    <w:p w14:paraId="41F5A444" w14:textId="77777777" w:rsidR="00A27977" w:rsidRPr="008334AD" w:rsidRDefault="00A27977" w:rsidP="00A27977">
      <w:pPr>
        <w:pStyle w:val="NormalHanging12a"/>
      </w:pPr>
      <w:r w:rsidRPr="008334AD">
        <w:t>72.</w:t>
      </w:r>
      <w:r w:rsidRPr="008334AD">
        <w:tab/>
        <w:t xml:space="preserve">zdôrazňuje, že posilnená diplomacia v oblasti klímy v rámci UNFCCC je kľúčom k potvrdeniu </w:t>
      </w:r>
      <w:proofErr w:type="spellStart"/>
      <w:r w:rsidRPr="008334AD">
        <w:t>multilateralizmu</w:t>
      </w:r>
      <w:proofErr w:type="spellEnd"/>
      <w:r w:rsidRPr="008334AD">
        <w:t xml:space="preserve">, najmä v situácii rastúceho geopolitického napätia a klesajúcej dôvery v globálnu spoluprácu; zdôrazňuje symbolický význam konferencie COP 30 ako 10. výročia Parížskej dohody; vyzýva EÚ a jej členské štáty, aby podporili predsedníctvo COP 30 v jeho záväzku k </w:t>
      </w:r>
      <w:proofErr w:type="spellStart"/>
      <w:r w:rsidRPr="008334AD">
        <w:t>multilateralizmu</w:t>
      </w:r>
      <w:proofErr w:type="spellEnd"/>
      <w:r w:rsidRPr="008334AD">
        <w:t>; zdôrazňuje, že Brazília, ktorá predsedá krajinám BRICS aj konferencii COP 30, môže využiť príležitosť na presadenie silnejšieho a koordinovanejšieho programu na dosiahnutie pokroku v hospodárskych, politických a environmentálnych otázkach;</w:t>
      </w:r>
    </w:p>
    <w:p w14:paraId="07ABA943" w14:textId="77777777" w:rsidR="00A27977" w:rsidRPr="008334AD" w:rsidRDefault="00A27977" w:rsidP="00A27977">
      <w:pPr>
        <w:pStyle w:val="NormalHanging12a"/>
      </w:pPr>
      <w:r w:rsidRPr="008334AD">
        <w:t>73.</w:t>
      </w:r>
      <w:r w:rsidRPr="008334AD">
        <w:tab/>
        <w:t>zdôrazňuje, že ciele v oblasti klímy nemožno dosiahnuť bez podpory a zapojenia verejnosti; vyzýva všetky zmluvné strany, aby zvyšovali povedomie verejnosti o zmene klímy a súvisiacich otázkach a ich chápanie verejnosťou a aby spolupracovali so zástupcami verejnosti s cieľom získať podporu verejnosti pre opatrenia na zmiernenie zmeny klímy a adaptáciu na ňu; je znepokojený narastajúcim šírením mylných informácií a dezinformácií o klíme, a to aj zo strany štátnych subjektov, a naliehavo vyzýva všetky vlády, aby sa tým urýchlene zaoberali vzhľadom na hrozbu, ktorú to predstavuje pre zmysluplné opatrenia v oblasti klímy, ako aj pre demokraciu; zdôrazňuje význam prístupu k vedecky podloženým informáciám a ochrany nezávislých médií; zdôrazňuje dôležitosť práce IPCC, ktorej cieľom je poskytovať spoľahlivé vedecké poradenstvo a údaje; vyzýva UNFCCC, aby zintenzívnila úsilie v boji proti dezinformáciám o klíme; vyzýva Komisiu, aby sa pripojila ku Globálnej iniciatíve za integritu informácií o zmene klímy s cieľom bojovať proti dezinformáciám o klíme;</w:t>
      </w:r>
    </w:p>
    <w:p w14:paraId="5F8919AC" w14:textId="77777777" w:rsidR="00A27977" w:rsidRPr="008334AD" w:rsidRDefault="00A27977" w:rsidP="00A27977">
      <w:pPr>
        <w:pStyle w:val="NormalHanging12a"/>
        <w:rPr>
          <w:b/>
          <w:bCs/>
          <w:i/>
        </w:rPr>
      </w:pPr>
      <w:r w:rsidRPr="008334AD">
        <w:rPr>
          <w:b/>
          <w:i/>
        </w:rPr>
        <w:t>Úsilie vo všetkých odvetviach</w:t>
      </w:r>
    </w:p>
    <w:p w14:paraId="29AACD61" w14:textId="77777777" w:rsidR="00A27977" w:rsidRPr="008334AD" w:rsidRDefault="00A27977" w:rsidP="00A27977">
      <w:pPr>
        <w:pStyle w:val="NormalHanging12a"/>
      </w:pPr>
      <w:r w:rsidRPr="008334AD">
        <w:t>74.</w:t>
      </w:r>
      <w:r w:rsidRPr="008334AD">
        <w:tab/>
        <w:t>zdôrazňuje, že k znižovaniu emisií a k dosiahnutiu klimatickej neutrality v súlade s Parížskou dohodou musia prispievať všetky odvetvia;</w:t>
      </w:r>
    </w:p>
    <w:p w14:paraId="1895B950" w14:textId="77777777" w:rsidR="00A27977" w:rsidRPr="008334AD" w:rsidRDefault="00A27977" w:rsidP="00A27977">
      <w:pPr>
        <w:pStyle w:val="NormalHanging12a"/>
      </w:pPr>
      <w:r w:rsidRPr="008334AD">
        <w:t>75.</w:t>
      </w:r>
      <w:r w:rsidRPr="008334AD">
        <w:tab/>
        <w:t>víta skutočnosť, že globálny záväzok o metáne podpísalo takmer 160 zmluvných strán; vyzýva tie členské štáty EÚ, ktoré sa k záväzku ešte nepridali, aby tak urobili pred konferenciou COP 30; vyzýva Komisiu a členské štáty, aby prijali ďalšie opatrenia na splnenie cieľa záväzku o metáne; vyzýva všetky zmluvné strany, aby prijali konkrétne ciele znižovania emisií metánu a začlenili ich do svojich NDC; požaduje kvantifikované a vedecky podložené posúdenie pokroku, ktorý sa dosiahol od jeho prijatia na konferencii COP 26;</w:t>
      </w:r>
    </w:p>
    <w:p w14:paraId="42F2F8F2" w14:textId="77777777" w:rsidR="00A27977" w:rsidRPr="008334AD" w:rsidRDefault="00A27977" w:rsidP="00A27977">
      <w:pPr>
        <w:pStyle w:val="NormalHanging12a"/>
      </w:pPr>
      <w:r w:rsidRPr="008334AD">
        <w:t>76.</w:t>
      </w:r>
      <w:r w:rsidRPr="008334AD">
        <w:tab/>
        <w:t xml:space="preserve">pripomína, že metán má počas prvých 20 rokov svojho pôsobenia v atmosfére viac ako 80-násobne silnejší otepľovací účinok než oxid uhličitý, a zdôrazňuje, že je dôležité urýchliť znižovanie emisií metánu; so znepokojením berie na vedomie zistenia zo správy Medzinárodnej agentúry pre energiu (IEA) z roku 2025, v ktorej sa zdôrazňuje pokračujúci nárast emisií metánu, slabé plnenie globálneho záväzku o metáne a skutočnosť, že krajiny značne podhodnocujú znečistenie metánom vo svojich energetických sektoroch, pričom IEA odhaduje, že emisie sú približne o 80 % vyššie, ako uvádzajú vlády; pripomína, že emisie metánu z energetického sektora zostávajú jednou z najjednoduchších a ekonomicky najvýhodnejších kategórií emisií, ktoré možno celosvetovo znížiť; vyzýva EÚ, aby spolu s ďalšími významnými dovozcami fosílnych palív podporila vytvorenie nákupného klubu zameraného na znižovanie metánu, inšpirovaného koalíciou </w:t>
      </w:r>
      <w:proofErr w:type="spellStart"/>
      <w:r w:rsidRPr="008334AD">
        <w:t>First</w:t>
      </w:r>
      <w:proofErr w:type="spellEnd"/>
      <w:r w:rsidRPr="008334AD">
        <w:t xml:space="preserve"> </w:t>
      </w:r>
      <w:proofErr w:type="spellStart"/>
      <w:r w:rsidRPr="008334AD">
        <w:t>Movers</w:t>
      </w:r>
      <w:proofErr w:type="spellEnd"/>
      <w:r w:rsidRPr="008334AD">
        <w:t xml:space="preserve"> </w:t>
      </w:r>
      <w:proofErr w:type="spellStart"/>
      <w:r w:rsidRPr="008334AD">
        <w:t>Coalition</w:t>
      </w:r>
      <w:proofErr w:type="spellEnd"/>
      <w:r w:rsidRPr="008334AD">
        <w:t>, ktorý by prijal spoločnú maximálnu hodnotu intenzity metánu v súlade s nariadením (EÚ) 2024/1787, a tým urýchlil celosvetové znižovanie metánu;</w:t>
      </w:r>
    </w:p>
    <w:p w14:paraId="7E452F4E" w14:textId="77777777" w:rsidR="00A27977" w:rsidRPr="008334AD" w:rsidRDefault="00A27977" w:rsidP="00A27977">
      <w:pPr>
        <w:pStyle w:val="NormalHanging12a"/>
      </w:pPr>
      <w:r w:rsidRPr="008334AD">
        <w:lastRenderedPageBreak/>
        <w:t>77.</w:t>
      </w:r>
      <w:r w:rsidRPr="008334AD">
        <w:tab/>
        <w:t>pripomína nariadenie (EÚ) 2024/1787 o znižovaní emisií metánu v odvetví energetiky, ktoré sa bude od 1. januára 2027 v EÚ uplatňovať aj na dovozcov ropy, zemného plynu a uhlia; zdôrazňuje kľúčovú úlohu tohto nariadenia a jeho vykonávania pri podpore znižovania emisií metánu v počiatočnom štádiu výroby, zabezpečení dôvery investorov a stanovení globálnych noriem;</w:t>
      </w:r>
    </w:p>
    <w:p w14:paraId="3F34C9E8" w14:textId="77777777" w:rsidR="00A27977" w:rsidRPr="008334AD" w:rsidRDefault="00A27977" w:rsidP="00A27977">
      <w:pPr>
        <w:pStyle w:val="NormalHanging12a"/>
      </w:pPr>
      <w:r w:rsidRPr="008334AD">
        <w:t>78.</w:t>
      </w:r>
      <w:r w:rsidRPr="008334AD">
        <w:tab/>
        <w:t xml:space="preserve">so znepokojením konštatuje, že odvetvie dopravy je jediným odvetvím, v ktorom emisie na úrovni EÚ od roku 1990 vzrástli, a že na splnenie cieľov EÚ v oblasti klímy bude potrebné výraznejšie zníženie; zdôrazňuje význam ďalších opatrení na podporu elektrifikácie cestnej dopravy ako spôsobu znižovania emisií z cestnej dopravy spolu s ďalšími opatreniami na podporu prechodu na iný druh dopravy, </w:t>
      </w:r>
      <w:proofErr w:type="spellStart"/>
      <w:r w:rsidRPr="008334AD">
        <w:t>intermodálnej</w:t>
      </w:r>
      <w:proofErr w:type="spellEnd"/>
      <w:r w:rsidRPr="008334AD">
        <w:t xml:space="preserve"> dopravy a verejnej dopravy vo všeobecnosti; vyzýva Komisiu, aby do NDC zahrnula aj emisie z medzinárodnej dopravy; vyjadruje znepokojenie nad tým, že zo správy Komisie o posúdení národných energetických a klimatických plánov z roku 2025 vyplýva, že niektoré členské štáty ešte stále majú systémy podpory pre vozidlá na fosílne palivá, a vyzýva tieto členské štáty, aby ich postupne zrušili;</w:t>
      </w:r>
    </w:p>
    <w:p w14:paraId="6732ABCF" w14:textId="77777777" w:rsidR="00A27977" w:rsidRPr="008334AD" w:rsidRDefault="00A27977" w:rsidP="00A27977">
      <w:pPr>
        <w:pStyle w:val="NormalHanging12a"/>
      </w:pPr>
      <w:r w:rsidRPr="008334AD">
        <w:t>79.</w:t>
      </w:r>
      <w:r w:rsidRPr="008334AD">
        <w:tab/>
        <w:t xml:space="preserve">opätovne vyzýva Komisiu, aby zabezpečila sociálnu spravodlivosť opatrení na dekarbonizáciu dopravy, a to aj začlenením emisií zo </w:t>
      </w:r>
      <w:proofErr w:type="spellStart"/>
      <w:r w:rsidRPr="008334AD">
        <w:t>superjácht</w:t>
      </w:r>
      <w:proofErr w:type="spellEnd"/>
      <w:r w:rsidRPr="008334AD">
        <w:t>, súkromných lietadiel a služobných lietadiel do politík EÚ v oblasti klímy; ďalej opakovane vyzýva všetky zmluvné strany vrátane členských štátov EÚ, aby prijali opatrenia, ktoré by odrádzali od používania súkromných lietadiel; upozorňuje na neprimeraný vplyv súkromných lietadiel na klímu, ktoré v prepočte na jedného cestujúceho znečisťujú až 14-krát viac než komerčné lety; zdôrazňuje, že je dôležité ísť príkladom, a vyzýva všetkých účastníkov konferencie COP 30, vrátane zástupcov inštitúcií EÚ, aby nepoužívali súkromné lietadlá a na cestu do cieľa zvolili čo najmenej znečisťujúcu možnosť dopravy</w:t>
      </w:r>
      <w:r w:rsidRPr="008334AD">
        <w:rPr>
          <w:vertAlign w:val="superscript"/>
        </w:rPr>
        <w:footnoteReference w:id="30"/>
      </w:r>
      <w:r w:rsidRPr="008334AD">
        <w:t>;</w:t>
      </w:r>
    </w:p>
    <w:p w14:paraId="1DF61EEF" w14:textId="77777777" w:rsidR="00A27977" w:rsidRPr="008334AD" w:rsidRDefault="00A27977" w:rsidP="00A27977">
      <w:pPr>
        <w:pStyle w:val="NormalHanging12a"/>
      </w:pPr>
      <w:r w:rsidRPr="008334AD">
        <w:t>80.</w:t>
      </w:r>
      <w:r w:rsidRPr="008334AD">
        <w:tab/>
        <w:t>víta pokrok dosiahnutý na medzinárodnej úrovni pri ukladaní poplatkov za emisie oxidu uhličitého v medzinárodnej lodnej doprave; domnieva sa však, že medzi dohodou, ktorú dosiahla Medzinárodná námorná organizácia (IMO), a dlhodobými cieľmi, ktoré IMO stanovila, stále existuje rozdiel; v tejto súvislosti zdôrazňuje systém EÚ na obchodovanie s emisiami (ETS), ktorý sa od roku 2025 postupne vzťahuje na námornú dopravu;</w:t>
      </w:r>
    </w:p>
    <w:p w14:paraId="060D7E89" w14:textId="77777777" w:rsidR="00A27977" w:rsidRPr="008334AD" w:rsidRDefault="00A27977" w:rsidP="00A27977">
      <w:pPr>
        <w:pStyle w:val="NormalHanging12a"/>
      </w:pPr>
      <w:r w:rsidRPr="008334AD">
        <w:t>81.</w:t>
      </w:r>
      <w:r w:rsidRPr="008334AD">
        <w:tab/>
        <w:t>vyzýva Komisiu, aby po formálnom prijatí dekarbonizačných opatrení prijatých IMO na 83. zasadnutí Výboru pre ochranu morského prostredia (MEPC 83) predložila Parlamentu správu, v ktorej posúdi ich celkovú environmentálnu integritu a ich príspevok k cieľom Parížskej dohody, ako aj porovnanie s úrovňou environmentálnej integrity, ktorú zabezpečujú ustanovenia EU ETS;</w:t>
      </w:r>
    </w:p>
    <w:p w14:paraId="4EBBFABA" w14:textId="77777777" w:rsidR="00A27977" w:rsidRPr="008334AD" w:rsidRDefault="00A27977" w:rsidP="00A27977">
      <w:pPr>
        <w:pStyle w:val="NormalHanging12a"/>
      </w:pPr>
      <w:r w:rsidRPr="008334AD">
        <w:t>82.</w:t>
      </w:r>
      <w:r w:rsidRPr="008334AD">
        <w:tab/>
        <w:t>víta analýzu</w:t>
      </w:r>
      <w:r w:rsidRPr="008334AD">
        <w:rPr>
          <w:vertAlign w:val="superscript"/>
        </w:rPr>
        <w:footnoteReference w:id="31"/>
      </w:r>
      <w:r w:rsidRPr="008334AD">
        <w:t xml:space="preserve">, ktorú Komisia uverejnila 18. marca 2025 a z ktorej vyplýva, že neexistujú dôkazy poukazujúce na nárast využívania menších lodí mimo rozsahu pôsobnosti systému EU ETS alebo presunov z lode na loď ako spôsobu obchádzania nedávneho rozšírenia systému EU ETS na námornú dopravu; pripomína doložku o preskúmaní EU ETS 2026, ktorá umožňuje rozšírenie rozsahu pôsobnosti na menšie </w:t>
      </w:r>
      <w:r w:rsidRPr="008334AD">
        <w:lastRenderedPageBreak/>
        <w:t xml:space="preserve">lode vrátane </w:t>
      </w:r>
      <w:proofErr w:type="spellStart"/>
      <w:r w:rsidRPr="008334AD">
        <w:t>príbrežných</w:t>
      </w:r>
      <w:proofErr w:type="spellEnd"/>
      <w:r w:rsidRPr="008334AD">
        <w:t xml:space="preserve"> lodí s hrubou priestornosťou od 400 do 5 000 ton;</w:t>
      </w:r>
    </w:p>
    <w:p w14:paraId="1C8E8AD0" w14:textId="77777777" w:rsidR="00A27977" w:rsidRPr="008334AD" w:rsidRDefault="00A27977" w:rsidP="00A27977">
      <w:pPr>
        <w:pStyle w:val="NormalHanging12a"/>
      </w:pPr>
      <w:r w:rsidRPr="008334AD">
        <w:t>83.</w:t>
      </w:r>
      <w:r w:rsidRPr="008334AD">
        <w:tab/>
        <w:t>konštatuje, že odvetvie poľnohospodárstva bolo v roku 2020 zodpovedné za 10 – 12 % celosvetových antropogénnych emisií a 11 % celkových emisií EÚ v roku 2020; uznáva významný potenciál, ktorý má znižovanie emisií skleníkových plynov v odvetví poľnohospodárstva; zdôrazňuje, že poľnohospodári a odvetvie poľnohospodárstva sú obzvlášť zraniteľní voči zmene klímy, ktorá predstavujú významnú hrozbu pre potravinovú bezpečnosť na celom svete; zdôrazňuje, že politiky zamerané na dosiahnutie zníženia emisií v poľnohospodárskom sektore by mali v čo najväčšej miere zaručiť potravinovú bezpečnosť; zdôrazňuje, že je potrebné zaviesť politický rámec, ktorý by motivoval na udržateľné poľnohospodárske metódy, podporoval poľnohospodárov, najmä malých poľnohospodárov, pri prechode na odolné postupy a ktorý by odmeňoval poľnohospodárov, ktorí podporujú úsilie o zmiernenie dôsledkov zmeny klímy a chránia biodiverzitu; zdôrazňuje environmentálne prínosy opätovného zavlaženia odvodnených rašelinísk a ďalších opatrení podporujúcich biodiverzitu, zdravie pôdy a kvalitu vody v poľnohospodárskych podnikoch, ktoré zároveň prispievajú k zmierňovaniu zmeny klímy a adaptácii na ňu;</w:t>
      </w:r>
    </w:p>
    <w:p w14:paraId="23700DDA" w14:textId="77777777" w:rsidR="00A27977" w:rsidRPr="008334AD" w:rsidRDefault="00A27977" w:rsidP="00A27977">
      <w:pPr>
        <w:pStyle w:val="NormalHanging12a"/>
      </w:pPr>
      <w:r w:rsidRPr="008334AD">
        <w:t>84.</w:t>
      </w:r>
      <w:r w:rsidRPr="008334AD">
        <w:tab/>
        <w:t>víta skutočnosť, že podľa Svetovej banky je dnes 24 % celosvetových emisií pokrytých stanovením cien uhlíka</w:t>
      </w:r>
      <w:r w:rsidRPr="008334AD">
        <w:rPr>
          <w:vertAlign w:val="superscript"/>
        </w:rPr>
        <w:footnoteReference w:id="32"/>
      </w:r>
      <w:r w:rsidRPr="008334AD">
        <w:t>; vyjadruje však poľutovanie nad tým, že pokrytie aj priemerná cenová úroveň sú stále príliš nízke na to, aby sa dosiahli ciele stanovené v Parížskej dohode; zdôrazňuje, že stanovenie cien uhlíka zvyšuje príjmy, ktoré by sa mali použiť na opatrenia v oblasti klímy a spravodlivú transformáciu;</w:t>
      </w:r>
    </w:p>
    <w:p w14:paraId="1CD03831" w14:textId="77777777" w:rsidR="00A27977" w:rsidRPr="008334AD" w:rsidRDefault="00A27977" w:rsidP="00A27977">
      <w:pPr>
        <w:pStyle w:val="NormalHanging12a"/>
      </w:pPr>
      <w:r w:rsidRPr="008334AD">
        <w:t>85.</w:t>
      </w:r>
      <w:r w:rsidRPr="008334AD">
        <w:tab/>
        <w:t>víta skutočnosť, že Brazília zavádza systém obchodovania s emisiami a že viacerí obchodní partneri EÚ zaviedli alebo plánujú zaviesť obchodovanie s uhlíkom alebo iné mechanizmy stanovovania cien uhlíka, a to aj v reakcii na zavedenie mechanizmu uhlíkovej kompenzácie na hraniciach (CBAM); vyzýva Komisiu, aby ďalej povzbudzovala a podporovala ostatné zmluvné strany pri zavádzaní alebo zlepšovaní mechanizmov stanovovania cien uhlíka a aby preskúmala prepojenia a iné formy spolupráce s existujúcimi mechanizmami stanovovania cien uhlíka mimo EÚ; v tejto súvislosti vyzýva Komisiu, aby zabezpečila, aby akékoľvek prepojenia s EU ETS naďalej prinášali dodatočné a trvalé príspevky k zmierňovaniu zmeny klímy a neohrozovali záväzky EÚ týkajúce sa domácich emisií skleníkových plynov;</w:t>
      </w:r>
    </w:p>
    <w:p w14:paraId="7B087B07" w14:textId="77777777" w:rsidR="00A27977" w:rsidRPr="008334AD" w:rsidRDefault="00A27977" w:rsidP="00A27977">
      <w:pPr>
        <w:pStyle w:val="NormalHanging12a"/>
      </w:pPr>
      <w:r w:rsidRPr="008334AD">
        <w:t>86.</w:t>
      </w:r>
      <w:r w:rsidRPr="008334AD">
        <w:tab/>
        <w:t xml:space="preserve">zdôrazňuje, že globálne hodnotenie zvýrazňuje význam prechodu na udržateľný životný štýl a udržateľné modely spotreby a výroby, a to aj prostredníctvom </w:t>
      </w:r>
      <w:proofErr w:type="spellStart"/>
      <w:r w:rsidRPr="008334AD">
        <w:t>obehovejšieho</w:t>
      </w:r>
      <w:proofErr w:type="spellEnd"/>
      <w:r w:rsidRPr="008334AD">
        <w:t xml:space="preserve"> hospodárstva; zdôrazňuje, že je potrebné zintenzívniť úsilie o rozvoj a zlepšenie obehového hospodárstva EÚ; vyzýva Komisiu, aby po posúdení vplyvu čo najskôr navrhla cieľ pre materiálovú a spotrebnú stopu EÚ na rok 2030 v súlade so záväzkom 8. EAP;</w:t>
      </w:r>
    </w:p>
    <w:p w14:paraId="0F64A379" w14:textId="77777777" w:rsidR="00A27977" w:rsidRPr="008334AD" w:rsidRDefault="00A27977" w:rsidP="00A27977">
      <w:pPr>
        <w:pStyle w:val="NormalHanging12a"/>
      </w:pPr>
      <w:r w:rsidRPr="008334AD">
        <w:t>87.</w:t>
      </w:r>
      <w:r w:rsidRPr="008334AD">
        <w:tab/>
        <w:t xml:space="preserve">zdôrazňuje potrebu riešiť vplyv textilného odvetvia na klímu a životné prostredie, keďže zodpovedá približne za 8 – 10 % celosvetových emisií skleníkových plynov a značnú spotrebu zdrojov, najmä vody a energie; opakuje, že textilné odvetvie musí zohrávať dôležitú úlohu pri prechode na obehové hospodárstvo a že musí riešiť výzvy týkajúce sa predchádzania vzniku odpadu, nakladania s odpadom, vylučovania </w:t>
      </w:r>
      <w:proofErr w:type="spellStart"/>
      <w:r w:rsidRPr="008334AD">
        <w:t>mikroplastov</w:t>
      </w:r>
      <w:proofErr w:type="spellEnd"/>
      <w:r w:rsidRPr="008334AD">
        <w:t xml:space="preserve">, spotreby vody, nadvýroby, postupov </w:t>
      </w:r>
      <w:proofErr w:type="spellStart"/>
      <w:r w:rsidRPr="008334AD">
        <w:t>ultrarýchlej</w:t>
      </w:r>
      <w:proofErr w:type="spellEnd"/>
      <w:r w:rsidRPr="008334AD">
        <w:t xml:space="preserve"> a rýchlej módy, celkovej trvanlivosti a </w:t>
      </w:r>
      <w:proofErr w:type="spellStart"/>
      <w:r w:rsidRPr="008334AD">
        <w:t>netoxickosti</w:t>
      </w:r>
      <w:proofErr w:type="spellEnd"/>
      <w:r w:rsidRPr="008334AD">
        <w:t xml:space="preserve"> výrobného procesu a </w:t>
      </w:r>
      <w:proofErr w:type="spellStart"/>
      <w:r w:rsidRPr="008334AD">
        <w:t>recyklovateľnosti</w:t>
      </w:r>
      <w:proofErr w:type="spellEnd"/>
      <w:r w:rsidRPr="008334AD">
        <w:t xml:space="preserve"> v textilnom odvetví; v </w:t>
      </w:r>
      <w:r w:rsidRPr="008334AD">
        <w:lastRenderedPageBreak/>
        <w:t>tejto súvislosti zdôrazňuje význam nedávnej zmeny rámcovej smernice EÚ o odpade; zdôrazňuje, že je potrebné urýchlene zlepšiť normy v oblasti ľudských práv v celom hodnotovom reťazci textilného odvetvia;</w:t>
      </w:r>
    </w:p>
    <w:p w14:paraId="22E00A0A" w14:textId="77777777" w:rsidR="00A27977" w:rsidRPr="008334AD" w:rsidRDefault="00A27977" w:rsidP="00A27977">
      <w:pPr>
        <w:pStyle w:val="NormalHanging12a"/>
      </w:pPr>
      <w:r w:rsidRPr="008334AD">
        <w:t>88.</w:t>
      </w:r>
      <w:r w:rsidRPr="008334AD">
        <w:tab/>
        <w:t xml:space="preserve">zdôrazňuje vplyv zmeny klímy na odvetvie cestovného ruchu ako prispievateľa a zároveň zraniteľného odvetvia a potrebu, aby sa destinácie prispôsobili klimatickým rizikám a rozvíjali cestovný ruch odolný voči zmene klímy; vyzýva na podporu prechodu na udržateľnejší cestovný ruch s environmentálne zodpovednými a </w:t>
      </w:r>
      <w:proofErr w:type="spellStart"/>
      <w:r w:rsidRPr="008334AD">
        <w:t>nízkouhlíkovými</w:t>
      </w:r>
      <w:proofErr w:type="spellEnd"/>
      <w:r w:rsidRPr="008334AD">
        <w:t xml:space="preserve"> postupmi;</w:t>
      </w:r>
    </w:p>
    <w:p w14:paraId="07EDD423" w14:textId="77777777" w:rsidR="00A27977" w:rsidRPr="008334AD" w:rsidRDefault="00A27977" w:rsidP="00A27977">
      <w:pPr>
        <w:pStyle w:val="NormalHanging12a"/>
      </w:pPr>
      <w:r w:rsidRPr="008334AD">
        <w:t>89.</w:t>
      </w:r>
      <w:r w:rsidRPr="008334AD">
        <w:tab/>
        <w:t>konštatuje, že existuje čoraz väčší vedecký a politický záujem o modifikáciu slnečného žiarenia (SRM), navrhovaný súbor prístupov klimatického inžinierstva, ako je vstrekovanie aerosólu do stratosféry, s cieľom umelo odrážať slnečné svetlo a ochladzovať planétu; zdôrazňuje, že SRM nijako nerieši hlavnú príčinu zmeny klímy, neposkytuje žiadnu vedeckú istotu účinku, a ohrozuje klimatickú a geopolitickú stabilitu, potenciálne katastrofickým spôsobom; pripomína, že rezolúcia OSN o globálnej správe a riadení je zablokovaná; zdôrazňuje, že vzhľadom na absenciu spoľahlivých vedeckých dôkazov o bezpečnosti, účinnosti a riadení sa musí každé klimatické inžinierstvo riadiť zásadou predbežnej opatrnosti;</w:t>
      </w:r>
    </w:p>
    <w:p w14:paraId="49F00686" w14:textId="77777777" w:rsidR="00A27977" w:rsidRPr="008334AD" w:rsidRDefault="00A27977" w:rsidP="00A27977">
      <w:pPr>
        <w:pStyle w:val="NormalHanging12a"/>
      </w:pPr>
      <w:r w:rsidRPr="008334AD">
        <w:t>90.</w:t>
      </w:r>
      <w:r w:rsidRPr="008334AD">
        <w:tab/>
        <w:t>pripomína odporúčania skupiny hlavných vedeckých poradcov Komisie uverejnené v decembri 2024, a v súlade s nimi vyzýva Komisiu, aby prevzala aktívnu úlohu pri rokovaniach o globálnom rámci riadenia SRM založenom na pevnom postoji nepoužívania a aby posilnila schopnosť odhaliť a kvantifikovať akékoľvek neohlásené použitie SRM; ďalej vyzýva Komisiu a členské štáty, aby sa dohodli na celoeurópskom moratóriu na používanie SRM a aby zabezpečili, že prípadné verejné financovanie zodpovedného vedeckého výskumu a komplexného medzinárodného hodnotenia rizík, potenciálnych účinkov a vplyvov tejto technológie nenahradí verejné financovanie výskumu v oblasti adaptácie a zmierňovania;</w:t>
      </w:r>
    </w:p>
    <w:p w14:paraId="45929EC3" w14:textId="77777777" w:rsidR="00A27977" w:rsidRPr="008334AD" w:rsidRDefault="00A27977" w:rsidP="00A27977">
      <w:pPr>
        <w:pStyle w:val="NormalHanging12a"/>
        <w:rPr>
          <w:b/>
          <w:i/>
          <w:iCs/>
        </w:rPr>
      </w:pPr>
      <w:r w:rsidRPr="008334AD">
        <w:rPr>
          <w:b/>
          <w:i/>
        </w:rPr>
        <w:t>Zmena klímy a rodové otázky</w:t>
      </w:r>
    </w:p>
    <w:p w14:paraId="24E16A25" w14:textId="2B21C412" w:rsidR="00A27977" w:rsidRPr="008334AD" w:rsidRDefault="005A69D2" w:rsidP="00A27977">
      <w:pPr>
        <w:pStyle w:val="NormalHanging12a"/>
      </w:pPr>
      <w:r w:rsidRPr="008334AD">
        <w:t>91</w:t>
      </w:r>
      <w:r w:rsidR="00A27977" w:rsidRPr="008334AD">
        <w:t>.</w:t>
      </w:r>
      <w:r w:rsidR="00A27977" w:rsidRPr="008334AD">
        <w:tab/>
        <w:t>zdôrazňuje význam rodového hľadiska a inkluzívnych prístupov v procese UNFCCC vrátane pracovného programu spravodlivej transformácie; vyzýva všetky zmluvné strany vrátane EÚ a jej členských štátov, aby zvýšili úsilie o začlenenie rodovej rovnosti do svojich revidovaných NDC a národných adaptačných plánov a do svojich politík v oblasti klímy a životného prostredia, najmä tých, ktoré sa týkajú zmierňovania, adaptácie a strát a škôd; zdôrazňuje, že je potrebné, aby všetky zmluvné strany vrátane EÚ a jej členských štátov prijali konkrétnejšie opatrenia s cieľom splniť záväzky obnoveného akčného plánu pre rodovú rovnosť dohodnutého na konferencii COP 25; vyzýva členské štáty a Komisiu, aby zvýšili úsilie o dosiahnutie cieľov stanovených v treťom akčnom pláne EÚ pre rodovú rovnosť;</w:t>
      </w:r>
    </w:p>
    <w:p w14:paraId="76B1D5F8" w14:textId="496BAB40" w:rsidR="00A27977" w:rsidRPr="008334AD" w:rsidRDefault="005A69D2" w:rsidP="00A27977">
      <w:pPr>
        <w:pStyle w:val="NormalHanging12a"/>
      </w:pPr>
      <w:r w:rsidRPr="008334AD">
        <w:t>92</w:t>
      </w:r>
      <w:r w:rsidR="00A27977" w:rsidRPr="008334AD">
        <w:t>.</w:t>
      </w:r>
      <w:r w:rsidR="00A27977" w:rsidRPr="008334AD">
        <w:tab/>
        <w:t>vyzýva na vypracovanie nového ambiciózneho akčného plánu pre rodovú rovnosť pred konferenciou COP 30, ktorý by bol prierezový, inkluzívny, merateľný, založený na ľudských právach a súdržný vo všetkých oblastiach opatrení v oblasti klímy; vyzýva zmluvné strany, aby zabezpečili, že financovanie opatrení v oblasti zmeny klímy bude zohľadňovať rodové hľadisko a že akčný plán pre rodovú rovnosť bude obsahovať primeraný a špecializovaný plán financovania; vyzýva všetky zmluvné strany, aby počas konferencie COP 30 podporili prijatie nového akčného plánu pre rodovú rovnosť;</w:t>
      </w:r>
    </w:p>
    <w:p w14:paraId="1F6A84B4" w14:textId="42957F61" w:rsidR="00A27977" w:rsidRPr="008334AD" w:rsidRDefault="005A69D2" w:rsidP="00A27977">
      <w:pPr>
        <w:pStyle w:val="NormalHanging12a"/>
      </w:pPr>
      <w:r w:rsidRPr="008334AD">
        <w:t>93</w:t>
      </w:r>
      <w:r w:rsidR="00A27977" w:rsidRPr="008334AD">
        <w:t>.</w:t>
      </w:r>
      <w:r w:rsidR="00A27977" w:rsidRPr="008334AD">
        <w:tab/>
        <w:t xml:space="preserve">opakovane zdôrazňuje, že adaptačná schopnosť a zraniteľnosť sa líšia podľa pohlavia, </w:t>
      </w:r>
      <w:r w:rsidR="00A27977" w:rsidRPr="008334AD">
        <w:lastRenderedPageBreak/>
        <w:t xml:space="preserve">veku, schopností, rasy a povolania; vyzýva preto všetky zmluvné strany, aby vo svojich národných adaptačných plánoch, adaptačných oznámeniach a NDC posúdili potreby zraniteľných skupín obyvateľstva, reagovali na </w:t>
      </w:r>
      <w:proofErr w:type="spellStart"/>
      <w:r w:rsidR="00A27977" w:rsidRPr="008334AD">
        <w:t>ne</w:t>
      </w:r>
      <w:proofErr w:type="spellEnd"/>
      <w:r w:rsidR="00A27977" w:rsidRPr="008334AD">
        <w:t xml:space="preserve"> a prioritne ich riešili;</w:t>
      </w:r>
    </w:p>
    <w:p w14:paraId="5471BFBC" w14:textId="7C4490DD" w:rsidR="00A27977" w:rsidRPr="008334AD" w:rsidRDefault="005A69D2" w:rsidP="00A27977">
      <w:pPr>
        <w:pStyle w:val="NormalHanging12a"/>
      </w:pPr>
      <w:r w:rsidRPr="008334AD">
        <w:t>94</w:t>
      </w:r>
      <w:r w:rsidR="00A27977" w:rsidRPr="008334AD">
        <w:t>.</w:t>
      </w:r>
      <w:r w:rsidR="00A27977" w:rsidRPr="008334AD">
        <w:tab/>
        <w:t xml:space="preserve">uznáva neprimeraný vplyv zmeny klímy na ženy a dievčatá, ktorý prehlbuje existujúce rodové rozdiely a predstavuje jedinečné hrozby pre ich živobytie, zdravie a bezpečnosť; opakovane zdôrazňuje, že je potrebné urýchliť opatrenia na znižovanie rizika katastrof s ohľadom na rodovú rovnosť, a teda aj na vykonávanie </w:t>
      </w:r>
      <w:proofErr w:type="spellStart"/>
      <w:r w:rsidR="00A27977" w:rsidRPr="008334AD">
        <w:t>sendaiského</w:t>
      </w:r>
      <w:proofErr w:type="spellEnd"/>
      <w:r w:rsidR="00A27977" w:rsidRPr="008334AD">
        <w:t xml:space="preserve"> rámca s ohľadom na rodovú rovnosť; vyzýva na ďalšie úsilie o stanovenie priorít a zohľadnenie rodovej rovnosti v rámci pripravenosti na katastrofy, najmä prostredníctvom využívania súborov údajov o znižovaní rizika katastrof;</w:t>
      </w:r>
    </w:p>
    <w:p w14:paraId="2AD5810A" w14:textId="6D766C50" w:rsidR="00A27977" w:rsidRPr="008334AD" w:rsidRDefault="005A69D2" w:rsidP="00A27977">
      <w:pPr>
        <w:pStyle w:val="NormalHanging12a"/>
      </w:pPr>
      <w:r w:rsidRPr="008334AD">
        <w:t>95</w:t>
      </w:r>
      <w:r w:rsidR="00A27977" w:rsidRPr="008334AD">
        <w:t>.</w:t>
      </w:r>
      <w:r w:rsidR="00A27977" w:rsidRPr="008334AD">
        <w:tab/>
        <w:t>domnieva sa, že je potrebné zvýšiť a uľahčiť prístup žien k inkluzívnemu financovaniu opatrení v oblasti zmeny klímy, pričom konštatuje, že ženy majú nepomerne menší prístup k finančným zdrojom na projekty v oblasti adaptácie na zmenu klímy a jej zmiernenia; naliehavo vyzýva EÚ a jej členské štáty, aby podávali správy o tom, ako ich príspevky k financovaniu opatrení v oblasti zmeny klímy reagujú na rodovú rovnosť, a aby zvýšili konzistentnosť medzi podporou rodovej rovnosti a klímy prostredníctvom nástrojov vonkajšej činnosti a Európskej investičnej banky;</w:t>
      </w:r>
    </w:p>
    <w:p w14:paraId="5BC42C21" w14:textId="732626FB" w:rsidR="00A27977" w:rsidRPr="008334AD" w:rsidRDefault="005A69D2" w:rsidP="00A27977">
      <w:pPr>
        <w:pStyle w:val="NormalHanging12a"/>
      </w:pPr>
      <w:r w:rsidRPr="008334AD">
        <w:t>96</w:t>
      </w:r>
      <w:r w:rsidR="00A27977" w:rsidRPr="008334AD">
        <w:t>.</w:t>
      </w:r>
      <w:r w:rsidR="00A27977" w:rsidRPr="008334AD">
        <w:tab/>
        <w:t>opakovane zdôrazňuje význam zvýšenia účasti žien na rozhodovaní v kontexte diplomacie v oblasti klímy vrátane účasti v delegáciách COP a na vedúcich pozíciách na všetkých úrovniach opatrení v oblasti klímy; vyzýva všetky zmluvné strany, aby sa usilovali o dosiahnutie rodovej rovnosti vo svojich delegáciách a na všetkých úrovniach rozhodovania a rokovaní o zmene klímy; vyzýva všetky zmluvné strany, aby vymenovali národné kontaktné miesto pre rodovú rovnosť a zmenu klímy a aby zvýšili súvisiace zdroje, odbornú prípravu a podporu, a to aj v rámci EÚ;</w:t>
      </w:r>
    </w:p>
    <w:p w14:paraId="0FDDE37B" w14:textId="77777777" w:rsidR="00A27977" w:rsidRPr="008334AD" w:rsidRDefault="00A27977" w:rsidP="00A27977">
      <w:pPr>
        <w:pStyle w:val="NormalHanging12a"/>
        <w:rPr>
          <w:b/>
          <w:bCs/>
          <w:i/>
        </w:rPr>
      </w:pPr>
      <w:r w:rsidRPr="008334AD">
        <w:rPr>
          <w:b/>
          <w:i/>
        </w:rPr>
        <w:t>Účasť zainteresovaných strán na konferencii COP 30</w:t>
      </w:r>
    </w:p>
    <w:p w14:paraId="4E6C91F7" w14:textId="19B25702" w:rsidR="00A27977" w:rsidRPr="008334AD" w:rsidRDefault="005A69D2" w:rsidP="00A27977">
      <w:pPr>
        <w:pStyle w:val="NormalHanging12a"/>
      </w:pPr>
      <w:r w:rsidRPr="008334AD">
        <w:t>97</w:t>
      </w:r>
      <w:r w:rsidR="00A27977" w:rsidRPr="008334AD">
        <w:t>.</w:t>
      </w:r>
      <w:r w:rsidR="00A27977" w:rsidRPr="008334AD">
        <w:tab/>
        <w:t>pripomína význam plného zapojenia všetkých zmluvných strán do rozhodovacích procesov UNFCCC v duchu úprimnej spolupráce a uznáva, že ochrana priestoru pre občiansku spoločnosť a aktérov na miestnej a regionálnej úrovni, aby mohli pôsobiť a zúčastňovať sa na riadení v oblasti klímy, má zásadný význam pre zodpovednosť a transparentnosť; uznáva, že existuje mnoho prekážok, ktoré bránia účasti organizácií občianskej spoločnosti na konferenciách zmluvných strán; zdôrazňuje, že občianska spoločnosť a aktéri na miestnej a regionálnej úrovni zohrávajú dôležitú úlohu pri podpore vykonávania NDC tým, že zabezpečuje, aby boli opatrenia účinné, prispôsobené miestnym podmienkam a reagovali na potreby komunity;</w:t>
      </w:r>
    </w:p>
    <w:p w14:paraId="362897FC" w14:textId="69C0A9E3" w:rsidR="00A27977" w:rsidRPr="008334AD" w:rsidRDefault="005A69D2" w:rsidP="00A27977">
      <w:pPr>
        <w:pStyle w:val="NormalHanging12a"/>
      </w:pPr>
      <w:r w:rsidRPr="008334AD">
        <w:t>98</w:t>
      </w:r>
      <w:r w:rsidR="00A27977" w:rsidRPr="008334AD">
        <w:t>.</w:t>
      </w:r>
      <w:r w:rsidR="00A27977" w:rsidRPr="008334AD">
        <w:tab/>
        <w:t xml:space="preserve">vyzýva predsedníctvo konferencie COP 30 a budúce predsedníctva, aby lepšie umožnili účasť rozvojových krajín a delegátov z najmenej rozvinutých krajín a vyčlenili na tento účel dodatočné zdroje; nabáda zmluvné strany, aby do svojich delegácií zapojili mladých ľudí a zabezpečili tak budúcim generáciám aktívnu účasť na formovaní rozhodnutí, ktoré majú vplyv na ich budúcnosť; víta vytvorenie funkcie klimatického šampióna mládeže na konferencii COP 28 ako krok smerom k väčšiemu zapojeniu mladých ľudí do procesu UNFCCC; vyzýva konferenciu COP 30, aby inštitucionalizovala zmysluplné zapojenie detí a mladých ľudí, a to aj prostredníctvom mechanizmov štruktúrovaného dialógu a oficiálneho zastúpenia; vyzýva na intenzívnejšie využívanie virtuálnych platforiem na konferenciách zmluvných strán s cieľom zvýšiť globálnu </w:t>
      </w:r>
      <w:proofErr w:type="spellStart"/>
      <w:r w:rsidR="00A27977" w:rsidRPr="008334AD">
        <w:t>inkluzívnosť</w:t>
      </w:r>
      <w:proofErr w:type="spellEnd"/>
      <w:r w:rsidR="00A27977" w:rsidRPr="008334AD">
        <w:t xml:space="preserve"> a účasť delegátov a zástupcov občianskej spoločnosti;</w:t>
      </w:r>
    </w:p>
    <w:p w14:paraId="4E5B5D90" w14:textId="1F425238" w:rsidR="00A27977" w:rsidRPr="008334AD" w:rsidRDefault="005A69D2" w:rsidP="00A27977">
      <w:pPr>
        <w:pStyle w:val="NormalHanging12a"/>
      </w:pPr>
      <w:r w:rsidRPr="008334AD">
        <w:lastRenderedPageBreak/>
        <w:t>99</w:t>
      </w:r>
      <w:r w:rsidR="00A27977" w:rsidRPr="008334AD">
        <w:t>.</w:t>
      </w:r>
      <w:r w:rsidR="00A27977" w:rsidRPr="008334AD">
        <w:tab/>
        <w:t>žiada, aby organizátori konferencií zmluvných strán zabezpečili, aby ľudské práva, základné slobody vrátane slobody prejavu, plná a neobmedzená účasť občanov a organizácií občianskej spoločnosti vrátane práva na pokojné zhromažďovanie a združovanie a spravodlivý prístup na túto a budúce konferencie zmluvných strán boli plne zakotvené a zaručené v dohode s hostiteľskou krajinou, ktorá by mala byť zverejnená čo najskôr po jej podpísaní; vyzýva sekretariát UNFCCC, aby monitoroval dodržiavanie a v prípade porušenia týchto kritérií v oblasti ľudských práv podnikol príslušné kroky;</w:t>
      </w:r>
    </w:p>
    <w:p w14:paraId="22212DF0" w14:textId="4E58DF45" w:rsidR="00A27977" w:rsidRPr="008334AD" w:rsidRDefault="005A69D2" w:rsidP="00A27977">
      <w:pPr>
        <w:pStyle w:val="NormalHanging12a"/>
      </w:pPr>
      <w:r w:rsidRPr="008334AD">
        <w:t>100</w:t>
      </w:r>
      <w:r w:rsidR="00A27977" w:rsidRPr="008334AD">
        <w:t>.</w:t>
      </w:r>
      <w:r w:rsidR="00A27977" w:rsidRPr="008334AD">
        <w:tab/>
        <w:t xml:space="preserve">domnieva sa, že pri výbere hostiteľského mesta pre akékoľvek budúce zasadnutie konferencie zmluvných strán by sa mal zohľadniť súbor vopred stanovených podmienok vrátane logistických a organizačných kapacít, bezpečnosti a ochrany, ako aj environmentálnych, hospodárskych a sociálnych vplyvov organizácie podujatia; zdôrazňuje význam udržateľnej organizácie konferencie COP 30; vyjadruje poľutovanie nad akýmkoľvek negatívnym vplyvom, ktorý by konferencia COP 30 mohla mať na miestny ekosystém a miestnu komunitu v </w:t>
      </w:r>
      <w:proofErr w:type="spellStart"/>
      <w:r w:rsidR="00A27977" w:rsidRPr="008334AD">
        <w:t>Beléme</w:t>
      </w:r>
      <w:proofErr w:type="spellEnd"/>
      <w:r w:rsidR="00A27977" w:rsidRPr="008334AD">
        <w:t>; vyzýva na prijatie preventívnych opatrení na zmiernenie týchto rizík;</w:t>
      </w:r>
    </w:p>
    <w:p w14:paraId="6DEC14BF" w14:textId="77777777" w:rsidR="00A27977" w:rsidRPr="008334AD" w:rsidRDefault="00A27977" w:rsidP="00A27977">
      <w:pPr>
        <w:pStyle w:val="NormalHanging12a"/>
        <w:rPr>
          <w:b/>
          <w:bCs/>
          <w:i/>
        </w:rPr>
      </w:pPr>
      <w:r w:rsidRPr="008334AD">
        <w:rPr>
          <w:b/>
          <w:i/>
        </w:rPr>
        <w:t>Konflikty záujmov, transparentnosť a integrita</w:t>
      </w:r>
    </w:p>
    <w:p w14:paraId="14E4C4F2" w14:textId="427A4B5C" w:rsidR="00A27977" w:rsidRPr="008334AD" w:rsidRDefault="005A69D2" w:rsidP="00A27977">
      <w:pPr>
        <w:pStyle w:val="NormalHanging12a"/>
      </w:pPr>
      <w:r w:rsidRPr="008334AD">
        <w:t>101</w:t>
      </w:r>
      <w:r w:rsidR="00A27977" w:rsidRPr="008334AD">
        <w:t>.</w:t>
      </w:r>
      <w:r w:rsidR="00A27977" w:rsidRPr="008334AD">
        <w:tab/>
        <w:t>vyjadruje znepokojenie nad tým, že na konferencii COP 29 sa ako účastníci akreditovalo viac než 1 770 lobistov za fosílne palivá; vyzýva UNFCCC a zmluvné strany, aby zabezpečili ochranu rozhodovacieho procesu pred záujmami, ktoré sú v rozpore s cieľmi Parížskej dohody; naliehavo vyzýva UNFCCC, aby prevzala iniciatívu a navrhla ambiciózny rámec zodpovednosti, ktorý by chránil prácu UNFCCC pred neprimeraným vplyvom, a to na základe modelu obsiahnutého v Rámcovom dohovore Svetovej zdravotníckej organizácie o kontrole tabaku v súvislosti s tabakovým priemyslom; vyzýva všetky zmluvné strany, aby sa v rámci tejto dohody dohodli na vymedzení pojmu „“konflikt záujmov“ s cieľom posilniť požiadavky na zverejňovanie informácií;</w:t>
      </w:r>
    </w:p>
    <w:p w14:paraId="27643E93" w14:textId="68A9D479" w:rsidR="00A27977" w:rsidRPr="008334AD" w:rsidRDefault="005A69D2" w:rsidP="00A27977">
      <w:pPr>
        <w:pStyle w:val="NormalHanging12a"/>
      </w:pPr>
      <w:r w:rsidRPr="008334AD">
        <w:t>102</w:t>
      </w:r>
      <w:r w:rsidR="00A27977" w:rsidRPr="008334AD">
        <w:t>.</w:t>
      </w:r>
      <w:r w:rsidR="00A27977" w:rsidRPr="008334AD">
        <w:tab/>
        <w:t>žiada, aby akreditácia pozorovateľov bola podmienená predložením oficiálneho vyhlásenia o zastupovaných záujmoch do registra UNFCCC, ktorý by bol prístupný verejnosti, s cieľom zvýšiť transparentnosť vplyvu na konferencii zmluvných strán;</w:t>
      </w:r>
    </w:p>
    <w:p w14:paraId="4BC14BE4" w14:textId="56490DCE" w:rsidR="00A27977" w:rsidRPr="008334AD" w:rsidRDefault="005A69D2" w:rsidP="00A27977">
      <w:pPr>
        <w:pStyle w:val="NormalHanging12a"/>
      </w:pPr>
      <w:r w:rsidRPr="008334AD">
        <w:t>103</w:t>
      </w:r>
      <w:r w:rsidR="00A27977" w:rsidRPr="008334AD">
        <w:t>.</w:t>
      </w:r>
      <w:r w:rsidR="00A27977" w:rsidRPr="008334AD">
        <w:tab/>
        <w:t>víta skutočnosť, že Komisia neposkytla akreditáciu lobistom za fosílne palivá na účasť na konferencii COP 29, a vyzýva, aby sa v tejto praxi pokračovalo; vyjadruje poľutovanie nad tým, že členské štáty EÚ na konferenciu COP 29 akreditovali 113 lobistov za fosílne palivá, a vyzýva všetky členské štáty, aby na konferenciu COP 30 ani na žiadnu budúcu konferenciu zmluvných strán neakreditovali žiadnych lobistov za fosílne palivá;</w:t>
      </w:r>
    </w:p>
    <w:p w14:paraId="51895666" w14:textId="77777777" w:rsidR="00A27977" w:rsidRPr="008334AD" w:rsidRDefault="00A27977" w:rsidP="00A27977">
      <w:pPr>
        <w:pStyle w:val="NormalHanging12a"/>
        <w:rPr>
          <w:b/>
          <w:bCs/>
          <w:i/>
          <w:szCs w:val="24"/>
        </w:rPr>
      </w:pPr>
      <w:r w:rsidRPr="008334AD">
        <w:rPr>
          <w:b/>
          <w:i/>
        </w:rPr>
        <w:t>Priemysel, MSP a konkurencieschopnosť</w:t>
      </w:r>
    </w:p>
    <w:p w14:paraId="1CC46877" w14:textId="4BA38E99" w:rsidR="00A27977" w:rsidRPr="008334AD" w:rsidRDefault="005A69D2" w:rsidP="00A27977">
      <w:pPr>
        <w:pStyle w:val="NormalHanging12a"/>
        <w:rPr>
          <w:szCs w:val="24"/>
        </w:rPr>
      </w:pPr>
      <w:r w:rsidRPr="008334AD">
        <w:t>104</w:t>
      </w:r>
      <w:r w:rsidR="00A27977" w:rsidRPr="008334AD">
        <w:t>.</w:t>
      </w:r>
      <w:r w:rsidR="00A27977" w:rsidRPr="008334AD">
        <w:tab/>
        <w:t>považuje konferenciu COP 30 za kľúčový míľnik 10 rokov po Parížskej dohode a zdôrazňuje, že boj proti zmene klímy by mal byť silnou hnacou silou rastu, znižovať energetickú chudobu a zvyšovať odolnosť, udržateľnosť a konkurencieschopnosť priemyslu a malých a stredných podnikov (MSP); vyzýva tvorcov politík vo všetkých zmluvných stranách dohovoru, aby v súlade so zásadou spoločnej, ale diferencovanej zodpovednosti (CBDR) vykonávali ambiciózne, včasné a cielené opatrenia v rámci stabilného, predvídateľného a podporného prechodného rámca;</w:t>
      </w:r>
    </w:p>
    <w:p w14:paraId="35E855CD" w14:textId="5CA25999" w:rsidR="00A27977" w:rsidRPr="008334AD" w:rsidRDefault="005A69D2" w:rsidP="00A27977">
      <w:pPr>
        <w:pStyle w:val="NormalHanging12a"/>
        <w:rPr>
          <w:szCs w:val="24"/>
        </w:rPr>
      </w:pPr>
      <w:r w:rsidRPr="008334AD">
        <w:lastRenderedPageBreak/>
        <w:t>105</w:t>
      </w:r>
      <w:r w:rsidR="00A27977" w:rsidRPr="008334AD">
        <w:t>.</w:t>
      </w:r>
      <w:r w:rsidR="00A27977" w:rsidRPr="008334AD">
        <w:tab/>
        <w:t>zdôrazňuje, že dobre navrhnuté a realizovateľné podporné politiky môžu zabezpečiť, aby dekarbonizácia a ciele v oblasti klímy išli ruka v ruke s priemyselným rastom, tvorbou pracovných miest a inováciami; pripomína, že investície do udržateľných a čistých technológií prispievajú k plneniu environmentálnych, hospodárskych a sociálnych cieľov;</w:t>
      </w:r>
    </w:p>
    <w:p w14:paraId="2D3078A2" w14:textId="5B543080" w:rsidR="00A27977" w:rsidRPr="008334AD" w:rsidRDefault="005A69D2" w:rsidP="00A27977">
      <w:pPr>
        <w:pStyle w:val="NormalHanging12a"/>
        <w:rPr>
          <w:szCs w:val="24"/>
        </w:rPr>
      </w:pPr>
      <w:r w:rsidRPr="008334AD">
        <w:t>106</w:t>
      </w:r>
      <w:r w:rsidR="00A27977" w:rsidRPr="008334AD">
        <w:t>.</w:t>
      </w:r>
      <w:r w:rsidR="00A27977" w:rsidRPr="008334AD">
        <w:tab/>
        <w:t>považuje za mimoriadne dôležité, aby EÚ zabezpečila spravodlivý prechod ku klimatickej neutralite do roku 2050, udržala podporu verejnosti pre opatrenia v oblasti klímy a išla príkladom, čo by malo zabezpečiť výhodu prvého hráča v oblasti čistých technológií a udržateľných odvetví; vyzýva na prijatie prísnych a cielených opatrení na ochranu priemyslu EÚ pred rizikom úniku uhlíka a pred nespravodlivou celosvetovou hospodárskou súťažou a na zabezpečenie rovnakých podmienok na celom svete; zdôrazňuje, že je naliehavo potrebné riešiť pretrvávajúce vysoké ceny energie, ktoré podkopávajú konkurencieschopnosť priemyslu EÚ, a to aj prostredníctvom investícií do čistej a obnoviteľnej energie, energetickej efektívnosti, sietí a flexibility;</w:t>
      </w:r>
    </w:p>
    <w:p w14:paraId="3790AC8E" w14:textId="47D58A3F" w:rsidR="00A27977" w:rsidRPr="008334AD" w:rsidRDefault="005A69D2" w:rsidP="00A27977">
      <w:pPr>
        <w:pStyle w:val="NormalHanging12a"/>
        <w:rPr>
          <w:szCs w:val="24"/>
        </w:rPr>
      </w:pPr>
      <w:r w:rsidRPr="008334AD">
        <w:t>107</w:t>
      </w:r>
      <w:r w:rsidR="00A27977" w:rsidRPr="008334AD">
        <w:t>.</w:t>
      </w:r>
      <w:r w:rsidR="00A27977" w:rsidRPr="008334AD">
        <w:tab/>
        <w:t xml:space="preserve">uznáva, že cieľ EÚ dosiahnuť do roku 2050 klimatickú neutralitu a zároveň zvýšiť svoju konkurencieschopnosť znamená hlbokú priemyselnú transformáciu, ktorá si vyžaduje rozsiahle a cielené verejné a súkromné investície prispôsobené rôznym podmienkam členských štátov a priemyselných odvetví a zvýšenie podpory čistých technológií, inovácií, zručností a infraštruktúry; zdôrazňuje, že investície do priemyselných hodnotových reťazcov pre čisté technológie sú tiež kľúčom k </w:t>
      </w:r>
      <w:proofErr w:type="spellStart"/>
      <w:r w:rsidR="00A27977" w:rsidRPr="008334AD">
        <w:t>reindustrializácii</w:t>
      </w:r>
      <w:proofErr w:type="spellEnd"/>
      <w:r w:rsidR="00A27977" w:rsidRPr="008334AD">
        <w:t xml:space="preserve"> EÚ a posilneniu strategickej autonómie;</w:t>
      </w:r>
    </w:p>
    <w:p w14:paraId="443884EC" w14:textId="6625745E" w:rsidR="00A27977" w:rsidRPr="008334AD" w:rsidRDefault="005A69D2" w:rsidP="00A27977">
      <w:pPr>
        <w:pStyle w:val="NormalHanging12a"/>
        <w:rPr>
          <w:szCs w:val="24"/>
        </w:rPr>
      </w:pPr>
      <w:r w:rsidRPr="008334AD">
        <w:t>108</w:t>
      </w:r>
      <w:r w:rsidR="00A27977" w:rsidRPr="008334AD">
        <w:t>.</w:t>
      </w:r>
      <w:r w:rsidR="00A27977" w:rsidRPr="008334AD">
        <w:tab/>
        <w:t>naliehavo žiada o podporu priemyselných podnikov EÚ vrátane MSP a malých spoločností so strednou trhovou kapitalizáciou, aby si zachovali svoje vedúce postavenie na svetovom trhu a zároveň dekarbonizovali a prechádzali na klimaticky neutrálne hospodárstvo; zdôrazňuje, že je potrebné poskytnúť účinné riešenia na ich podporu v tejto prechodnej fáze s cieľom podporiť ich inovačnú kapacitu a zabezpečiť konkurencieschopnosť, poskytnúť im predvídateľné a zjednodušené administratívne postupy, napríklad online postupy udeľovania povolení a prístup k financiám, a uľahčiť im účasť na verejnom obstarávaní;</w:t>
      </w:r>
    </w:p>
    <w:p w14:paraId="47503A8F" w14:textId="45EE200D" w:rsidR="00A27977" w:rsidRPr="008334AD" w:rsidRDefault="005A69D2" w:rsidP="00A27977">
      <w:pPr>
        <w:pStyle w:val="NormalHanging12a"/>
        <w:rPr>
          <w:rFonts w:eastAsia="Calibri"/>
          <w:szCs w:val="24"/>
        </w:rPr>
      </w:pPr>
      <w:r w:rsidRPr="008334AD">
        <w:t>109</w:t>
      </w:r>
      <w:r w:rsidR="00A27977" w:rsidRPr="008334AD">
        <w:t>.</w:t>
      </w:r>
      <w:r w:rsidR="00A27977" w:rsidRPr="008334AD">
        <w:tab/>
        <w:t>vyzýva na urýchlenú dekarbonizáciu spolu s posilnením konkurencieschopnosti; víta akt o emisne neutrálnom priemysle</w:t>
      </w:r>
      <w:r w:rsidR="00A27977" w:rsidRPr="008334AD">
        <w:rPr>
          <w:rStyle w:val="FootnoteReference"/>
          <w:color w:val="000000"/>
          <w:szCs w:val="24"/>
        </w:rPr>
        <w:footnoteReference w:id="33"/>
      </w:r>
      <w:r w:rsidR="00A27977" w:rsidRPr="008334AD">
        <w:t>, Dohodu o čistom priemysle</w:t>
      </w:r>
      <w:r w:rsidR="00A27977" w:rsidRPr="008334AD">
        <w:rPr>
          <w:rStyle w:val="FootnoteReference"/>
          <w:color w:val="000000"/>
          <w:szCs w:val="24"/>
        </w:rPr>
        <w:footnoteReference w:id="34"/>
      </w:r>
      <w:r w:rsidR="00A27977" w:rsidRPr="008334AD">
        <w:t xml:space="preserve"> a Akčný plán pre cenovo dostupnú energiu</w:t>
      </w:r>
      <w:r w:rsidR="00A27977" w:rsidRPr="008334AD">
        <w:rPr>
          <w:rStyle w:val="FootnoteReference"/>
          <w:color w:val="000000"/>
          <w:szCs w:val="24"/>
        </w:rPr>
        <w:footnoteReference w:id="35"/>
      </w:r>
      <w:r w:rsidR="00A27977" w:rsidRPr="008334AD">
        <w:t xml:space="preserve"> ako kľúčové kroky smerom k odolnému a klimaticky neutrálnemu hospodárstvu a pripravovaný akt na urýchlenie dekarbonizácie priemyslu; víta rozšírený Inovačný fond EÚ, ktorý podporuje rozširovanie nových inovácií a technológií v Európe zameraných na dekarbonizáciu a rozvoj dodávateľského reťazca;</w:t>
      </w:r>
    </w:p>
    <w:p w14:paraId="6BE35E35" w14:textId="70E77300" w:rsidR="00A27977" w:rsidRPr="008334AD" w:rsidRDefault="005A69D2" w:rsidP="00A27977">
      <w:pPr>
        <w:pStyle w:val="NormalHanging12a"/>
        <w:rPr>
          <w:szCs w:val="24"/>
          <w:shd w:val="clear" w:color="auto" w:fill="FFFFFF"/>
        </w:rPr>
      </w:pPr>
      <w:r w:rsidRPr="008334AD">
        <w:t>110</w:t>
      </w:r>
      <w:r w:rsidR="00A27977" w:rsidRPr="008334AD">
        <w:t>.</w:t>
      </w:r>
      <w:r w:rsidR="00A27977" w:rsidRPr="008334AD">
        <w:tab/>
        <w:t xml:space="preserve">podporuje riadenie uhlíka ako súčasť opatrení na zmiernenie priemyselných emisií a zdôrazňuje kľúčovú úlohu, ktorú zohráva zachytávanie, využívanie a ukladanie uhlíka pri dekarbonizácii ťažko odbúrateľných priemyselných emisií a pri výrobe </w:t>
      </w:r>
      <w:proofErr w:type="spellStart"/>
      <w:r w:rsidR="00A27977" w:rsidRPr="008334AD">
        <w:t>nízkouhlíkových</w:t>
      </w:r>
      <w:proofErr w:type="spellEnd"/>
      <w:r w:rsidR="00A27977" w:rsidRPr="008334AD">
        <w:t xml:space="preserve"> produktov vrátane </w:t>
      </w:r>
      <w:proofErr w:type="spellStart"/>
      <w:r w:rsidR="00A27977" w:rsidRPr="008334AD">
        <w:t>nízkouhlíkového</w:t>
      </w:r>
      <w:proofErr w:type="spellEnd"/>
      <w:r w:rsidR="00A27977" w:rsidRPr="008334AD">
        <w:t xml:space="preserve"> vodíka; pripomína stratégiu </w:t>
      </w:r>
      <w:r w:rsidR="00A27977" w:rsidRPr="008334AD">
        <w:lastRenderedPageBreak/>
        <w:t>priemyselného riadenia uhlíka</w:t>
      </w:r>
      <w:r w:rsidR="00A27977" w:rsidRPr="008334AD">
        <w:rPr>
          <w:rStyle w:val="FootnoteReference"/>
          <w:color w:val="000000"/>
          <w:szCs w:val="24"/>
        </w:rPr>
        <w:footnoteReference w:id="36"/>
      </w:r>
      <w:r w:rsidR="00A27977" w:rsidRPr="008334AD">
        <w:t xml:space="preserve"> s cieľom rozšíriť zachytávanie, ukladanie, využívanie a odstraňovanie CO₂; víta pokrok pri vytváraní globálneho trhu s uhlíkom, ktorý by mal pomôcť pri dekarbonizácii priemyselných odvetví na celom svete a zabezpečiť rovnaké podmienky pre spoločnosti na celom svete; </w:t>
      </w:r>
      <w:r w:rsidR="00A27977" w:rsidRPr="008334AD">
        <w:rPr>
          <w:shd w:val="clear" w:color="auto" w:fill="FFFFFF"/>
        </w:rPr>
        <w:t>v tejto súvislosti pripomína svoju pozíciu k EU ETS a CBAM</w:t>
      </w:r>
      <w:r w:rsidR="00A27977" w:rsidRPr="008334AD">
        <w:rPr>
          <w:rStyle w:val="FootnoteReference"/>
          <w:color w:val="000000"/>
          <w:szCs w:val="24"/>
          <w:shd w:val="clear" w:color="auto" w:fill="FFFFFF"/>
        </w:rPr>
        <w:footnoteReference w:id="37"/>
      </w:r>
      <w:r w:rsidR="00A27977" w:rsidRPr="008334AD">
        <w:rPr>
          <w:shd w:val="clear" w:color="auto" w:fill="FFFFFF"/>
        </w:rPr>
        <w:t>, pričom víta navrhované zjednodušenie CBAM v prvom súhrnnom balíku ako dôležitý krok na ďalšie zvýšenie jeho účinnosti pri riešení úniku uhlíka, a vyzýva na funkčné riešenie vývozu s cieľom riešiť riziko úniku uhlíka v prípade tovaru v rámci CBAM vyvážaného z EÚ do krajín mimo EÚ;</w:t>
      </w:r>
    </w:p>
    <w:p w14:paraId="0CA2046E" w14:textId="7A33CB8C" w:rsidR="00A27977" w:rsidRPr="008334AD" w:rsidRDefault="005A69D2" w:rsidP="00A27977">
      <w:pPr>
        <w:pStyle w:val="NormalHanging12a"/>
        <w:rPr>
          <w:szCs w:val="24"/>
        </w:rPr>
      </w:pPr>
      <w:r w:rsidRPr="008334AD">
        <w:t>111</w:t>
      </w:r>
      <w:r w:rsidR="00A27977" w:rsidRPr="008334AD">
        <w:t>.</w:t>
      </w:r>
      <w:r w:rsidR="00A27977" w:rsidRPr="008334AD">
        <w:tab/>
        <w:t>naliehavo vyzýva na zlepšenie prístupu európskych priemyselných podnikov k financovaniu dekarbonizácie v súlade s Parížskou dohodou; zdôrazňuje potrebu primeraných finančných zdrojov na podporu dekarbonizácie v budúcom viacročnom finančnom rámci, a to aj prostredníctvom osobitných nástrojov financovania, ktoré účinne riešia potreby financovania európskych priemyselných odvetví;</w:t>
      </w:r>
    </w:p>
    <w:p w14:paraId="3E90961A" w14:textId="3014A023" w:rsidR="00A27977" w:rsidRPr="008334AD" w:rsidRDefault="005A69D2" w:rsidP="00A27977">
      <w:pPr>
        <w:pStyle w:val="NormalHanging12a"/>
        <w:rPr>
          <w:szCs w:val="24"/>
        </w:rPr>
      </w:pPr>
      <w:r w:rsidRPr="008334AD">
        <w:t>112</w:t>
      </w:r>
      <w:r w:rsidR="00A27977" w:rsidRPr="008334AD">
        <w:t>.</w:t>
      </w:r>
      <w:r w:rsidR="00A27977" w:rsidRPr="008334AD">
        <w:tab/>
        <w:t xml:space="preserve">uznáva zásadnú úlohu MSP a malých spoločností so strednou trhovou kapitalizáciou, najmä </w:t>
      </w:r>
      <w:proofErr w:type="spellStart"/>
      <w:r w:rsidR="00A27977" w:rsidRPr="008334AD">
        <w:t>mikropodnikov</w:t>
      </w:r>
      <w:proofErr w:type="spellEnd"/>
      <w:r w:rsidR="00A27977" w:rsidRPr="008334AD">
        <w:t xml:space="preserve"> a startupov, pri podpore a realizácii inovácií, vytvárania pracovných miest a hospodárskeho rastu, ako aj pri vedení digitálnej a zelenej transformácie prostredníctvom inovácií a špičkových technologických riešení; zdôrazňuje, že v tejto súvislosti sú potrebné predvídateľné pravidlá a lepší prístup k financovaniu;</w:t>
      </w:r>
    </w:p>
    <w:p w14:paraId="4BDB2861" w14:textId="2250364F" w:rsidR="00A27977" w:rsidRPr="008334AD" w:rsidRDefault="005A69D2" w:rsidP="00A27977">
      <w:pPr>
        <w:pStyle w:val="NormalHanging12a"/>
        <w:rPr>
          <w:szCs w:val="24"/>
        </w:rPr>
      </w:pPr>
      <w:r w:rsidRPr="008334AD">
        <w:t>113</w:t>
      </w:r>
      <w:r w:rsidR="00A27977" w:rsidRPr="008334AD">
        <w:t>.</w:t>
      </w:r>
      <w:r w:rsidR="00A27977" w:rsidRPr="008334AD">
        <w:tab/>
        <w:t>zdôrazňuje, že je potrebné, aby všetky zmluvné strany mali nepretržite zabezpečený a konkurencieschopný prístup ku kritickým surovinám vrátane druhotných surovín; víta akt o kritických surovinách</w:t>
      </w:r>
      <w:r w:rsidR="00A27977" w:rsidRPr="008334AD">
        <w:rPr>
          <w:rStyle w:val="FootnoteReference"/>
          <w:color w:val="000000"/>
          <w:szCs w:val="24"/>
        </w:rPr>
        <w:footnoteReference w:id="38"/>
      </w:r>
      <w:r w:rsidR="00A27977" w:rsidRPr="008334AD">
        <w:t xml:space="preserve"> a zámer Komisie navrhnúť nový akt o obehovom hospodárstve a vyzýva na diverzifikáciu dodávateľských reťazcov s normami rovnocennými s normami EÚ; je presvedčený, že je potrebný predvídateľný regulačný rámec, ktorý by umožnil obehové obchodné modely, najmä tie, ktoré sú založené na predchádzaní vzniku odpadu, opätovnom používaní a vysokokvalitnej recyklácii, aby sa zabezpečil prístup k dôležitým surovinám;</w:t>
      </w:r>
    </w:p>
    <w:p w14:paraId="31A8EF46" w14:textId="7A403522" w:rsidR="00A27977" w:rsidRPr="008334AD" w:rsidRDefault="005A69D2" w:rsidP="00A27977">
      <w:pPr>
        <w:pStyle w:val="NormalHanging12a"/>
        <w:rPr>
          <w:szCs w:val="24"/>
        </w:rPr>
      </w:pPr>
      <w:r w:rsidRPr="008334AD">
        <w:t>114</w:t>
      </w:r>
      <w:r w:rsidR="00A27977" w:rsidRPr="008334AD">
        <w:t>.</w:t>
      </w:r>
      <w:r w:rsidR="00A27977" w:rsidRPr="008334AD">
        <w:tab/>
        <w:t>zdôrazňuje naliehavosť rekvalifikácie/zvyšovania úrovne zručností pracovnej sily prostredníctvom investícií do vedy, technológie, inžinierstva a matematiky (STEM) a akadémií na získanie zručností v oblasti uhlíkovej neutrality s cieľom odstrániť nedostatok pracovnej sily a medzery v zručnostiach v rámci dekarbonizácie európskeho priemyslu; vyzýva na spoluprácu so sociálnymi partnermi s cieľom riešiť nedostatok zručností a budúci dopyt po pracovnej sile v oblasti čistých technológií;</w:t>
      </w:r>
    </w:p>
    <w:p w14:paraId="38F028B2" w14:textId="77777777" w:rsidR="00A27977" w:rsidRPr="008334AD" w:rsidRDefault="00A27977" w:rsidP="00A27977">
      <w:pPr>
        <w:pStyle w:val="NormalHanging12a"/>
        <w:rPr>
          <w:b/>
          <w:bCs/>
          <w:i/>
          <w:szCs w:val="24"/>
        </w:rPr>
      </w:pPr>
      <w:r w:rsidRPr="008334AD">
        <w:rPr>
          <w:b/>
          <w:i/>
        </w:rPr>
        <w:t>Energetická politika</w:t>
      </w:r>
    </w:p>
    <w:p w14:paraId="70560D74" w14:textId="0C4361A6" w:rsidR="00A27977" w:rsidRPr="008334AD" w:rsidRDefault="005A69D2" w:rsidP="00A27977">
      <w:pPr>
        <w:pStyle w:val="NormalHanging12a"/>
        <w:rPr>
          <w:szCs w:val="24"/>
        </w:rPr>
      </w:pPr>
      <w:r w:rsidRPr="008334AD">
        <w:t>115</w:t>
      </w:r>
      <w:r w:rsidR="00A27977" w:rsidRPr="008334AD">
        <w:t>.</w:t>
      </w:r>
      <w:r w:rsidR="00A27977" w:rsidRPr="008334AD">
        <w:tab/>
        <w:t xml:space="preserve">zdôrazňuje význam čo najskoršieho ukončenia využívania fosílnych palív a zároveň </w:t>
      </w:r>
      <w:r w:rsidR="00A27977" w:rsidRPr="008334AD">
        <w:lastRenderedPageBreak/>
        <w:t xml:space="preserve">pripomína, že je potrebné vypracovať opatrenia na zabezpečenie dodávok plynu pri zmiernených nákladoch pre odvetvia, ktoré sa v krátkodobom až strednodobom horizonte nemôžu v podstatnej miere spoliehať na elektrifikáciu; konštatuje, že EÚ by sa mala usilovať o dosiahnutie celosvetového konsenzu o takomto postupnom ukončení na konferencii COP 30, ale zároveň by mala naďalej znižovať svoju závislosť od fosílnych palív, zvyšovať rozmanitosť svojich dodávateľov energie a rozvíjať energeticky účinné a dekarbonizované hospodárstvo, aby zvýšila svoju energetickú bezpečnosť a konkurencieschopnosť priemyslu a zabezpečila prístup domácností a podnikov k cenovo dostupnej energii; vyzýva EÚ, aby urýchlene ukončila dovoz ruských fosílnych palív vrátane zemného plynu do EÚ, ktoré dotujú útočnú vojnu Ruska proti Ukrajine; v tejto súvislosti víta nedávny plán </w:t>
      </w:r>
      <w:proofErr w:type="spellStart"/>
      <w:r w:rsidR="00A27977" w:rsidRPr="008334AD">
        <w:t>REPowerEU</w:t>
      </w:r>
      <w:proofErr w:type="spellEnd"/>
      <w:r w:rsidR="00A27977" w:rsidRPr="008334AD">
        <w:t xml:space="preserve"> o ukončení dovozu energie z Ruska</w:t>
      </w:r>
      <w:r w:rsidR="00A27977" w:rsidRPr="008334AD">
        <w:rPr>
          <w:rStyle w:val="FootnoteReference"/>
          <w:color w:val="000000"/>
          <w:szCs w:val="24"/>
        </w:rPr>
        <w:footnoteReference w:id="39"/>
      </w:r>
      <w:r w:rsidR="00A27977" w:rsidRPr="008334AD">
        <w:t>; vyzýva krajiny G7, aby boli príkladom energetickej transformácie, a vyzýva všetky zmluvné strany COP, aby dekarbonizovali svoje energetické systémy a zastavili všetky nové investície do ťažby fosílnych palív;</w:t>
      </w:r>
    </w:p>
    <w:p w14:paraId="304EFE59" w14:textId="1005E05E" w:rsidR="00A27977" w:rsidRPr="008334AD" w:rsidRDefault="005A69D2" w:rsidP="00A27977">
      <w:pPr>
        <w:pStyle w:val="NormalHanging12a"/>
        <w:rPr>
          <w:szCs w:val="24"/>
        </w:rPr>
      </w:pPr>
      <w:r w:rsidRPr="008334AD">
        <w:t>116</w:t>
      </w:r>
      <w:r w:rsidR="00A27977" w:rsidRPr="008334AD">
        <w:t>.</w:t>
      </w:r>
      <w:r w:rsidR="00A27977" w:rsidRPr="008334AD">
        <w:tab/>
        <w:t>zdôrazňuje nevyužitý potenciál geotermálnej energie pri dosahovaní cieľov Parížskej dohody a energetickej politiky EÚ, najmä v oblasti vykurovania a technologického tepla; vyzýva na výmenu najlepších postupov, inovácií a technológií;</w:t>
      </w:r>
    </w:p>
    <w:p w14:paraId="618062B0" w14:textId="4C7D3F6E" w:rsidR="00A27977" w:rsidRPr="008334AD" w:rsidRDefault="005A69D2" w:rsidP="00A27977">
      <w:pPr>
        <w:pStyle w:val="NormalHanging12a"/>
        <w:rPr>
          <w:szCs w:val="24"/>
        </w:rPr>
      </w:pPr>
      <w:r w:rsidRPr="008334AD">
        <w:t>117</w:t>
      </w:r>
      <w:r w:rsidR="00A27977" w:rsidRPr="008334AD">
        <w:t>.</w:t>
      </w:r>
      <w:r w:rsidR="00A27977" w:rsidRPr="008334AD">
        <w:tab/>
        <w:t>pripomína kľúčové výsledky prvého globálneho hodnotenia v rámci konsenzu SAE na konferencii COP 28 vrátane strojnásobenia obnoviteľných zdrojov energie a zdvojnásobenia energetickej efektívnosti do roku 2030, ako aj urýchlenia investícií do čistej energie; víta skutočnosť, že rok 2023 bol rekordným rokom pre nárast kapacity elektrickej energie z obnoviteľných zdrojov</w:t>
      </w:r>
      <w:r w:rsidR="00A27977" w:rsidRPr="008334AD">
        <w:rPr>
          <w:rStyle w:val="FootnoteReference"/>
          <w:color w:val="000000"/>
          <w:szCs w:val="24"/>
        </w:rPr>
        <w:footnoteReference w:id="40"/>
      </w:r>
      <w:r w:rsidR="00A27977" w:rsidRPr="008334AD">
        <w:t>, a vyzýva na priebežné monitorovanie a sledovanie pokroku na úrovni EÚ aj na celosvetovej úrovni; so znepokojením konštatuje, že súčasné investičné trendy nie sú v súlade s úrovňami potrebnými na dosiahnutie týchto cieľov vo svete</w:t>
      </w:r>
      <w:r w:rsidR="00A27977" w:rsidRPr="008334AD">
        <w:rPr>
          <w:rStyle w:val="FootnoteReference"/>
          <w:bCs/>
          <w:iCs/>
          <w:color w:val="000000"/>
          <w:szCs w:val="24"/>
        </w:rPr>
        <w:footnoteReference w:id="41"/>
      </w:r>
      <w:r w:rsidR="00A27977" w:rsidRPr="008334AD">
        <w:t>, a zdôrazňuje, že odstránenie tohto rozdielu si vyžaduje politické opatrenia a silnejšiu koordináciu verejného a súkromného sektora;</w:t>
      </w:r>
    </w:p>
    <w:p w14:paraId="1556E949" w14:textId="7BF72B29" w:rsidR="00A27977" w:rsidRPr="008334AD" w:rsidRDefault="005A69D2" w:rsidP="00A27977">
      <w:pPr>
        <w:pStyle w:val="NormalHanging12a"/>
        <w:rPr>
          <w:szCs w:val="24"/>
        </w:rPr>
      </w:pPr>
      <w:r w:rsidRPr="008334AD">
        <w:t>118</w:t>
      </w:r>
      <w:r w:rsidR="00A27977" w:rsidRPr="008334AD">
        <w:t>.</w:t>
      </w:r>
      <w:r w:rsidR="00A27977" w:rsidRPr="008334AD">
        <w:tab/>
        <w:t>zdôrazňuje význam globálneho zníženia emisií metánu v dodávateľských reťazcoch fosílnych palív počas prechodu na systémy čistej energie s cieľom dosiahnuť do roku 2030 globálne zníženie emisií metánu o 75 %, ako sa uvádza v scenári Medzinárodnej agentúry pre energiu s nulovými emisiami do roku 2050; vyzýva signatárov globálneho záväzku o metáne, aby zintenzívnili svoje úsilie, pretože súčasné miery znižovania emisií sú stále nedostatočné</w:t>
      </w:r>
      <w:r w:rsidR="00A27977" w:rsidRPr="008334AD">
        <w:rPr>
          <w:rStyle w:val="FootnoteReference"/>
          <w:color w:val="000000"/>
          <w:szCs w:val="24"/>
        </w:rPr>
        <w:footnoteReference w:id="42"/>
      </w:r>
      <w:r w:rsidR="00A27977" w:rsidRPr="008334AD">
        <w:t xml:space="preserve"> a celosvetové emisie naďalej prekračujú 120 miliónov metrických ton ročne; víta plán partnerstva pre znižovanie emisií metánu, ktorý Komisia predstavila na COP 29, a vyzýva na jeho urýchlené vykonávanie, a to aj prostredníctvom prezentácie úspešných príkladov na COP 30;</w:t>
      </w:r>
    </w:p>
    <w:p w14:paraId="424045D9" w14:textId="543FB9AE" w:rsidR="00A27977" w:rsidRPr="008334AD" w:rsidRDefault="005A69D2" w:rsidP="00A27977">
      <w:pPr>
        <w:pStyle w:val="NormalHanging12a"/>
        <w:rPr>
          <w:szCs w:val="24"/>
        </w:rPr>
      </w:pPr>
      <w:r w:rsidRPr="008334AD">
        <w:t>119</w:t>
      </w:r>
      <w:r w:rsidR="00A27977" w:rsidRPr="008334AD">
        <w:t>.</w:t>
      </w:r>
      <w:r w:rsidR="00A27977" w:rsidRPr="008334AD">
        <w:tab/>
        <w:t xml:space="preserve">podporuje globálny cieľ šesťnásobne zvýšiť kapacitu skladovania energie na 1 500 GW do roku 2030 a zo širšieho hľadiska zvýšiť flexibilitu systému v súlade s cieľmi skupiny G7; zdôrazňuje potrebu inovácií v oblasti technológií na znižovanie emisií skleníkových </w:t>
      </w:r>
      <w:r w:rsidR="00A27977" w:rsidRPr="008334AD">
        <w:lastRenderedPageBreak/>
        <w:t>plynov; upozorňuje, že zmena klímy narúša energetické systémy vrátane účinnosti vodných a tepelných elektrární; zdôrazňuje potrebu rozvoja nefosílnej flexibility a skladovania s cieľom lepšie integrovať a riadiť obnoviteľné zdroje energie;</w:t>
      </w:r>
    </w:p>
    <w:p w14:paraId="36C475BE" w14:textId="2BC336BB" w:rsidR="00A27977" w:rsidRPr="008334AD" w:rsidRDefault="005A69D2" w:rsidP="00A27977">
      <w:pPr>
        <w:pStyle w:val="NormalHanging12a"/>
      </w:pPr>
      <w:r w:rsidRPr="008334AD">
        <w:t>120</w:t>
      </w:r>
      <w:r w:rsidR="00A27977" w:rsidRPr="008334AD">
        <w:t>.</w:t>
      </w:r>
      <w:r w:rsidR="00A27977" w:rsidRPr="008334AD">
        <w:tab/>
        <w:t xml:space="preserve">zdôrazňuje hĺbkovú revíziu právnych predpisov EÚ v oblasti energetiky v rámci balíka „Fit </w:t>
      </w:r>
      <w:proofErr w:type="spellStart"/>
      <w:r w:rsidR="00A27977" w:rsidRPr="008334AD">
        <w:t>for</w:t>
      </w:r>
      <w:proofErr w:type="spellEnd"/>
      <w:r w:rsidR="00A27977" w:rsidRPr="008334AD">
        <w:t xml:space="preserve"> 55“, ktorá ich zosúladila so zvýšeným cieľom EÚ znížiť emisie skleníkových plynov do roku 2030 minimálne o 55 %, aby sa najneskôr do roku 2050 dosiahla klimatická neutralita, a ktorá sa teraz musí účinne vykonávať; je presvedčený, že ostatné zmluvné strany by mali vyvinúť podobné a relevantné úsilie;</w:t>
      </w:r>
    </w:p>
    <w:p w14:paraId="29E5C0AF" w14:textId="7B177AB3" w:rsidR="00A27977" w:rsidRPr="008334AD" w:rsidRDefault="005A69D2" w:rsidP="00A27977">
      <w:pPr>
        <w:pStyle w:val="NormalHanging12a"/>
      </w:pPr>
      <w:r w:rsidRPr="008334AD">
        <w:t>121</w:t>
      </w:r>
      <w:r w:rsidR="00A27977" w:rsidRPr="008334AD">
        <w:t>.</w:t>
      </w:r>
      <w:r w:rsidR="00A27977" w:rsidRPr="008334AD">
        <w:tab/>
        <w:t>zdôrazňuje úlohu čistej energie a obnoviteľných zdrojov energie, energetickej efektívnosti a diverzifikácie systémov pri dosahovaní klimatickej neutrality; v tejto súvislosti víta nedávnu reformu koncepcie trhu s elektrinou v EÚ</w:t>
      </w:r>
      <w:r w:rsidR="00A27977" w:rsidRPr="008334AD">
        <w:rPr>
          <w:rStyle w:val="FootnoteReference"/>
        </w:rPr>
        <w:footnoteReference w:id="43"/>
      </w:r>
      <w:r w:rsidR="00A27977" w:rsidRPr="008334AD">
        <w:t xml:space="preserve">, ktorej cieľom je podporiť výrobu energie z obnoviteľných zdrojov a posilniť postavenie a ochranu spotrebiteľov; je presvedčený, že na vykonávanie pravidiel koncepcie trhu s elektrinou sú potrebné ďalšie opatrenia; zdôrazňuje, že je potrebné prijať pragmatické, jasné a priaznivé podmienky na nárast </w:t>
      </w:r>
      <w:proofErr w:type="spellStart"/>
      <w:r w:rsidR="00A27977" w:rsidRPr="008334AD">
        <w:t>nízkouhlíkového</w:t>
      </w:r>
      <w:proofErr w:type="spellEnd"/>
      <w:r w:rsidR="00A27977" w:rsidRPr="008334AD">
        <w:t xml:space="preserve"> a obnoviteľného vodíka, aby sa urýchlila energetická transformácia, najmä v ťažko </w:t>
      </w:r>
      <w:proofErr w:type="spellStart"/>
      <w:r w:rsidR="00A27977" w:rsidRPr="008334AD">
        <w:t>ekologizovateľných</w:t>
      </w:r>
      <w:proofErr w:type="spellEnd"/>
      <w:r w:rsidR="00A27977" w:rsidRPr="008334AD">
        <w:t xml:space="preserve"> odvetviach;</w:t>
      </w:r>
    </w:p>
    <w:p w14:paraId="6E1DB810" w14:textId="4ECB0BE7" w:rsidR="00A27977" w:rsidRPr="008334AD" w:rsidRDefault="005A69D2" w:rsidP="00A27977">
      <w:pPr>
        <w:pStyle w:val="NormalHanging12a"/>
      </w:pPr>
      <w:r w:rsidRPr="008334AD">
        <w:t>122</w:t>
      </w:r>
      <w:r w:rsidR="00A27977" w:rsidRPr="008334AD">
        <w:t>.</w:t>
      </w:r>
      <w:r w:rsidR="00A27977" w:rsidRPr="008334AD">
        <w:tab/>
        <w:t>pripomína záväzok EÚ dodržiavať zásadu „energetická účinnosť na prvom mieste“, ktorá zohľadňuje nákladovú efektívnosť, účinnosť systému, kapacitu skladovania, flexibilitu na strane dopytu a bezpečnosť dodávok; zdôrazňuje jej úlohu pri znižovaní emisií, znižovaní účtov za energiu, zlepšovaní energetickej bezpečnosti a ochrane zraniteľných spotrebiteľov;</w:t>
      </w:r>
    </w:p>
    <w:p w14:paraId="052B2A63" w14:textId="5E9485E4" w:rsidR="00A27977" w:rsidRPr="008334AD" w:rsidRDefault="005A69D2" w:rsidP="00A27977">
      <w:pPr>
        <w:pStyle w:val="NormalHanging12a"/>
      </w:pPr>
      <w:r w:rsidRPr="008334AD">
        <w:t>123</w:t>
      </w:r>
      <w:r w:rsidR="00A27977" w:rsidRPr="008334AD">
        <w:t>.</w:t>
      </w:r>
      <w:r w:rsidR="00A27977" w:rsidRPr="008334AD">
        <w:tab/>
        <w:t>zdôrazňuje potrebu rozsiahlych verejných a súkromných investícií do energetickej siete EÚ a súvisiacej infraštruktúry, aby sa umožnila ich modernizácia vrátane digitalizácie a rozšírenia vrátane cezhraničného prepojenia a ďalšej flexibilnej integrácie čistých a obnoviteľných zdrojov energie, opatrení na zvýšenie efektívnosti a riešení na skladovanie energie s cieľom poskytnúť občanom a priemyslu EÚ čistú, dostatočnú, bezpečnú a cenovo dostupnú energiu; zdôrazňuje najmä potrebu modernizácie elektrickej siete EÚ v rámci pripravovaného európskeho balíka opatrení pre európske elektrizačné sústavy;</w:t>
      </w:r>
    </w:p>
    <w:p w14:paraId="6405D315" w14:textId="02E16807" w:rsidR="00A27977" w:rsidRPr="008334AD" w:rsidRDefault="005A69D2" w:rsidP="00A27977">
      <w:pPr>
        <w:pStyle w:val="NormalHanging12a"/>
      </w:pPr>
      <w:r w:rsidRPr="008334AD">
        <w:t>124</w:t>
      </w:r>
      <w:r w:rsidR="00A27977" w:rsidRPr="008334AD">
        <w:t>.</w:t>
      </w:r>
      <w:r w:rsidR="00A27977" w:rsidRPr="008334AD">
        <w:tab/>
        <w:t>zdôrazňuje potrebu globálnej koordinácie a podpory rozvojových a najmenej rozvinutých krajín s cieľom dosiahnuť čisté nulové emisie a budovať kapacity prostredníctvom cezhraničnej spolupráce v oblasti tvorby politík a prenosu vedy a technológií;</w:t>
      </w:r>
    </w:p>
    <w:p w14:paraId="4E7FB288" w14:textId="1C60931C" w:rsidR="00A27977" w:rsidRPr="008334AD" w:rsidRDefault="005A69D2" w:rsidP="00A27977">
      <w:pPr>
        <w:pStyle w:val="NormalHanging12a"/>
      </w:pPr>
      <w:r w:rsidRPr="008334AD">
        <w:t>125</w:t>
      </w:r>
      <w:r w:rsidR="00A27977" w:rsidRPr="008334AD">
        <w:t>.</w:t>
      </w:r>
      <w:r w:rsidR="00A27977" w:rsidRPr="008334AD">
        <w:tab/>
        <w:t>zdôrazňuje, že sa musia podporovať partnerstvá so spoľahlivými krajinami mimo EÚ v oblasti vonkajších rozmerov energetických politík; berie na vedomie úsilie EÚ o budovanie energetických aliancií prostredníctvom perspektívy udržateľného rozvoja, a to aj zohľadnením záujmov ich obyvateľov a miestnych spoločenstiev;</w:t>
      </w:r>
    </w:p>
    <w:p w14:paraId="13F0E672" w14:textId="3FF8665A" w:rsidR="00A27977" w:rsidRPr="008334AD" w:rsidRDefault="005A69D2" w:rsidP="00A27977">
      <w:pPr>
        <w:pStyle w:val="NormalHanging12a"/>
      </w:pPr>
      <w:r w:rsidRPr="008334AD">
        <w:t>126</w:t>
      </w:r>
      <w:r w:rsidR="00A27977" w:rsidRPr="008334AD">
        <w:t>.</w:t>
      </w:r>
      <w:r w:rsidR="00A27977" w:rsidRPr="008334AD">
        <w:tab/>
        <w:t>berie na vedomie vyhlásenie</w:t>
      </w:r>
      <w:r w:rsidR="00A27977" w:rsidRPr="008334AD">
        <w:rPr>
          <w:rStyle w:val="FootnoteReference"/>
          <w:color w:val="000000"/>
          <w:szCs w:val="24"/>
        </w:rPr>
        <w:footnoteReference w:id="44"/>
      </w:r>
      <w:r w:rsidR="00A27977" w:rsidRPr="008334AD">
        <w:t xml:space="preserve"> o strojnásobení celosvetovej kapacity jadrovej energie do roku 2050, ktoré sa uviedlo na konferencii COP 28 a od konferencie COP 29 ho </w:t>
      </w:r>
      <w:r w:rsidR="00A27977" w:rsidRPr="008334AD">
        <w:lastRenderedPageBreak/>
        <w:t>podpísalo 31 krajín vrátane 12 členských štátov EÚ a Ukrajiny; v tejto súvislosti pripomína začatie jadrovej aliancie, ktorú navrhlo niekoľko členských štátov EÚ, a Európskej priemyselnej aliancie pre malé modulárne reaktory;</w:t>
      </w:r>
    </w:p>
    <w:p w14:paraId="1BC5717E" w14:textId="377B589F" w:rsidR="00A27977" w:rsidRPr="008334AD" w:rsidRDefault="005A69D2" w:rsidP="00A27977">
      <w:pPr>
        <w:pStyle w:val="NormalHanging12a"/>
      </w:pPr>
      <w:r w:rsidRPr="008334AD">
        <w:t>127</w:t>
      </w:r>
      <w:r w:rsidR="00A27977" w:rsidRPr="008334AD">
        <w:t>.</w:t>
      </w:r>
      <w:r w:rsidR="00A27977" w:rsidRPr="008334AD">
        <w:tab/>
        <w:t>zdôrazňuje ústrednú úlohu miestnych spoločenstiev a občanov pri spravodlivej a inkluzívnej energetickej transformácii; vyzdvihuje právny rámec EÚ umožňujúci vznik energetických spoločenstiev a jeho potenciál ako modelu pre medzinárodných partnerov;</w:t>
      </w:r>
    </w:p>
    <w:p w14:paraId="009FAC98" w14:textId="77777777" w:rsidR="00A27977" w:rsidRPr="008334AD" w:rsidRDefault="00A27977" w:rsidP="00A27977">
      <w:pPr>
        <w:pStyle w:val="NormalHanging12a"/>
        <w:rPr>
          <w:b/>
          <w:i/>
          <w:iCs/>
          <w:szCs w:val="24"/>
        </w:rPr>
      </w:pPr>
      <w:r w:rsidRPr="008334AD">
        <w:rPr>
          <w:b/>
          <w:i/>
        </w:rPr>
        <w:t>Výskum, inovácie, digitálne technológie a politika v oblasti vesmíru</w:t>
      </w:r>
    </w:p>
    <w:p w14:paraId="08ACF114" w14:textId="1203A202" w:rsidR="00A27977" w:rsidRPr="008334AD" w:rsidRDefault="005A69D2" w:rsidP="00A27977">
      <w:pPr>
        <w:pStyle w:val="NormalHanging12a"/>
      </w:pPr>
      <w:r w:rsidRPr="008334AD">
        <w:t>128</w:t>
      </w:r>
      <w:r w:rsidR="00A27977" w:rsidRPr="008334AD">
        <w:t>.</w:t>
      </w:r>
      <w:r w:rsidR="00A27977" w:rsidRPr="008334AD">
        <w:tab/>
        <w:t xml:space="preserve">uznáva význam programu </w:t>
      </w:r>
      <w:proofErr w:type="spellStart"/>
      <w:r w:rsidR="00A27977" w:rsidRPr="008334AD">
        <w:t>Copernicus</w:t>
      </w:r>
      <w:proofErr w:type="spellEnd"/>
      <w:r w:rsidR="00A27977" w:rsidRPr="008334AD">
        <w:t xml:space="preserve"> a vedomostného centra pre pozorovanie Zeme v oblasti klímy a pozorovania; zdôrazňuje význam satelitného monitorovania pre politiku v oblasti klímy vrátane sledovania emisií metánu, lesov a záchytov uhlíka; vyzýva na spoločný výskum vesmírnych a klimatických technológií, posilnenie verejno-súkromných partnerstiev a zvýšenie investícií do vesmírneho hospodárstva EÚ v záujme strategickej autonómie;</w:t>
      </w:r>
    </w:p>
    <w:p w14:paraId="6DA94609" w14:textId="306ADCD3" w:rsidR="00A27977" w:rsidRPr="008334AD" w:rsidRDefault="005A69D2" w:rsidP="00A27977">
      <w:pPr>
        <w:pStyle w:val="NormalHanging12a"/>
      </w:pPr>
      <w:r w:rsidRPr="008334AD">
        <w:t>129</w:t>
      </w:r>
      <w:r w:rsidR="00A27977" w:rsidRPr="008334AD">
        <w:t>.</w:t>
      </w:r>
      <w:r w:rsidR="00A27977" w:rsidRPr="008334AD">
        <w:tab/>
        <w:t>zdôrazňuje kľúčovú úlohu výskumu a inovácií pri dosahovaní cieľov Parížskej dohody a Zelenej dohody; vyjadruje poľutovanie nad tým, že EÚ stále nedosahuje svoj cieľ v oblasti investícií do výskumu a vývoja vo výške 3 % HDP, a žiada stratégie na podporu priemyselného výskumu a vývoja;</w:t>
      </w:r>
    </w:p>
    <w:p w14:paraId="11F0AE56" w14:textId="0EA66A0A" w:rsidR="00A27977" w:rsidRPr="008334AD" w:rsidRDefault="005A69D2" w:rsidP="00A27977">
      <w:pPr>
        <w:pStyle w:val="NormalHanging12a"/>
      </w:pPr>
      <w:r w:rsidRPr="008334AD">
        <w:t>130</w:t>
      </w:r>
      <w:r w:rsidR="00A27977" w:rsidRPr="008334AD">
        <w:t>.</w:t>
      </w:r>
      <w:r w:rsidR="00A27977" w:rsidRPr="008334AD">
        <w:tab/>
        <w:t>víta úlohu programu Horizont Európa a jeho partnerstiev, ako sú spoločné podniky a znalostné a inovačné spoločenstvá Európskeho inovačného a technologického inštitútu, pri podpore spolupráce medzi verejným a súkromným sektorom v záujme klimatickej neutrality, ktorá zabezpečuje udržateľné, prístupné a cenovo dostupné inovácie;</w:t>
      </w:r>
    </w:p>
    <w:p w14:paraId="595CDA0E" w14:textId="213EBDE1" w:rsidR="00A27977" w:rsidRPr="008334AD" w:rsidRDefault="005A69D2" w:rsidP="00A27977">
      <w:pPr>
        <w:pStyle w:val="NormalHanging12a"/>
        <w:rPr>
          <w:iCs/>
        </w:rPr>
      </w:pPr>
      <w:r w:rsidRPr="008334AD">
        <w:t>131</w:t>
      </w:r>
      <w:r w:rsidR="00A27977" w:rsidRPr="008334AD">
        <w:t>.</w:t>
      </w:r>
      <w:r w:rsidR="00A27977" w:rsidRPr="008334AD">
        <w:tab/>
        <w:t xml:space="preserve">zdôrazňuje, že EÚ musí spolupracovať v oblasti výskumu zameraného na technológie, priemysel a inovatívnu vedu, čo pomôže významne prispieť k plneniu Parížskej dohody, a vyzýva na rýchle vypracovanie novej Stratégie pre európske vedy o živej prírode a preskúmanie stratégie pre </w:t>
      </w:r>
      <w:proofErr w:type="spellStart"/>
      <w:r w:rsidR="00A27977" w:rsidRPr="008334AD">
        <w:t>biohospodárstvo</w:t>
      </w:r>
      <w:proofErr w:type="spellEnd"/>
      <w:r w:rsidR="00A27977" w:rsidRPr="008334AD">
        <w:t>; víta iniciatívu „Vyberte si Európu pre vedy o živej prírode“, ktorá zlepšuje možnosti financovania výskumu v EÚ; vyzýva Komisiu, aby podporovala strategické výskumné partnerstvá s cieľom umožniť rovnaké podmienky v Európe; podporuje ďalšie opatrenia na zabezpečenie dlhodobého prístupu k údajom o klíme pre medzinárodnú výskumnú komunitu;</w:t>
      </w:r>
    </w:p>
    <w:p w14:paraId="5A26297F" w14:textId="7F0715B6" w:rsidR="00A27977" w:rsidRPr="008334AD" w:rsidRDefault="005A69D2" w:rsidP="00A27977">
      <w:pPr>
        <w:pStyle w:val="NormalHanging12a"/>
      </w:pPr>
      <w:r w:rsidRPr="008334AD">
        <w:t>132</w:t>
      </w:r>
      <w:r w:rsidR="00A27977" w:rsidRPr="008334AD">
        <w:t>.</w:t>
      </w:r>
      <w:r w:rsidR="00A27977" w:rsidRPr="008334AD">
        <w:tab/>
        <w:t>zdôrazňuje kľúčovú úlohu digitalizácie pri energetickej integrácii, prepojení trhov a znižovaní emisií; zdôrazňuje význam digitálnych technológií a nástrojov založených na umelej inteligencii pri dosahovaní transformácie na čistý priemysel, keďže ponúkajú príležitosti okrem iného v oblasti elektrifikácie, flexibility a energetickej efektívnosti; očakáva strategický plán EÚ pre digitalizáciu a umelú inteligenciu v energetickom sektore; vyjadruje znepokojenie nad uhlíkovou stopou sektora informačných a komunikačných technológií a vyzýva na udržateľné postupy v dátových centrách; pripomína cieľ digitálnej stratégie EÚ vytvoriť do roku 2030 klimaticky neutrálne a vysoko energeticky účinné dátové centrá a elektronické komunikačné siete a služby;</w:t>
      </w:r>
    </w:p>
    <w:p w14:paraId="0512C1E2" w14:textId="77777777" w:rsidR="00A27977" w:rsidRPr="008334AD" w:rsidRDefault="00A27977" w:rsidP="00A27977">
      <w:pPr>
        <w:pStyle w:val="NormalHanging12a"/>
        <w:rPr>
          <w:b/>
          <w:bCs/>
          <w:i/>
        </w:rPr>
      </w:pPr>
      <w:r w:rsidRPr="008334AD">
        <w:rPr>
          <w:b/>
          <w:i/>
        </w:rPr>
        <w:t>Úloha Európskeho parlamentu na konferencii COP 30</w:t>
      </w:r>
    </w:p>
    <w:p w14:paraId="3BA4BF49" w14:textId="4DD8D111" w:rsidR="00A27977" w:rsidRPr="008334AD" w:rsidRDefault="005A69D2" w:rsidP="00A27977">
      <w:pPr>
        <w:pStyle w:val="NormalHanging12a"/>
      </w:pPr>
      <w:r w:rsidRPr="008334AD">
        <w:t>133</w:t>
      </w:r>
      <w:r w:rsidR="00A27977" w:rsidRPr="008334AD">
        <w:t>.</w:t>
      </w:r>
      <w:r w:rsidR="00A27977" w:rsidRPr="008334AD">
        <w:tab/>
        <w:t xml:space="preserve">domnieva sa, že Európsky parlament by mal byť integrálnou súčasťou delegácie EÚ na konferencii COP 30, pretože musí udeliť súhlas s medzinárodnými dohodami a ako jeden zo </w:t>
      </w:r>
      <w:proofErr w:type="spellStart"/>
      <w:r w:rsidR="00A27977" w:rsidRPr="008334AD">
        <w:t>spoluzákonodarcov</w:t>
      </w:r>
      <w:proofErr w:type="spellEnd"/>
      <w:r w:rsidR="00A27977" w:rsidRPr="008334AD">
        <w:t xml:space="preserve"> EÚ zohráva ústrednú úlohu pri vykonávaní Parížskej </w:t>
      </w:r>
      <w:r w:rsidR="00A27977" w:rsidRPr="008334AD">
        <w:lastRenderedPageBreak/>
        <w:t xml:space="preserve">dohody v Únii; očakáva preto, že sa bude môcť zúčastniť na koordinačných stretnutiach EÚ na konferencii COP 30 v </w:t>
      </w:r>
      <w:proofErr w:type="spellStart"/>
      <w:r w:rsidR="00A27977" w:rsidRPr="008334AD">
        <w:t>Beléme</w:t>
      </w:r>
      <w:proofErr w:type="spellEnd"/>
      <w:r w:rsidR="00A27977" w:rsidRPr="008334AD">
        <w:t xml:space="preserve"> a že mu bude zaručený včasný prístup ku všetkým prípravným dokumentom; zaväzuje sa konať nezávisle a bez konfliktu záujmov;</w:t>
      </w:r>
    </w:p>
    <w:p w14:paraId="1EA1DFF7" w14:textId="4319D3FB" w:rsidR="0066152B" w:rsidRPr="008334AD" w:rsidRDefault="0066152B" w:rsidP="0066152B">
      <w:pPr>
        <w:pStyle w:val="NormalHanging12a"/>
        <w:widowControl/>
        <w:ind w:left="0" w:firstLine="0"/>
        <w:jc w:val="center"/>
      </w:pPr>
      <w:r w:rsidRPr="008334AD">
        <w:t>°</w:t>
      </w:r>
    </w:p>
    <w:p w14:paraId="28AA2BE1" w14:textId="23620C64" w:rsidR="0066152B" w:rsidRPr="008334AD" w:rsidRDefault="0066152B" w:rsidP="0066152B">
      <w:pPr>
        <w:pStyle w:val="NormalHanging12a"/>
        <w:widowControl/>
        <w:ind w:left="0" w:firstLine="0"/>
        <w:jc w:val="center"/>
      </w:pPr>
      <w:r w:rsidRPr="008334AD">
        <w:t>°     °</w:t>
      </w:r>
    </w:p>
    <w:p w14:paraId="4F91732B" w14:textId="11D94D06" w:rsidR="00E365E1" w:rsidRPr="008334AD" w:rsidRDefault="005A69D2" w:rsidP="0066152B">
      <w:pPr>
        <w:pStyle w:val="NormalHanging12a"/>
      </w:pPr>
      <w:r w:rsidRPr="008334AD">
        <w:t>134</w:t>
      </w:r>
      <w:r w:rsidR="00A27977" w:rsidRPr="008334AD">
        <w:t>.</w:t>
      </w:r>
      <w:r w:rsidR="00A27977" w:rsidRPr="008334AD">
        <w:tab/>
        <w:t>poveruje svoju predsedníčku, aby postúpila toto uznesenie Rade, Komisii, vládam a parlamentom členských štátov a sekretariátu UNFCCC s požiadavkou, aby sa rozoslalo všetkým zmluvným stranám uvedeného dohovoru, ktoré nie sú členmi EÚ.</w:t>
      </w:r>
    </w:p>
    <w:sectPr w:rsidR="00E365E1" w:rsidRPr="008334AD" w:rsidSect="0022796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F6D53" w14:textId="77777777" w:rsidR="00EC0E5A" w:rsidRPr="00227960" w:rsidRDefault="00EC0E5A">
      <w:r w:rsidRPr="00227960">
        <w:separator/>
      </w:r>
    </w:p>
  </w:endnote>
  <w:endnote w:type="continuationSeparator" w:id="0">
    <w:p w14:paraId="5D42B446" w14:textId="77777777" w:rsidR="00EC0E5A" w:rsidRPr="00227960" w:rsidRDefault="00EC0E5A">
      <w:r w:rsidRPr="002279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B51B7" w14:textId="77777777" w:rsidR="00EC0E5A" w:rsidRPr="00227960" w:rsidRDefault="00EC0E5A">
      <w:r w:rsidRPr="00227960">
        <w:separator/>
      </w:r>
    </w:p>
  </w:footnote>
  <w:footnote w:type="continuationSeparator" w:id="0">
    <w:p w14:paraId="5438567E" w14:textId="77777777" w:rsidR="00EC0E5A" w:rsidRPr="00227960" w:rsidRDefault="00EC0E5A">
      <w:r w:rsidRPr="00227960">
        <w:continuationSeparator/>
      </w:r>
    </w:p>
  </w:footnote>
  <w:footnote w:id="1">
    <w:p w14:paraId="74461D99" w14:textId="5CBDAC37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Ú. v. EÚ C, C/2025/808, 11.2.2025, </w:t>
      </w:r>
      <w:r w:rsidRPr="00FC3F72">
        <w:rPr>
          <w:sz w:val="24"/>
          <w:szCs w:val="24"/>
          <w:shd w:val="clear" w:color="auto" w:fill="FFFFFF"/>
          <w:lang w:val="sk-SK"/>
        </w:rPr>
        <w:t>ELI: </w:t>
      </w:r>
      <w:hyperlink r:id="rId1" w:history="1">
        <w:r w:rsidR="00EA3737" w:rsidRPr="00FC3F72">
          <w:rPr>
            <w:rStyle w:val="Hyperlink"/>
            <w:sz w:val="24"/>
            <w:szCs w:val="24"/>
            <w:lang w:val="es-ES"/>
          </w:rPr>
          <w:t>http://data.europa.eu/eli/C/2025/808/oj</w:t>
        </w:r>
      </w:hyperlink>
      <w:r w:rsidRPr="00FC3F72">
        <w:rPr>
          <w:sz w:val="24"/>
          <w:szCs w:val="24"/>
          <w:lang w:val="sk-SK"/>
        </w:rPr>
        <w:t>.</w:t>
      </w:r>
    </w:p>
  </w:footnote>
  <w:footnote w:id="2">
    <w:p w14:paraId="40EA73CA" w14:textId="3231D898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Prijaté texty, P10_TA(2025)0159.</w:t>
      </w:r>
    </w:p>
  </w:footnote>
  <w:footnote w:id="3">
    <w:p w14:paraId="7D68D3F0" w14:textId="738496AA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Ú. v. EÚ L 114, 12.4.2022, s. </w:t>
      </w:r>
      <w:r w:rsidRPr="00FC3F72">
        <w:rPr>
          <w:sz w:val="24"/>
          <w:szCs w:val="24"/>
          <w:lang w:val="sk-SK"/>
        </w:rPr>
        <w:t xml:space="preserve">22, </w:t>
      </w:r>
      <w:r w:rsidRPr="00FC3F72">
        <w:rPr>
          <w:sz w:val="24"/>
          <w:szCs w:val="24"/>
          <w:shd w:val="clear" w:color="auto" w:fill="FFFFFF"/>
          <w:lang w:val="sk-SK"/>
        </w:rPr>
        <w:t>ELI: </w:t>
      </w:r>
      <w:hyperlink r:id="rId2" w:history="1">
        <w:r w:rsidR="00EA3737" w:rsidRPr="008334AD">
          <w:rPr>
            <w:rStyle w:val="Hyperlink"/>
            <w:sz w:val="24"/>
            <w:szCs w:val="24"/>
            <w:lang w:val="sk-SK"/>
          </w:rPr>
          <w:t>http://data.europa.eu/eli/dec/2022/591/oj</w:t>
        </w:r>
      </w:hyperlink>
      <w:r w:rsidRPr="00FC3F72">
        <w:rPr>
          <w:sz w:val="24"/>
          <w:szCs w:val="24"/>
          <w:lang w:val="sk-SK"/>
        </w:rPr>
        <w:t>.</w:t>
      </w:r>
    </w:p>
  </w:footnote>
  <w:footnote w:id="4">
    <w:p w14:paraId="399789EF" w14:textId="1CD638EA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Ú. v. EÚ C 232, 16.6.2021, s. 28.</w:t>
      </w:r>
    </w:p>
  </w:footnote>
  <w:footnote w:id="5">
    <w:p w14:paraId="05937776" w14:textId="276343FA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Ú. v. </w:t>
      </w:r>
      <w:r w:rsidRPr="00FC3F72">
        <w:rPr>
          <w:sz w:val="24"/>
          <w:szCs w:val="24"/>
          <w:lang w:val="sk-SK"/>
        </w:rPr>
        <w:t>EÚ L, 2024/1991, 29.7.2024, ELI: </w:t>
      </w:r>
      <w:hyperlink r:id="rId3" w:tgtFrame="_blank" w:tooltip="Umožňuje prístup k tomuto dokumentu prostredníctvom identifikátora URI používaného v rámci ELI." w:history="1">
        <w:r w:rsidRPr="00FC3F72">
          <w:rPr>
            <w:rStyle w:val="Hyperlink"/>
            <w:sz w:val="24"/>
            <w:szCs w:val="24"/>
            <w:lang w:val="sk-SK"/>
          </w:rPr>
          <w:t>http://data.europa.eu/eli/reg/2024/1991/oj</w:t>
        </w:r>
      </w:hyperlink>
      <w:r w:rsidRPr="00FC3F72">
        <w:rPr>
          <w:sz w:val="24"/>
          <w:szCs w:val="24"/>
          <w:lang w:val="sk-SK"/>
        </w:rPr>
        <w:t>.</w:t>
      </w:r>
    </w:p>
  </w:footnote>
  <w:footnote w:id="6">
    <w:p w14:paraId="055A90FC" w14:textId="25386124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Prijaté texty, P9_TA(2024)0204.</w:t>
      </w:r>
    </w:p>
  </w:footnote>
  <w:footnote w:id="7">
    <w:p w14:paraId="7E78BFFA" w14:textId="591D2F22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shd w:val="clear" w:color="auto" w:fill="FFFFFF"/>
          <w:lang w:val="sk-SK"/>
        </w:rPr>
        <w:t xml:space="preserve"> </w:t>
      </w:r>
      <w:r w:rsidR="00227960" w:rsidRPr="00FC3F72">
        <w:rPr>
          <w:sz w:val="24"/>
          <w:szCs w:val="24"/>
          <w:shd w:val="clear" w:color="auto" w:fill="FFFFFF"/>
          <w:lang w:val="sk-SK"/>
        </w:rPr>
        <w:tab/>
      </w:r>
      <w:r w:rsidRPr="00FC3F72">
        <w:rPr>
          <w:sz w:val="24"/>
          <w:szCs w:val="24"/>
          <w:shd w:val="clear" w:color="auto" w:fill="FFFFFF"/>
          <w:lang w:val="sk-SK"/>
        </w:rPr>
        <w:t xml:space="preserve">Ú. v. </w:t>
      </w:r>
      <w:r w:rsidRPr="00FC3F72">
        <w:rPr>
          <w:sz w:val="24"/>
          <w:szCs w:val="24"/>
          <w:shd w:val="clear" w:color="auto" w:fill="FFFFFF"/>
          <w:lang w:val="sk-SK"/>
        </w:rPr>
        <w:t>EÚ L, 2024/3012, 6.12.2024, ELI: </w:t>
      </w:r>
      <w:hyperlink r:id="rId4" w:tgtFrame="_blank" w:tooltip="Umožňuje prístup k tomuto dokumentu prostredníctvom identifikátora URI používaného v rámci ELI." w:history="1">
        <w:r w:rsidRPr="008334AD">
          <w:rPr>
            <w:rStyle w:val="Hyperlink"/>
            <w:sz w:val="24"/>
            <w:szCs w:val="24"/>
            <w:lang w:val="sk-SK"/>
          </w:rPr>
          <w:t>http://data.europa.eu/eli/reg/2024/3012/oj</w:t>
        </w:r>
      </w:hyperlink>
      <w:r w:rsidRPr="00FC3F72">
        <w:rPr>
          <w:sz w:val="24"/>
          <w:szCs w:val="24"/>
          <w:shd w:val="clear" w:color="auto" w:fill="FFFFFF"/>
          <w:lang w:val="sk-SK"/>
        </w:rPr>
        <w:t>.</w:t>
      </w:r>
    </w:p>
  </w:footnote>
  <w:footnote w:id="8">
    <w:p w14:paraId="7969CF01" w14:textId="3371C8D0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shd w:val="clear" w:color="auto" w:fill="FFFFFF"/>
          <w:lang w:val="sk-SK"/>
        </w:rPr>
        <w:t xml:space="preserve"> </w:t>
      </w:r>
      <w:r w:rsidR="00227960" w:rsidRPr="00FC3F72">
        <w:rPr>
          <w:sz w:val="24"/>
          <w:szCs w:val="24"/>
          <w:shd w:val="clear" w:color="auto" w:fill="FFFFFF"/>
          <w:lang w:val="sk-SK"/>
        </w:rPr>
        <w:tab/>
      </w:r>
      <w:r w:rsidRPr="00FC3F72">
        <w:rPr>
          <w:sz w:val="24"/>
          <w:szCs w:val="24"/>
          <w:shd w:val="clear" w:color="auto" w:fill="FFFFFF"/>
          <w:lang w:val="sk-SK"/>
        </w:rPr>
        <w:t xml:space="preserve">Ú. v. </w:t>
      </w:r>
      <w:r w:rsidRPr="00FC3F72">
        <w:rPr>
          <w:sz w:val="24"/>
          <w:szCs w:val="24"/>
          <w:shd w:val="clear" w:color="auto" w:fill="FFFFFF"/>
          <w:lang w:val="sk-SK"/>
        </w:rPr>
        <w:t>EÚ L, 2024/1787, 15.7.2024, ELI: </w:t>
      </w:r>
      <w:hyperlink r:id="rId5" w:tgtFrame="_blank" w:tooltip="Umožňuje prístup k tomuto dokumentu prostredníctvom identifikátora URI používaného v rámci ELI." w:history="1">
        <w:r w:rsidRPr="008334AD">
          <w:rPr>
            <w:rStyle w:val="Hyperlink"/>
            <w:sz w:val="24"/>
            <w:szCs w:val="24"/>
            <w:lang w:val="sk-SK"/>
          </w:rPr>
          <w:t>http://data.europa.eu/eli/reg/2024/1787/oj</w:t>
        </w:r>
      </w:hyperlink>
      <w:r w:rsidRPr="00FC3F72">
        <w:rPr>
          <w:sz w:val="24"/>
          <w:szCs w:val="24"/>
          <w:shd w:val="clear" w:color="auto" w:fill="FFFFFF"/>
          <w:lang w:val="sk-SK"/>
        </w:rPr>
        <w:t>.</w:t>
      </w:r>
    </w:p>
  </w:footnote>
  <w:footnote w:id="9">
    <w:p w14:paraId="6B375CDC" w14:textId="1E54EB6C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proofErr w:type="spellStart"/>
      <w:r w:rsidRPr="00FC3F72">
        <w:rPr>
          <w:sz w:val="24"/>
          <w:szCs w:val="24"/>
          <w:lang w:val="sk-SK"/>
        </w:rPr>
        <w:t>Forster</w:t>
      </w:r>
      <w:proofErr w:type="spellEnd"/>
      <w:r w:rsidRPr="00FC3F72">
        <w:rPr>
          <w:sz w:val="24"/>
          <w:szCs w:val="24"/>
          <w:lang w:val="sk-SK"/>
        </w:rPr>
        <w:t xml:space="preserve">, P. M., </w:t>
      </w:r>
      <w:proofErr w:type="spellStart"/>
      <w:r w:rsidRPr="00FC3F72">
        <w:rPr>
          <w:sz w:val="24"/>
          <w:szCs w:val="24"/>
          <w:lang w:val="sk-SK"/>
        </w:rPr>
        <w:t>Smith</w:t>
      </w:r>
      <w:proofErr w:type="spellEnd"/>
      <w:r w:rsidRPr="00FC3F72">
        <w:rPr>
          <w:sz w:val="24"/>
          <w:szCs w:val="24"/>
          <w:lang w:val="sk-SK"/>
        </w:rPr>
        <w:t xml:space="preserve">, C., </w:t>
      </w:r>
      <w:proofErr w:type="spellStart"/>
      <w:r w:rsidRPr="00FC3F72">
        <w:rPr>
          <w:sz w:val="24"/>
          <w:szCs w:val="24"/>
          <w:lang w:val="sk-SK"/>
        </w:rPr>
        <w:t>Walsh</w:t>
      </w:r>
      <w:proofErr w:type="spellEnd"/>
      <w:r w:rsidRPr="00FC3F72">
        <w:rPr>
          <w:sz w:val="24"/>
          <w:szCs w:val="24"/>
          <w:lang w:val="sk-SK"/>
        </w:rPr>
        <w:t xml:space="preserve">, T., </w:t>
      </w:r>
      <w:proofErr w:type="spellStart"/>
      <w:r w:rsidRPr="00FC3F72">
        <w:rPr>
          <w:sz w:val="24"/>
          <w:szCs w:val="24"/>
          <w:lang w:val="sk-SK"/>
        </w:rPr>
        <w:t>Lamb</w:t>
      </w:r>
      <w:proofErr w:type="spellEnd"/>
      <w:r w:rsidRPr="00FC3F72">
        <w:rPr>
          <w:sz w:val="24"/>
          <w:szCs w:val="24"/>
          <w:lang w:val="sk-SK"/>
        </w:rPr>
        <w:t xml:space="preserve">, W. F., </w:t>
      </w:r>
      <w:proofErr w:type="spellStart"/>
      <w:r w:rsidRPr="00FC3F72">
        <w:rPr>
          <w:sz w:val="24"/>
          <w:szCs w:val="24"/>
          <w:lang w:val="sk-SK"/>
        </w:rPr>
        <w:t>Lamboll</w:t>
      </w:r>
      <w:proofErr w:type="spellEnd"/>
      <w:r w:rsidRPr="00FC3F72">
        <w:rPr>
          <w:sz w:val="24"/>
          <w:szCs w:val="24"/>
          <w:lang w:val="sk-SK"/>
        </w:rPr>
        <w:t>, R. a kol., „</w:t>
      </w:r>
      <w:proofErr w:type="spellStart"/>
      <w:r w:rsidRPr="00FC3F72">
        <w:rPr>
          <w:sz w:val="24"/>
          <w:szCs w:val="24"/>
          <w:lang w:val="sk-SK"/>
        </w:rPr>
        <w:t>Indicators</w:t>
      </w:r>
      <w:proofErr w:type="spellEnd"/>
      <w:r w:rsidRPr="00FC3F72">
        <w:rPr>
          <w:sz w:val="24"/>
          <w:szCs w:val="24"/>
          <w:lang w:val="sk-SK"/>
        </w:rPr>
        <w:t xml:space="preserve"> of </w:t>
      </w:r>
      <w:proofErr w:type="spellStart"/>
      <w:r w:rsidRPr="00FC3F72">
        <w:rPr>
          <w:sz w:val="24"/>
          <w:szCs w:val="24"/>
          <w:lang w:val="sk-SK"/>
        </w:rPr>
        <w:t>Global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Climate</w:t>
      </w:r>
      <w:proofErr w:type="spellEnd"/>
      <w:r w:rsidRPr="00FC3F72">
        <w:rPr>
          <w:sz w:val="24"/>
          <w:szCs w:val="24"/>
          <w:lang w:val="sk-SK"/>
        </w:rPr>
        <w:t xml:space="preserve"> Change 2024: </w:t>
      </w:r>
      <w:proofErr w:type="spellStart"/>
      <w:r w:rsidRPr="00FC3F72">
        <w:rPr>
          <w:sz w:val="24"/>
          <w:szCs w:val="24"/>
          <w:lang w:val="sk-SK"/>
        </w:rPr>
        <w:t>annual</w:t>
      </w:r>
      <w:proofErr w:type="spellEnd"/>
      <w:r w:rsidRPr="00FC3F72">
        <w:rPr>
          <w:sz w:val="24"/>
          <w:szCs w:val="24"/>
          <w:lang w:val="sk-SK"/>
        </w:rPr>
        <w:t xml:space="preserve"> update of </w:t>
      </w:r>
      <w:proofErr w:type="spellStart"/>
      <w:r w:rsidRPr="00FC3F72">
        <w:rPr>
          <w:sz w:val="24"/>
          <w:szCs w:val="24"/>
          <w:lang w:val="sk-SK"/>
        </w:rPr>
        <w:t>key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indicators</w:t>
      </w:r>
      <w:proofErr w:type="spellEnd"/>
      <w:r w:rsidRPr="00FC3F72">
        <w:rPr>
          <w:sz w:val="24"/>
          <w:szCs w:val="24"/>
          <w:lang w:val="sk-SK"/>
        </w:rPr>
        <w:t xml:space="preserve"> of </w:t>
      </w:r>
      <w:proofErr w:type="spellStart"/>
      <w:r w:rsidRPr="00FC3F72">
        <w:rPr>
          <w:sz w:val="24"/>
          <w:szCs w:val="24"/>
          <w:lang w:val="sk-SK"/>
        </w:rPr>
        <w:t>the</w:t>
      </w:r>
      <w:proofErr w:type="spellEnd"/>
      <w:r w:rsidRPr="00FC3F72">
        <w:rPr>
          <w:sz w:val="24"/>
          <w:szCs w:val="24"/>
          <w:lang w:val="sk-SK"/>
        </w:rPr>
        <w:t xml:space="preserve"> state of </w:t>
      </w:r>
      <w:proofErr w:type="spellStart"/>
      <w:r w:rsidRPr="00FC3F72">
        <w:rPr>
          <w:sz w:val="24"/>
          <w:szCs w:val="24"/>
          <w:lang w:val="sk-SK"/>
        </w:rPr>
        <w:t>the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climate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system</w:t>
      </w:r>
      <w:proofErr w:type="spellEnd"/>
      <w:r w:rsidRPr="00FC3F72">
        <w:rPr>
          <w:sz w:val="24"/>
          <w:szCs w:val="24"/>
          <w:lang w:val="sk-SK"/>
        </w:rPr>
        <w:t xml:space="preserve"> and </w:t>
      </w:r>
      <w:proofErr w:type="spellStart"/>
      <w:r w:rsidRPr="00FC3F72">
        <w:rPr>
          <w:sz w:val="24"/>
          <w:szCs w:val="24"/>
          <w:lang w:val="sk-SK"/>
        </w:rPr>
        <w:t>human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influence</w:t>
      </w:r>
      <w:proofErr w:type="spellEnd"/>
      <w:r w:rsidRPr="00FC3F72">
        <w:rPr>
          <w:sz w:val="24"/>
          <w:szCs w:val="24"/>
          <w:lang w:val="sk-SK"/>
        </w:rPr>
        <w:t xml:space="preserve">“ (Ukazovatele globálnej klimatickej zmeny 2024: ročná aktualizácia kľúčových ukazovateľov stavu klimatického systému a vplyvu človeka), </w:t>
      </w:r>
      <w:proofErr w:type="spellStart"/>
      <w:r w:rsidRPr="00FC3F72">
        <w:rPr>
          <w:i/>
          <w:sz w:val="24"/>
          <w:szCs w:val="24"/>
          <w:lang w:val="sk-SK"/>
        </w:rPr>
        <w:t>Earth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System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Science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Data</w:t>
      </w:r>
      <w:proofErr w:type="spellEnd"/>
      <w:r w:rsidRPr="00FC3F72">
        <w:rPr>
          <w:sz w:val="24"/>
          <w:szCs w:val="24"/>
          <w:lang w:val="sk-SK"/>
        </w:rPr>
        <w:t>, zv. 17, vydanie 6, 19. júna 2025.</w:t>
      </w:r>
    </w:p>
  </w:footnote>
  <w:footnote w:id="10">
    <w:p w14:paraId="45F25BBB" w14:textId="09C0DF69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Program OSN pre životné prostredie, </w:t>
      </w:r>
      <w:r w:rsidRPr="00FC3F72">
        <w:rPr>
          <w:i/>
          <w:sz w:val="24"/>
          <w:szCs w:val="24"/>
          <w:lang w:val="sk-SK"/>
        </w:rPr>
        <w:t>Správa o medzerách v oblasti emisií za rok 2024</w:t>
      </w:r>
      <w:r w:rsidRPr="00FC3F72">
        <w:rPr>
          <w:sz w:val="24"/>
          <w:szCs w:val="24"/>
          <w:lang w:val="sk-SK"/>
        </w:rPr>
        <w:t xml:space="preserve">, </w:t>
      </w:r>
      <w:r w:rsidR="00E94BF5">
        <w:rPr>
          <w:sz w:val="24"/>
          <w:szCs w:val="24"/>
          <w:lang w:val="sk-SK"/>
        </w:rPr>
        <w:t>2</w:t>
      </w:r>
      <w:r w:rsidRPr="00FC3F72">
        <w:rPr>
          <w:sz w:val="24"/>
          <w:szCs w:val="24"/>
          <w:lang w:val="sk-SK"/>
        </w:rPr>
        <w:t>4. októbra 2024.</w:t>
      </w:r>
    </w:p>
  </w:footnote>
  <w:footnote w:id="11">
    <w:p w14:paraId="7DB5FFDA" w14:textId="272C1BE6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Sekretariát UNFCCC, </w:t>
      </w:r>
      <w:r w:rsidRPr="00FC3F72">
        <w:rPr>
          <w:i/>
          <w:sz w:val="24"/>
          <w:szCs w:val="24"/>
          <w:lang w:val="sk-SK"/>
        </w:rPr>
        <w:t xml:space="preserve">2024 NDC </w:t>
      </w:r>
      <w:proofErr w:type="spellStart"/>
      <w:r w:rsidRPr="00FC3F72">
        <w:rPr>
          <w:i/>
          <w:sz w:val="24"/>
          <w:szCs w:val="24"/>
          <w:lang w:val="sk-SK"/>
        </w:rPr>
        <w:t>Synthesis</w:t>
      </w:r>
      <w:proofErr w:type="spellEnd"/>
      <w:r w:rsidRPr="00FC3F72">
        <w:rPr>
          <w:i/>
          <w:sz w:val="24"/>
          <w:szCs w:val="24"/>
          <w:lang w:val="sk-SK"/>
        </w:rPr>
        <w:t xml:space="preserve"> Report</w:t>
      </w:r>
      <w:r w:rsidRPr="00FC3F72">
        <w:rPr>
          <w:sz w:val="24"/>
          <w:szCs w:val="24"/>
          <w:lang w:val="sk-SK"/>
        </w:rPr>
        <w:t xml:space="preserve"> (Súhrnná správa o NDC za rok 2024), 28. októbra 2024.</w:t>
      </w:r>
    </w:p>
  </w:footnote>
  <w:footnote w:id="12">
    <w:p w14:paraId="4A25561D" w14:textId="75D1AC28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proofErr w:type="spellStart"/>
      <w:r w:rsidRPr="00FC3F72">
        <w:rPr>
          <w:sz w:val="24"/>
          <w:szCs w:val="24"/>
          <w:lang w:val="sk-SK"/>
        </w:rPr>
        <w:t>Eurostat</w:t>
      </w:r>
      <w:proofErr w:type="spellEnd"/>
      <w:r w:rsidRPr="00FC3F72">
        <w:rPr>
          <w:sz w:val="24"/>
          <w:szCs w:val="24"/>
          <w:lang w:val="sk-SK"/>
        </w:rPr>
        <w:t xml:space="preserve">, </w:t>
      </w:r>
      <w:proofErr w:type="spellStart"/>
      <w:r w:rsidRPr="00FC3F72">
        <w:rPr>
          <w:i/>
          <w:sz w:val="24"/>
          <w:szCs w:val="24"/>
          <w:lang w:val="sk-SK"/>
        </w:rPr>
        <w:t>Key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figures</w:t>
      </w:r>
      <w:proofErr w:type="spellEnd"/>
      <w:r w:rsidRPr="00FC3F72">
        <w:rPr>
          <w:i/>
          <w:sz w:val="24"/>
          <w:szCs w:val="24"/>
          <w:lang w:val="sk-SK"/>
        </w:rPr>
        <w:t xml:space="preserve"> on </w:t>
      </w:r>
      <w:proofErr w:type="spellStart"/>
      <w:r w:rsidRPr="00FC3F72">
        <w:rPr>
          <w:i/>
          <w:sz w:val="24"/>
          <w:szCs w:val="24"/>
          <w:lang w:val="sk-SK"/>
        </w:rPr>
        <w:t>the</w:t>
      </w:r>
      <w:proofErr w:type="spellEnd"/>
      <w:r w:rsidRPr="00FC3F72">
        <w:rPr>
          <w:i/>
          <w:sz w:val="24"/>
          <w:szCs w:val="24"/>
          <w:lang w:val="sk-SK"/>
        </w:rPr>
        <w:t xml:space="preserve"> EU in </w:t>
      </w:r>
      <w:proofErr w:type="spellStart"/>
      <w:r w:rsidRPr="00FC3F72">
        <w:rPr>
          <w:i/>
          <w:sz w:val="24"/>
          <w:szCs w:val="24"/>
          <w:lang w:val="sk-SK"/>
        </w:rPr>
        <w:t>the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world</w:t>
      </w:r>
      <w:proofErr w:type="spellEnd"/>
      <w:r w:rsidRPr="00FC3F72">
        <w:rPr>
          <w:i/>
          <w:sz w:val="24"/>
          <w:szCs w:val="24"/>
          <w:lang w:val="sk-SK"/>
        </w:rPr>
        <w:t xml:space="preserve"> – 2025 </w:t>
      </w:r>
      <w:proofErr w:type="spellStart"/>
      <w:r w:rsidRPr="00FC3F72">
        <w:rPr>
          <w:i/>
          <w:sz w:val="24"/>
          <w:szCs w:val="24"/>
          <w:lang w:val="sk-SK"/>
        </w:rPr>
        <w:t>edition</w:t>
      </w:r>
      <w:proofErr w:type="spellEnd"/>
      <w:r w:rsidRPr="00FC3F72">
        <w:rPr>
          <w:sz w:val="24"/>
          <w:szCs w:val="24"/>
          <w:lang w:val="sk-SK"/>
        </w:rPr>
        <w:t xml:space="preserve"> (Kľúčové údaje o EÚ vo svete – vydanie 2025), 2025.</w:t>
      </w:r>
    </w:p>
  </w:footnote>
  <w:footnote w:id="13">
    <w:p w14:paraId="1565838F" w14:textId="62F52056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IPCC, „</w:t>
      </w:r>
      <w:proofErr w:type="spellStart"/>
      <w:r w:rsidRPr="00FC3F72">
        <w:rPr>
          <w:sz w:val="24"/>
          <w:szCs w:val="24"/>
          <w:lang w:val="sk-SK"/>
        </w:rPr>
        <w:t>Summary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for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Policymakers</w:t>
      </w:r>
      <w:proofErr w:type="spellEnd"/>
      <w:r w:rsidRPr="00FC3F72">
        <w:rPr>
          <w:sz w:val="24"/>
          <w:szCs w:val="24"/>
          <w:lang w:val="sk-SK"/>
        </w:rPr>
        <w:t xml:space="preserve">“ (Zhrnutie pre tvorcov politík), </w:t>
      </w:r>
      <w:proofErr w:type="spellStart"/>
      <w:r w:rsidRPr="00FC3F72">
        <w:rPr>
          <w:sz w:val="24"/>
          <w:szCs w:val="24"/>
          <w:lang w:val="sk-SK"/>
        </w:rPr>
        <w:t>Climate</w:t>
      </w:r>
      <w:proofErr w:type="spellEnd"/>
      <w:r w:rsidRPr="00FC3F72">
        <w:rPr>
          <w:sz w:val="24"/>
          <w:szCs w:val="24"/>
          <w:lang w:val="sk-SK"/>
        </w:rPr>
        <w:t xml:space="preserve"> Change 2021 – </w:t>
      </w:r>
      <w:proofErr w:type="spellStart"/>
      <w:r w:rsidRPr="00FC3F72">
        <w:rPr>
          <w:sz w:val="24"/>
          <w:szCs w:val="24"/>
          <w:lang w:val="sk-SK"/>
        </w:rPr>
        <w:t>The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Physical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Science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Basis</w:t>
      </w:r>
      <w:proofErr w:type="spellEnd"/>
      <w:r w:rsidRPr="00FC3F72">
        <w:rPr>
          <w:sz w:val="24"/>
          <w:szCs w:val="24"/>
          <w:lang w:val="sk-SK"/>
        </w:rPr>
        <w:t xml:space="preserve">. </w:t>
      </w:r>
      <w:proofErr w:type="spellStart"/>
      <w:r w:rsidRPr="00FC3F72">
        <w:rPr>
          <w:sz w:val="24"/>
          <w:szCs w:val="24"/>
          <w:lang w:val="sk-SK"/>
        </w:rPr>
        <w:t>Contribution</w:t>
      </w:r>
      <w:proofErr w:type="spellEnd"/>
      <w:r w:rsidRPr="00FC3F72">
        <w:rPr>
          <w:sz w:val="24"/>
          <w:szCs w:val="24"/>
          <w:lang w:val="sk-SK"/>
        </w:rPr>
        <w:t xml:space="preserve"> of </w:t>
      </w:r>
      <w:proofErr w:type="spellStart"/>
      <w:r w:rsidRPr="00FC3F72">
        <w:rPr>
          <w:sz w:val="24"/>
          <w:szCs w:val="24"/>
          <w:lang w:val="sk-SK"/>
        </w:rPr>
        <w:t>Working</w:t>
      </w:r>
      <w:proofErr w:type="spellEnd"/>
      <w:r w:rsidRPr="00FC3F72">
        <w:rPr>
          <w:sz w:val="24"/>
          <w:szCs w:val="24"/>
          <w:lang w:val="sk-SK"/>
        </w:rPr>
        <w:t xml:space="preserve"> Group I to </w:t>
      </w:r>
      <w:proofErr w:type="spellStart"/>
      <w:r w:rsidRPr="00FC3F72">
        <w:rPr>
          <w:sz w:val="24"/>
          <w:szCs w:val="24"/>
          <w:lang w:val="sk-SK"/>
        </w:rPr>
        <w:t>the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Sixth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Assessment</w:t>
      </w:r>
      <w:proofErr w:type="spellEnd"/>
      <w:r w:rsidRPr="00FC3F72">
        <w:rPr>
          <w:sz w:val="24"/>
          <w:szCs w:val="24"/>
          <w:lang w:val="sk-SK"/>
        </w:rPr>
        <w:t xml:space="preserve"> Report of </w:t>
      </w:r>
      <w:proofErr w:type="spellStart"/>
      <w:r w:rsidRPr="00FC3F72">
        <w:rPr>
          <w:sz w:val="24"/>
          <w:szCs w:val="24"/>
          <w:lang w:val="sk-SK"/>
        </w:rPr>
        <w:t>the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Intergovernmental</w:t>
      </w:r>
      <w:proofErr w:type="spellEnd"/>
      <w:r w:rsidRPr="00FC3F72">
        <w:rPr>
          <w:sz w:val="24"/>
          <w:szCs w:val="24"/>
          <w:lang w:val="sk-SK"/>
        </w:rPr>
        <w:t xml:space="preserve"> Panel on </w:t>
      </w:r>
      <w:proofErr w:type="spellStart"/>
      <w:r w:rsidRPr="00FC3F72">
        <w:rPr>
          <w:sz w:val="24"/>
          <w:szCs w:val="24"/>
          <w:lang w:val="sk-SK"/>
        </w:rPr>
        <w:t>Climate</w:t>
      </w:r>
      <w:proofErr w:type="spellEnd"/>
      <w:r w:rsidRPr="00FC3F72">
        <w:rPr>
          <w:sz w:val="24"/>
          <w:szCs w:val="24"/>
          <w:lang w:val="sk-SK"/>
        </w:rPr>
        <w:t xml:space="preserve"> Change (Zmena klímy 2021 – Prírodovedecký základ. Príspevok pracovnej skupiny I k šiestej hodnotiacej správe Medzivládneho panelu o zmene klímy), 2021.</w:t>
      </w:r>
    </w:p>
  </w:footnote>
  <w:footnote w:id="14">
    <w:p w14:paraId="7274C370" w14:textId="549B719D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IPCC, „Sekcie“ (Oddiely), </w:t>
      </w:r>
      <w:proofErr w:type="spellStart"/>
      <w:r w:rsidRPr="00FC3F72">
        <w:rPr>
          <w:i/>
          <w:sz w:val="24"/>
          <w:szCs w:val="24"/>
          <w:lang w:val="sk-SK"/>
        </w:rPr>
        <w:t>Climate</w:t>
      </w:r>
      <w:proofErr w:type="spellEnd"/>
      <w:r w:rsidRPr="00FC3F72">
        <w:rPr>
          <w:i/>
          <w:sz w:val="24"/>
          <w:szCs w:val="24"/>
          <w:lang w:val="sk-SK"/>
        </w:rPr>
        <w:t xml:space="preserve"> Change 2023:</w:t>
      </w:r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Synthesis</w:t>
      </w:r>
      <w:proofErr w:type="spellEnd"/>
      <w:r w:rsidRPr="00FC3F72">
        <w:rPr>
          <w:i/>
          <w:sz w:val="24"/>
          <w:szCs w:val="24"/>
          <w:lang w:val="sk-SK"/>
        </w:rPr>
        <w:t xml:space="preserve"> Report. </w:t>
      </w:r>
      <w:proofErr w:type="spellStart"/>
      <w:r w:rsidRPr="00FC3F72">
        <w:rPr>
          <w:i/>
          <w:sz w:val="24"/>
          <w:szCs w:val="24"/>
          <w:lang w:val="sk-SK"/>
        </w:rPr>
        <w:t>Contribution</w:t>
      </w:r>
      <w:proofErr w:type="spellEnd"/>
      <w:r w:rsidRPr="00FC3F72">
        <w:rPr>
          <w:i/>
          <w:sz w:val="24"/>
          <w:szCs w:val="24"/>
          <w:lang w:val="sk-SK"/>
        </w:rPr>
        <w:t xml:space="preserve"> of </w:t>
      </w:r>
      <w:proofErr w:type="spellStart"/>
      <w:r w:rsidRPr="00FC3F72">
        <w:rPr>
          <w:i/>
          <w:sz w:val="24"/>
          <w:szCs w:val="24"/>
          <w:lang w:val="sk-SK"/>
        </w:rPr>
        <w:t>Working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Groups</w:t>
      </w:r>
      <w:proofErr w:type="spellEnd"/>
      <w:r w:rsidRPr="00FC3F72">
        <w:rPr>
          <w:i/>
          <w:sz w:val="24"/>
          <w:szCs w:val="24"/>
          <w:lang w:val="sk-SK"/>
        </w:rPr>
        <w:t xml:space="preserve"> I, II and III to </w:t>
      </w:r>
      <w:proofErr w:type="spellStart"/>
      <w:r w:rsidRPr="00FC3F72">
        <w:rPr>
          <w:i/>
          <w:sz w:val="24"/>
          <w:szCs w:val="24"/>
          <w:lang w:val="sk-SK"/>
        </w:rPr>
        <w:t>the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Sixth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Assessment</w:t>
      </w:r>
      <w:proofErr w:type="spellEnd"/>
      <w:r w:rsidRPr="00FC3F72">
        <w:rPr>
          <w:i/>
          <w:sz w:val="24"/>
          <w:szCs w:val="24"/>
          <w:lang w:val="sk-SK"/>
        </w:rPr>
        <w:t xml:space="preserve"> Report of </w:t>
      </w:r>
      <w:proofErr w:type="spellStart"/>
      <w:r w:rsidRPr="00FC3F72">
        <w:rPr>
          <w:i/>
          <w:sz w:val="24"/>
          <w:szCs w:val="24"/>
          <w:lang w:val="sk-SK"/>
        </w:rPr>
        <w:t>the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Intergovernmental</w:t>
      </w:r>
      <w:proofErr w:type="spellEnd"/>
      <w:r w:rsidRPr="00FC3F72">
        <w:rPr>
          <w:i/>
          <w:sz w:val="24"/>
          <w:szCs w:val="24"/>
          <w:lang w:val="sk-SK"/>
        </w:rPr>
        <w:t xml:space="preserve"> Panel on </w:t>
      </w:r>
      <w:proofErr w:type="spellStart"/>
      <w:r w:rsidRPr="00FC3F72">
        <w:rPr>
          <w:i/>
          <w:sz w:val="24"/>
          <w:szCs w:val="24"/>
          <w:lang w:val="sk-SK"/>
        </w:rPr>
        <w:t>Climate</w:t>
      </w:r>
      <w:proofErr w:type="spellEnd"/>
      <w:r w:rsidRPr="00FC3F72">
        <w:rPr>
          <w:i/>
          <w:sz w:val="24"/>
          <w:szCs w:val="24"/>
          <w:lang w:val="sk-SK"/>
        </w:rPr>
        <w:t xml:space="preserve"> Change</w:t>
      </w:r>
      <w:r w:rsidRPr="00FC3F72">
        <w:rPr>
          <w:sz w:val="24"/>
          <w:szCs w:val="24"/>
          <w:lang w:val="sk-SK"/>
        </w:rPr>
        <w:t xml:space="preserve"> (Zmena klímy 2023: súhrnná správa. Príspevok pracovných skupín I, II a III k šiestej hodnotiacej správe Medzivládneho panelu o zmene klímy), 2023.</w:t>
      </w:r>
    </w:p>
  </w:footnote>
  <w:footnote w:id="15">
    <w:p w14:paraId="047A8C43" w14:textId="5E546E14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proofErr w:type="spellStart"/>
      <w:r w:rsidRPr="00FC3F72">
        <w:rPr>
          <w:sz w:val="24"/>
          <w:szCs w:val="24"/>
          <w:lang w:val="sk-SK"/>
        </w:rPr>
        <w:t>Richardson</w:t>
      </w:r>
      <w:proofErr w:type="spellEnd"/>
      <w:r w:rsidRPr="00FC3F72">
        <w:rPr>
          <w:sz w:val="24"/>
          <w:szCs w:val="24"/>
          <w:lang w:val="sk-SK"/>
        </w:rPr>
        <w:t xml:space="preserve">, K., </w:t>
      </w:r>
      <w:proofErr w:type="spellStart"/>
      <w:r w:rsidRPr="00FC3F72">
        <w:rPr>
          <w:sz w:val="24"/>
          <w:szCs w:val="24"/>
          <w:lang w:val="sk-SK"/>
        </w:rPr>
        <w:t>Steffen</w:t>
      </w:r>
      <w:proofErr w:type="spellEnd"/>
      <w:r w:rsidRPr="00FC3F72">
        <w:rPr>
          <w:sz w:val="24"/>
          <w:szCs w:val="24"/>
          <w:lang w:val="sk-SK"/>
        </w:rPr>
        <w:t xml:space="preserve">, W., </w:t>
      </w:r>
      <w:proofErr w:type="spellStart"/>
      <w:r w:rsidRPr="00FC3F72">
        <w:rPr>
          <w:sz w:val="24"/>
          <w:szCs w:val="24"/>
          <w:lang w:val="sk-SK"/>
        </w:rPr>
        <w:t>Lucht</w:t>
      </w:r>
      <w:proofErr w:type="spellEnd"/>
      <w:r w:rsidRPr="00FC3F72">
        <w:rPr>
          <w:sz w:val="24"/>
          <w:szCs w:val="24"/>
          <w:lang w:val="sk-SK"/>
        </w:rPr>
        <w:t xml:space="preserve">, W., </w:t>
      </w:r>
      <w:proofErr w:type="spellStart"/>
      <w:r w:rsidRPr="00FC3F72">
        <w:rPr>
          <w:sz w:val="24"/>
          <w:szCs w:val="24"/>
          <w:lang w:val="sk-SK"/>
        </w:rPr>
        <w:t>Bendtsen</w:t>
      </w:r>
      <w:proofErr w:type="spellEnd"/>
      <w:r w:rsidRPr="00FC3F72">
        <w:rPr>
          <w:sz w:val="24"/>
          <w:szCs w:val="24"/>
          <w:lang w:val="sk-SK"/>
        </w:rPr>
        <w:t xml:space="preserve">, J., </w:t>
      </w:r>
      <w:proofErr w:type="spellStart"/>
      <w:r w:rsidRPr="00FC3F72">
        <w:rPr>
          <w:sz w:val="24"/>
          <w:szCs w:val="24"/>
          <w:lang w:val="sk-SK"/>
        </w:rPr>
        <w:t>Cornell</w:t>
      </w:r>
      <w:proofErr w:type="spellEnd"/>
      <w:r w:rsidRPr="00FC3F72">
        <w:rPr>
          <w:sz w:val="24"/>
          <w:szCs w:val="24"/>
          <w:lang w:val="sk-SK"/>
        </w:rPr>
        <w:t>, S. a kol., „</w:t>
      </w:r>
      <w:proofErr w:type="spellStart"/>
      <w:r w:rsidRPr="00FC3F72">
        <w:rPr>
          <w:sz w:val="24"/>
          <w:szCs w:val="24"/>
          <w:lang w:val="sk-SK"/>
        </w:rPr>
        <w:t>Earth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beyond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six</w:t>
      </w:r>
      <w:proofErr w:type="spellEnd"/>
      <w:r w:rsidRPr="00FC3F72">
        <w:rPr>
          <w:sz w:val="24"/>
          <w:szCs w:val="24"/>
          <w:lang w:val="sk-SK"/>
        </w:rPr>
        <w:t xml:space="preserve"> of </w:t>
      </w:r>
      <w:proofErr w:type="spellStart"/>
      <w:r w:rsidRPr="00FC3F72">
        <w:rPr>
          <w:sz w:val="24"/>
          <w:szCs w:val="24"/>
          <w:lang w:val="sk-SK"/>
        </w:rPr>
        <w:t>nine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planetary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boundaries</w:t>
      </w:r>
      <w:proofErr w:type="spellEnd"/>
      <w:r w:rsidRPr="00FC3F72">
        <w:rPr>
          <w:sz w:val="24"/>
          <w:szCs w:val="24"/>
          <w:lang w:val="sk-SK"/>
        </w:rPr>
        <w:t xml:space="preserve">“ (Zem za šiestimi z deviatich planetárnych medzí), </w:t>
      </w:r>
      <w:proofErr w:type="spellStart"/>
      <w:r w:rsidRPr="00FC3F72">
        <w:rPr>
          <w:i/>
          <w:sz w:val="24"/>
          <w:szCs w:val="24"/>
          <w:lang w:val="sk-SK"/>
        </w:rPr>
        <w:t>Science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Advances</w:t>
      </w:r>
      <w:proofErr w:type="spellEnd"/>
      <w:r w:rsidRPr="00FC3F72">
        <w:rPr>
          <w:sz w:val="24"/>
          <w:szCs w:val="24"/>
          <w:lang w:val="sk-SK"/>
        </w:rPr>
        <w:t>, zv. 9, vydanie 37, 13. septembra 2023.</w:t>
      </w:r>
    </w:p>
  </w:footnote>
  <w:footnote w:id="16">
    <w:p w14:paraId="6C63A175" w14:textId="43C236E0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proofErr w:type="spellStart"/>
      <w:r w:rsidRPr="00FC3F72">
        <w:rPr>
          <w:sz w:val="24"/>
          <w:szCs w:val="24"/>
          <w:lang w:val="sk-SK"/>
        </w:rPr>
        <w:t>Copernicus</w:t>
      </w:r>
      <w:proofErr w:type="spellEnd"/>
      <w:r w:rsidRPr="00FC3F72">
        <w:rPr>
          <w:sz w:val="24"/>
          <w:szCs w:val="24"/>
          <w:lang w:val="sk-SK"/>
        </w:rPr>
        <w:t>, „</w:t>
      </w:r>
      <w:proofErr w:type="spellStart"/>
      <w:r w:rsidRPr="00FC3F72">
        <w:rPr>
          <w:sz w:val="24"/>
          <w:szCs w:val="24"/>
          <w:lang w:val="sk-SK"/>
        </w:rPr>
        <w:t>Copernicus</w:t>
      </w:r>
      <w:proofErr w:type="spellEnd"/>
      <w:r w:rsidRPr="00FC3F72">
        <w:rPr>
          <w:sz w:val="24"/>
          <w:szCs w:val="24"/>
          <w:lang w:val="sk-SK"/>
        </w:rPr>
        <w:t xml:space="preserve">: </w:t>
      </w:r>
      <w:proofErr w:type="spellStart"/>
      <w:r w:rsidRPr="00FC3F72">
        <w:rPr>
          <w:sz w:val="24"/>
          <w:szCs w:val="24"/>
          <w:lang w:val="sk-SK"/>
        </w:rPr>
        <w:t>Exceptionally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dry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spring</w:t>
      </w:r>
      <w:proofErr w:type="spellEnd"/>
      <w:r w:rsidRPr="00FC3F72">
        <w:rPr>
          <w:sz w:val="24"/>
          <w:szCs w:val="24"/>
          <w:lang w:val="sk-SK"/>
        </w:rPr>
        <w:t xml:space="preserve"> in </w:t>
      </w:r>
      <w:proofErr w:type="spellStart"/>
      <w:r w:rsidRPr="00FC3F72">
        <w:rPr>
          <w:sz w:val="24"/>
          <w:szCs w:val="24"/>
          <w:lang w:val="sk-SK"/>
        </w:rPr>
        <w:t>parts</w:t>
      </w:r>
      <w:proofErr w:type="spellEnd"/>
      <w:r w:rsidRPr="00FC3F72">
        <w:rPr>
          <w:sz w:val="24"/>
          <w:szCs w:val="24"/>
          <w:lang w:val="sk-SK"/>
        </w:rPr>
        <w:t xml:space="preserve"> of </w:t>
      </w:r>
      <w:proofErr w:type="spellStart"/>
      <w:r w:rsidRPr="00FC3F72">
        <w:rPr>
          <w:sz w:val="24"/>
          <w:szCs w:val="24"/>
          <w:lang w:val="sk-SK"/>
        </w:rPr>
        <w:t>north</w:t>
      </w:r>
      <w:proofErr w:type="spellEnd"/>
      <w:r w:rsidRPr="00FC3F72">
        <w:rPr>
          <w:sz w:val="24"/>
          <w:szCs w:val="24"/>
          <w:lang w:val="sk-SK"/>
        </w:rPr>
        <w:t xml:space="preserve">-western </w:t>
      </w:r>
      <w:proofErr w:type="spellStart"/>
      <w:r w:rsidRPr="00FC3F72">
        <w:rPr>
          <w:sz w:val="24"/>
          <w:szCs w:val="24"/>
          <w:lang w:val="sk-SK"/>
        </w:rPr>
        <w:t>Europe</w:t>
      </w:r>
      <w:proofErr w:type="spellEnd"/>
      <w:r w:rsidRPr="00FC3F72">
        <w:rPr>
          <w:sz w:val="24"/>
          <w:szCs w:val="24"/>
          <w:lang w:val="sk-SK"/>
        </w:rPr>
        <w:t xml:space="preserve"> - </w:t>
      </w:r>
      <w:proofErr w:type="spellStart"/>
      <w:r w:rsidRPr="00FC3F72">
        <w:rPr>
          <w:sz w:val="24"/>
          <w:szCs w:val="24"/>
          <w:lang w:val="sk-SK"/>
        </w:rPr>
        <w:t>Second-warmest</w:t>
      </w:r>
      <w:proofErr w:type="spellEnd"/>
      <w:r w:rsidRPr="00FC3F72">
        <w:rPr>
          <w:sz w:val="24"/>
          <w:szCs w:val="24"/>
          <w:lang w:val="sk-SK"/>
        </w:rPr>
        <w:t xml:space="preserve"> May </w:t>
      </w:r>
      <w:proofErr w:type="spellStart"/>
      <w:r w:rsidRPr="00FC3F72">
        <w:rPr>
          <w:sz w:val="24"/>
          <w:szCs w:val="24"/>
          <w:lang w:val="sk-SK"/>
        </w:rPr>
        <w:t>globally</w:t>
      </w:r>
      <w:proofErr w:type="spellEnd"/>
      <w:r w:rsidRPr="00FC3F72">
        <w:rPr>
          <w:sz w:val="24"/>
          <w:szCs w:val="24"/>
          <w:lang w:val="sk-SK"/>
        </w:rPr>
        <w:t xml:space="preserve"> (Výnimočne suchá jar v niektorých častiach severozápadnej Európy – druhý najteplejší máj globálne“, webové sídlo programu </w:t>
      </w:r>
      <w:proofErr w:type="spellStart"/>
      <w:r w:rsidRPr="00FC3F72">
        <w:rPr>
          <w:sz w:val="24"/>
          <w:szCs w:val="24"/>
          <w:lang w:val="sk-SK"/>
        </w:rPr>
        <w:t>Copernicus</w:t>
      </w:r>
      <w:proofErr w:type="spellEnd"/>
      <w:r w:rsidRPr="00FC3F72">
        <w:rPr>
          <w:sz w:val="24"/>
          <w:szCs w:val="24"/>
          <w:lang w:val="sk-SK"/>
        </w:rPr>
        <w:t>, 10. júna 2025.</w:t>
      </w:r>
    </w:p>
  </w:footnote>
  <w:footnote w:id="17">
    <w:p w14:paraId="4535EB68" w14:textId="3C906747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proofErr w:type="spellStart"/>
      <w:r w:rsidRPr="00FC3F72">
        <w:rPr>
          <w:sz w:val="24"/>
          <w:szCs w:val="24"/>
          <w:lang w:val="sk-SK"/>
        </w:rPr>
        <w:t>Copernicus</w:t>
      </w:r>
      <w:proofErr w:type="spellEnd"/>
      <w:r w:rsidRPr="00FC3F72">
        <w:rPr>
          <w:sz w:val="24"/>
          <w:szCs w:val="24"/>
          <w:lang w:val="sk-SK"/>
        </w:rPr>
        <w:t xml:space="preserve">, </w:t>
      </w:r>
      <w:proofErr w:type="spellStart"/>
      <w:r w:rsidRPr="00FC3F72">
        <w:rPr>
          <w:i/>
          <w:sz w:val="24"/>
          <w:szCs w:val="24"/>
          <w:lang w:val="sk-SK"/>
        </w:rPr>
        <w:t>Copernicus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Global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Climate</w:t>
      </w:r>
      <w:proofErr w:type="spellEnd"/>
      <w:r w:rsidRPr="00FC3F72">
        <w:rPr>
          <w:i/>
          <w:sz w:val="24"/>
          <w:szCs w:val="24"/>
          <w:lang w:val="sk-SK"/>
        </w:rPr>
        <w:t xml:space="preserve"> Report 2024</w:t>
      </w:r>
      <w:r w:rsidRPr="00FC3F72">
        <w:rPr>
          <w:sz w:val="24"/>
          <w:szCs w:val="24"/>
          <w:lang w:val="sk-SK"/>
        </w:rPr>
        <w:t xml:space="preserve"> (Globálna správa o klíme </w:t>
      </w:r>
      <w:proofErr w:type="spellStart"/>
      <w:r w:rsidRPr="00FC3F72">
        <w:rPr>
          <w:sz w:val="24"/>
          <w:szCs w:val="24"/>
          <w:lang w:val="sk-SK"/>
        </w:rPr>
        <w:t>Copernicus</w:t>
      </w:r>
      <w:proofErr w:type="spellEnd"/>
      <w:r w:rsidRPr="00FC3F72">
        <w:rPr>
          <w:sz w:val="24"/>
          <w:szCs w:val="24"/>
          <w:lang w:val="sk-SK"/>
        </w:rPr>
        <w:t xml:space="preserve"> 2024), webové sídlo </w:t>
      </w:r>
      <w:proofErr w:type="spellStart"/>
      <w:r w:rsidRPr="00FC3F72">
        <w:rPr>
          <w:sz w:val="24"/>
          <w:szCs w:val="24"/>
          <w:lang w:val="sk-SK"/>
        </w:rPr>
        <w:t>Copernicus</w:t>
      </w:r>
      <w:proofErr w:type="spellEnd"/>
      <w:r w:rsidRPr="00FC3F72">
        <w:rPr>
          <w:sz w:val="24"/>
          <w:szCs w:val="24"/>
          <w:lang w:val="sk-SK"/>
        </w:rPr>
        <w:t>, 10. januára 2025.</w:t>
      </w:r>
    </w:p>
  </w:footnote>
  <w:footnote w:id="18">
    <w:p w14:paraId="4094CFD2" w14:textId="6E884479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Rezolúcia Valného zhromaždenia OSN č. 76/300 z 28. júla 2022 s názvom „Ľudské právo na čisté, zdravé a udržateľné životné prostredie“.</w:t>
      </w:r>
    </w:p>
  </w:footnote>
  <w:footnote w:id="19">
    <w:p w14:paraId="27F5795E" w14:textId="32C53E79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proofErr w:type="spellStart"/>
      <w:r w:rsidRPr="00FC3F72">
        <w:rPr>
          <w:sz w:val="24"/>
          <w:szCs w:val="24"/>
          <w:lang w:val="sk-SK"/>
        </w:rPr>
        <w:t>Szopa</w:t>
      </w:r>
      <w:proofErr w:type="spellEnd"/>
      <w:r w:rsidRPr="00FC3F72">
        <w:rPr>
          <w:sz w:val="24"/>
          <w:szCs w:val="24"/>
          <w:lang w:val="sk-SK"/>
        </w:rPr>
        <w:t xml:space="preserve">, S., </w:t>
      </w:r>
      <w:proofErr w:type="spellStart"/>
      <w:r w:rsidRPr="00FC3F72">
        <w:rPr>
          <w:sz w:val="24"/>
          <w:szCs w:val="24"/>
          <w:lang w:val="sk-SK"/>
        </w:rPr>
        <w:t>Naik</w:t>
      </w:r>
      <w:proofErr w:type="spellEnd"/>
      <w:r w:rsidRPr="00FC3F72">
        <w:rPr>
          <w:sz w:val="24"/>
          <w:szCs w:val="24"/>
          <w:lang w:val="sk-SK"/>
        </w:rPr>
        <w:t xml:space="preserve">, V., </w:t>
      </w:r>
      <w:proofErr w:type="spellStart"/>
      <w:r w:rsidRPr="00FC3F72">
        <w:rPr>
          <w:sz w:val="24"/>
          <w:szCs w:val="24"/>
          <w:lang w:val="sk-SK"/>
        </w:rPr>
        <w:t>Adhikary</w:t>
      </w:r>
      <w:proofErr w:type="spellEnd"/>
      <w:r w:rsidRPr="00FC3F72">
        <w:rPr>
          <w:sz w:val="24"/>
          <w:szCs w:val="24"/>
          <w:lang w:val="sk-SK"/>
        </w:rPr>
        <w:t xml:space="preserve">, B., </w:t>
      </w:r>
      <w:proofErr w:type="spellStart"/>
      <w:r w:rsidRPr="00FC3F72">
        <w:rPr>
          <w:sz w:val="24"/>
          <w:szCs w:val="24"/>
          <w:lang w:val="sk-SK"/>
        </w:rPr>
        <w:t>Artaxo</w:t>
      </w:r>
      <w:proofErr w:type="spellEnd"/>
      <w:r w:rsidRPr="00FC3F72">
        <w:rPr>
          <w:sz w:val="24"/>
          <w:szCs w:val="24"/>
          <w:lang w:val="sk-SK"/>
        </w:rPr>
        <w:t xml:space="preserve">, P., </w:t>
      </w:r>
      <w:proofErr w:type="spellStart"/>
      <w:r w:rsidRPr="00FC3F72">
        <w:rPr>
          <w:sz w:val="24"/>
          <w:szCs w:val="24"/>
          <w:lang w:val="sk-SK"/>
        </w:rPr>
        <w:t>Berntsen</w:t>
      </w:r>
      <w:proofErr w:type="spellEnd"/>
      <w:r w:rsidRPr="00FC3F72">
        <w:rPr>
          <w:sz w:val="24"/>
          <w:szCs w:val="24"/>
          <w:lang w:val="sk-SK"/>
        </w:rPr>
        <w:t>, T., „</w:t>
      </w:r>
      <w:proofErr w:type="spellStart"/>
      <w:r w:rsidRPr="00FC3F72">
        <w:rPr>
          <w:sz w:val="24"/>
          <w:szCs w:val="24"/>
          <w:lang w:val="sk-SK"/>
        </w:rPr>
        <w:t>Short-Lived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Climate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Forcers</w:t>
      </w:r>
      <w:proofErr w:type="spellEnd"/>
      <w:r w:rsidRPr="00FC3F72">
        <w:rPr>
          <w:sz w:val="24"/>
          <w:szCs w:val="24"/>
          <w:lang w:val="sk-SK"/>
        </w:rPr>
        <w:t xml:space="preserve">“ (Krátkodobé faktory ovplyvňujúce klímu), </w:t>
      </w:r>
      <w:proofErr w:type="spellStart"/>
      <w:r w:rsidRPr="00FC3F72">
        <w:rPr>
          <w:i/>
          <w:sz w:val="24"/>
          <w:szCs w:val="24"/>
          <w:lang w:val="sk-SK"/>
        </w:rPr>
        <w:t>Climate</w:t>
      </w:r>
      <w:proofErr w:type="spellEnd"/>
      <w:r w:rsidRPr="00FC3F72">
        <w:rPr>
          <w:i/>
          <w:sz w:val="24"/>
          <w:szCs w:val="24"/>
          <w:lang w:val="sk-SK"/>
        </w:rPr>
        <w:t xml:space="preserve"> Change 2021</w:t>
      </w:r>
      <w:r w:rsidRPr="00FC3F72">
        <w:rPr>
          <w:sz w:val="24"/>
          <w:szCs w:val="24"/>
          <w:lang w:val="sk-SK"/>
        </w:rPr>
        <w:t>:</w:t>
      </w:r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The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Physical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Science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Basis</w:t>
      </w:r>
      <w:proofErr w:type="spellEnd"/>
      <w:r w:rsidRPr="00FC3F72">
        <w:rPr>
          <w:i/>
          <w:sz w:val="24"/>
          <w:szCs w:val="24"/>
          <w:lang w:val="sk-SK"/>
        </w:rPr>
        <w:t xml:space="preserve">. </w:t>
      </w:r>
      <w:proofErr w:type="spellStart"/>
      <w:r w:rsidRPr="00FC3F72">
        <w:rPr>
          <w:i/>
          <w:sz w:val="24"/>
          <w:szCs w:val="24"/>
          <w:lang w:val="sk-SK"/>
        </w:rPr>
        <w:t>Contribution</w:t>
      </w:r>
      <w:proofErr w:type="spellEnd"/>
      <w:r w:rsidRPr="00FC3F72">
        <w:rPr>
          <w:i/>
          <w:sz w:val="24"/>
          <w:szCs w:val="24"/>
          <w:lang w:val="sk-SK"/>
        </w:rPr>
        <w:t xml:space="preserve"> of </w:t>
      </w:r>
      <w:proofErr w:type="spellStart"/>
      <w:r w:rsidRPr="00FC3F72">
        <w:rPr>
          <w:i/>
          <w:sz w:val="24"/>
          <w:szCs w:val="24"/>
          <w:lang w:val="sk-SK"/>
        </w:rPr>
        <w:t>Working</w:t>
      </w:r>
      <w:proofErr w:type="spellEnd"/>
      <w:r w:rsidRPr="00FC3F72">
        <w:rPr>
          <w:i/>
          <w:sz w:val="24"/>
          <w:szCs w:val="24"/>
          <w:lang w:val="sk-SK"/>
        </w:rPr>
        <w:t xml:space="preserve"> Group I to </w:t>
      </w:r>
      <w:proofErr w:type="spellStart"/>
      <w:r w:rsidRPr="00FC3F72">
        <w:rPr>
          <w:i/>
          <w:sz w:val="24"/>
          <w:szCs w:val="24"/>
          <w:lang w:val="sk-SK"/>
        </w:rPr>
        <w:t>the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Sixth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Assessment</w:t>
      </w:r>
      <w:proofErr w:type="spellEnd"/>
      <w:r w:rsidRPr="00FC3F72">
        <w:rPr>
          <w:i/>
          <w:sz w:val="24"/>
          <w:szCs w:val="24"/>
          <w:lang w:val="sk-SK"/>
        </w:rPr>
        <w:t xml:space="preserve"> Report of </w:t>
      </w:r>
      <w:proofErr w:type="spellStart"/>
      <w:r w:rsidRPr="00FC3F72">
        <w:rPr>
          <w:i/>
          <w:sz w:val="24"/>
          <w:szCs w:val="24"/>
          <w:lang w:val="sk-SK"/>
        </w:rPr>
        <w:t>the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Intergovernmental</w:t>
      </w:r>
      <w:proofErr w:type="spellEnd"/>
      <w:r w:rsidRPr="00FC3F72">
        <w:rPr>
          <w:i/>
          <w:sz w:val="24"/>
          <w:szCs w:val="24"/>
          <w:lang w:val="sk-SK"/>
        </w:rPr>
        <w:t xml:space="preserve"> Panel on </w:t>
      </w:r>
      <w:proofErr w:type="spellStart"/>
      <w:r w:rsidRPr="00FC3F72">
        <w:rPr>
          <w:i/>
          <w:sz w:val="24"/>
          <w:szCs w:val="24"/>
          <w:lang w:val="sk-SK"/>
        </w:rPr>
        <w:t>Climate</w:t>
      </w:r>
      <w:proofErr w:type="spellEnd"/>
      <w:r w:rsidRPr="00FC3F72">
        <w:rPr>
          <w:i/>
          <w:sz w:val="24"/>
          <w:szCs w:val="24"/>
          <w:lang w:val="sk-SK"/>
        </w:rPr>
        <w:t xml:space="preserve"> Change</w:t>
      </w:r>
      <w:r w:rsidRPr="00FC3F72">
        <w:rPr>
          <w:sz w:val="24"/>
          <w:szCs w:val="24"/>
          <w:lang w:val="sk-SK"/>
        </w:rPr>
        <w:t xml:space="preserve"> (Zmena klímy 2021: prírodovedecký základ. Príspevok pracovnej skupiny I k šiestej hodnotiacej správe Medzivládneho panelu o zmene klímy), jún 2023.</w:t>
      </w:r>
    </w:p>
  </w:footnote>
  <w:footnote w:id="20">
    <w:p w14:paraId="0F3DC8F8" w14:textId="4880ECC0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Stály výbor pre financie UNFCCC, „Prvá správa o určení potrieb rozvojových krajín, ktoré sú zmluvnými stranami dohovoru, v súvislosti s vykonávaním dohovoru a Parížskej dohody, webové sídlo OSN o zmene klímy, 2021.</w:t>
      </w:r>
    </w:p>
  </w:footnote>
  <w:footnote w:id="21">
    <w:p w14:paraId="50537FF3" w14:textId="59429FA5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Iniciatíva zmluvy o nešírení fosílnych palív, „</w:t>
      </w:r>
      <w:proofErr w:type="spellStart"/>
      <w:r w:rsidRPr="00FC3F72">
        <w:rPr>
          <w:sz w:val="24"/>
          <w:szCs w:val="24"/>
          <w:lang w:val="sk-SK"/>
        </w:rPr>
        <w:t>Governments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participating</w:t>
      </w:r>
      <w:proofErr w:type="spellEnd"/>
      <w:r w:rsidRPr="00FC3F72">
        <w:rPr>
          <w:sz w:val="24"/>
          <w:szCs w:val="24"/>
          <w:lang w:val="sk-SK"/>
        </w:rPr>
        <w:t xml:space="preserve"> in </w:t>
      </w:r>
      <w:proofErr w:type="spellStart"/>
      <w:r w:rsidRPr="00FC3F72">
        <w:rPr>
          <w:sz w:val="24"/>
          <w:szCs w:val="24"/>
          <w:lang w:val="sk-SK"/>
        </w:rPr>
        <w:t>discussions</w:t>
      </w:r>
      <w:proofErr w:type="spellEnd"/>
      <w:r w:rsidRPr="00FC3F72">
        <w:rPr>
          <w:sz w:val="24"/>
          <w:szCs w:val="24"/>
          <w:lang w:val="sk-SK"/>
        </w:rPr>
        <w:t xml:space="preserve"> on a </w:t>
      </w:r>
      <w:proofErr w:type="spellStart"/>
      <w:r w:rsidRPr="00FC3F72">
        <w:rPr>
          <w:sz w:val="24"/>
          <w:szCs w:val="24"/>
          <w:lang w:val="sk-SK"/>
        </w:rPr>
        <w:t>fossil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fuel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treaty</w:t>
      </w:r>
      <w:proofErr w:type="spellEnd"/>
      <w:r w:rsidRPr="00FC3F72">
        <w:rPr>
          <w:sz w:val="24"/>
          <w:szCs w:val="24"/>
          <w:lang w:val="sk-SK"/>
        </w:rPr>
        <w:t>“ (Vlády zúčastňujúce sa na diskusiách o zmluve o fosílnych palivách), webové sídlo iniciatívy zmluvy o nešírení fosílnych palív.</w:t>
      </w:r>
    </w:p>
  </w:footnote>
  <w:footnote w:id="22">
    <w:p w14:paraId="2E606D69" w14:textId="706F12AC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UNICEF, „</w:t>
      </w:r>
      <w:proofErr w:type="spellStart"/>
      <w:r w:rsidRPr="00FC3F72">
        <w:rPr>
          <w:sz w:val="24"/>
          <w:szCs w:val="24"/>
          <w:lang w:val="sk-SK"/>
        </w:rPr>
        <w:t>The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climate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crisis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is</w:t>
      </w:r>
      <w:proofErr w:type="spellEnd"/>
      <w:r w:rsidRPr="00FC3F72">
        <w:rPr>
          <w:sz w:val="24"/>
          <w:szCs w:val="24"/>
          <w:lang w:val="sk-SK"/>
        </w:rPr>
        <w:t xml:space="preserve"> a </w:t>
      </w:r>
      <w:proofErr w:type="spellStart"/>
      <w:r w:rsidRPr="00FC3F72">
        <w:rPr>
          <w:sz w:val="24"/>
          <w:szCs w:val="24"/>
          <w:lang w:val="sk-SK"/>
        </w:rPr>
        <w:t>child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rights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crisis</w:t>
      </w:r>
      <w:proofErr w:type="spellEnd"/>
      <w:r w:rsidRPr="00FC3F72">
        <w:rPr>
          <w:sz w:val="24"/>
          <w:szCs w:val="24"/>
          <w:lang w:val="sk-SK"/>
        </w:rPr>
        <w:t xml:space="preserve"> – </w:t>
      </w:r>
      <w:proofErr w:type="spellStart"/>
      <w:r w:rsidRPr="00FC3F72">
        <w:rPr>
          <w:sz w:val="24"/>
          <w:szCs w:val="24"/>
          <w:lang w:val="sk-SK"/>
        </w:rPr>
        <w:t>Introducing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the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Children’s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Climate</w:t>
      </w:r>
      <w:proofErr w:type="spellEnd"/>
      <w:r w:rsidRPr="00FC3F72">
        <w:rPr>
          <w:sz w:val="24"/>
          <w:szCs w:val="24"/>
          <w:lang w:val="sk-SK"/>
        </w:rPr>
        <w:t xml:space="preserve"> Risk Index“ (Klimatická kríza je krízou práv detí – predstavujeme index klimatických rizík pre deti), august 2021.</w:t>
      </w:r>
    </w:p>
  </w:footnote>
  <w:footnote w:id="23">
    <w:p w14:paraId="445230B5" w14:textId="6CBEDD19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Oznámenie Komisie z 27. mája 2025 s názvom „</w:t>
      </w:r>
      <w:proofErr w:type="spellStart"/>
      <w:r w:rsidRPr="00FC3F72">
        <w:rPr>
          <w:sz w:val="24"/>
          <w:szCs w:val="24"/>
          <w:lang w:val="sk-SK"/>
        </w:rPr>
        <w:t>Celoúnijné</w:t>
      </w:r>
      <w:proofErr w:type="spellEnd"/>
      <w:r w:rsidRPr="00FC3F72">
        <w:rPr>
          <w:sz w:val="24"/>
          <w:szCs w:val="24"/>
          <w:lang w:val="sk-SK"/>
        </w:rPr>
        <w:t xml:space="preserve"> posúdenie konečných aktualizovaných národných energetických a klimatických plánov – Dosahovanie cieľov Únie v oblasti energetiky a klímy do roku 2030“ (COM(2025)0274).</w:t>
      </w:r>
    </w:p>
  </w:footnote>
  <w:footnote w:id="24">
    <w:p w14:paraId="2023683F" w14:textId="1A3B2DE4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Nariadenie Európskeho parlamentu a Rady (EÚ) 2021/1119 z 30. júna 2021, ktorým sa stanovuje rámec na dosiahnutie klimatickej neutrality a menia nariadenia (ES) č. 401/2009 a (EÚ) 2018/1999 (európsky právny predpis v oblasti klímy) (Ú. v. EÚ L 243, 9.7.2021, s. </w:t>
      </w:r>
      <w:r w:rsidRPr="00FC3F72">
        <w:rPr>
          <w:sz w:val="24"/>
          <w:szCs w:val="24"/>
          <w:lang w:val="sk-SK"/>
        </w:rPr>
        <w:t xml:space="preserve">1, ELI: </w:t>
      </w:r>
      <w:hyperlink r:id="rId6" w:history="1">
        <w:r w:rsidRPr="00FC3F72">
          <w:rPr>
            <w:rStyle w:val="Hyperlink"/>
            <w:sz w:val="24"/>
            <w:szCs w:val="24"/>
            <w:lang w:val="sk-SK"/>
          </w:rPr>
          <w:t>http://data.europa.eu/eli/reg/2021/1119/oj</w:t>
        </w:r>
      </w:hyperlink>
      <w:r w:rsidRPr="00FC3F72">
        <w:rPr>
          <w:sz w:val="24"/>
          <w:szCs w:val="24"/>
          <w:lang w:val="sk-SK"/>
        </w:rPr>
        <w:t>).</w:t>
      </w:r>
    </w:p>
  </w:footnote>
  <w:footnote w:id="25">
    <w:p w14:paraId="09630039" w14:textId="4CCAF11C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Nariadenie Európskeho parlamentu a Rady (EÚ) 2018/841 z 30. mája 2018 o začlenení emisií a odstraňovania skleníkových plynov z využívania pôdy, zo zmien vo využívaní pôdy a z lesného hospodárstva do rámca politík v oblasti klímy a energetiky na rok 2030, ktorým sa mení nariadenie (EÚ) č. 525/2013 a rozhodnutie č. 529/2013/EÚ (Ú. v. EÚ L 156, 19.6.2018, s. </w:t>
      </w:r>
      <w:r w:rsidRPr="00FC3F72">
        <w:rPr>
          <w:sz w:val="24"/>
          <w:szCs w:val="24"/>
          <w:lang w:val="sk-SK"/>
        </w:rPr>
        <w:t xml:space="preserve">1, ELI: </w:t>
      </w:r>
      <w:hyperlink r:id="rId7" w:history="1">
        <w:r w:rsidRPr="00FC3F72">
          <w:rPr>
            <w:rStyle w:val="Hyperlink"/>
            <w:sz w:val="24"/>
            <w:szCs w:val="24"/>
            <w:lang w:val="sk-SK"/>
          </w:rPr>
          <w:t>http://data.europa.eu/eli/reg/2018/841/oj</w:t>
        </w:r>
      </w:hyperlink>
      <w:r w:rsidRPr="00FC3F72">
        <w:rPr>
          <w:sz w:val="24"/>
          <w:szCs w:val="24"/>
          <w:lang w:val="sk-SK"/>
        </w:rPr>
        <w:t>).</w:t>
      </w:r>
    </w:p>
  </w:footnote>
  <w:footnote w:id="26">
    <w:p w14:paraId="360C3B30" w14:textId="66EBD284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Smernica Európskeho parlamentu a Rady 2000/60/ES z 23. októbra 2000, ktorou sa stanovuje rámec pôsobnosti pre opatrenia Spoločenstva v oblasti vodného hospodárstva (Ú. v. ES L 327, 22.12.2000, s. </w:t>
      </w:r>
      <w:r w:rsidRPr="00FC3F72">
        <w:rPr>
          <w:sz w:val="24"/>
          <w:szCs w:val="24"/>
          <w:lang w:val="sk-SK"/>
        </w:rPr>
        <w:t xml:space="preserve">1, ELI: </w:t>
      </w:r>
      <w:hyperlink r:id="rId8" w:history="1">
        <w:r w:rsidRPr="00FC3F72">
          <w:rPr>
            <w:rStyle w:val="Hyperlink"/>
            <w:sz w:val="24"/>
            <w:szCs w:val="24"/>
            <w:lang w:val="sk-SK"/>
          </w:rPr>
          <w:t>http://data.europa.eu/eli/dir/2000/60/oj</w:t>
        </w:r>
      </w:hyperlink>
      <w:r w:rsidRPr="00FC3F72">
        <w:rPr>
          <w:sz w:val="24"/>
          <w:szCs w:val="24"/>
          <w:lang w:val="sk-SK"/>
        </w:rPr>
        <w:t>).</w:t>
      </w:r>
    </w:p>
  </w:footnote>
  <w:footnote w:id="27">
    <w:p w14:paraId="0E4767EC" w14:textId="6AB51C03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Program OSN pre životné prostredie, </w:t>
      </w:r>
      <w:hyperlink r:id="rId9" w:history="1"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The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Environmental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Impact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of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the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Conflict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in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Ukraine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>:</w:t>
        </w:r>
      </w:hyperlink>
      <w:hyperlink r:id="rId10" w:history="1">
        <w:r w:rsidRPr="00FC3F72">
          <w:rPr>
            <w:rStyle w:val="Hyperlink"/>
            <w:i/>
            <w:sz w:val="24"/>
            <w:szCs w:val="24"/>
            <w:lang w:val="sk-SK"/>
          </w:rPr>
          <w:t xml:space="preserve"> A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Preliminary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Review</w:t>
        </w:r>
        <w:proofErr w:type="spellEnd"/>
      </w:hyperlink>
      <w:r w:rsidRPr="00FC3F72">
        <w:rPr>
          <w:sz w:val="24"/>
          <w:szCs w:val="24"/>
          <w:lang w:val="sk-SK"/>
        </w:rPr>
        <w:t xml:space="preserve"> (Vplyv konfliktu na Ukrajine na životné prostredie: predbežný prehľad), 14. októbra 2022. </w:t>
      </w:r>
    </w:p>
  </w:footnote>
  <w:footnote w:id="28">
    <w:p w14:paraId="646A8726" w14:textId="4D00738B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Program OSN pre životné prostredie, </w:t>
      </w:r>
      <w:hyperlink r:id="rId11" w:history="1"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Environmental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Impact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of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the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Conflict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in Gaza:</w:t>
        </w:r>
      </w:hyperlink>
      <w:hyperlink r:id="rId12" w:history="1">
        <w:r w:rsidRPr="00FC3F72">
          <w:rPr>
            <w:rStyle w:val="Hyperlink"/>
            <w:i/>
            <w:sz w:val="24"/>
            <w:szCs w:val="24"/>
            <w:lang w:val="sk-SK"/>
          </w:rPr>
          <w:t xml:space="preserve">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Preliminary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Assessment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of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Environmental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Impacts</w:t>
        </w:r>
        <w:proofErr w:type="spellEnd"/>
      </w:hyperlink>
      <w:r w:rsidRPr="00FC3F72">
        <w:rPr>
          <w:sz w:val="24"/>
          <w:szCs w:val="24"/>
          <w:lang w:val="sk-SK"/>
        </w:rPr>
        <w:t xml:space="preserve"> (Vplyv konfliktu v Gaze na životné prostredie: predbežné posúdenie vplyvov na životné prostredie), 18. júna 2024. </w:t>
      </w:r>
    </w:p>
  </w:footnote>
  <w:footnote w:id="29">
    <w:p w14:paraId="65CFA268" w14:textId="0CF27B59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Spoločné výskumné centrum, </w:t>
      </w:r>
      <w:hyperlink r:id="rId13" w:history="1">
        <w:r w:rsidRPr="00FC3F72">
          <w:rPr>
            <w:rStyle w:val="Hyperlink"/>
            <w:i/>
            <w:sz w:val="24"/>
            <w:szCs w:val="24"/>
            <w:lang w:val="sk-SK"/>
          </w:rPr>
          <w:t xml:space="preserve">Status of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Environment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and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Climate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in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Ukraine</w:t>
        </w:r>
        <w:proofErr w:type="spellEnd"/>
      </w:hyperlink>
      <w:r w:rsidRPr="00FC3F72">
        <w:rPr>
          <w:sz w:val="24"/>
          <w:szCs w:val="24"/>
          <w:lang w:val="sk-SK"/>
        </w:rPr>
        <w:t xml:space="preserve"> (Stav životného prostredia a klímy na Ukrajine), 2025. </w:t>
      </w:r>
    </w:p>
  </w:footnote>
  <w:footnote w:id="30">
    <w:p w14:paraId="6996554F" w14:textId="48088DC3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Uznesenie Európskeho parlamentu zo 14. novembra 2024 o konferencii OSN o zmene klímy v roku 2024 v Baku (Azerbajdžan) (COP 29), (Ú. v. </w:t>
      </w:r>
      <w:r w:rsidRPr="00FC3F72">
        <w:rPr>
          <w:sz w:val="24"/>
          <w:szCs w:val="24"/>
          <w:lang w:val="sk-SK"/>
        </w:rPr>
        <w:t xml:space="preserve">EÚ C, C/2025/808, 11.2.2025, ELI: </w:t>
      </w:r>
      <w:hyperlink r:id="rId14" w:history="1">
        <w:r w:rsidRPr="00FC3F72">
          <w:rPr>
            <w:rStyle w:val="Hyperlink"/>
            <w:sz w:val="24"/>
            <w:szCs w:val="24"/>
            <w:lang w:val="sk-SK"/>
          </w:rPr>
          <w:t>http://data.europa.eu/eli/C/2025/808/oj</w:t>
        </w:r>
      </w:hyperlink>
      <w:r w:rsidRPr="00FC3F72">
        <w:rPr>
          <w:sz w:val="24"/>
          <w:szCs w:val="24"/>
          <w:lang w:val="sk-SK"/>
        </w:rPr>
        <w:t xml:space="preserve">). </w:t>
      </w:r>
    </w:p>
  </w:footnote>
  <w:footnote w:id="31">
    <w:p w14:paraId="47539642" w14:textId="4CB9C38D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COM(2025)0110.</w:t>
      </w:r>
    </w:p>
  </w:footnote>
  <w:footnote w:id="32">
    <w:p w14:paraId="6CB844A8" w14:textId="623DF8B0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Svetová banka, </w:t>
      </w:r>
      <w:r w:rsidRPr="00FC3F72">
        <w:rPr>
          <w:i/>
          <w:sz w:val="24"/>
          <w:szCs w:val="24"/>
          <w:lang w:val="sk-SK"/>
        </w:rPr>
        <w:t xml:space="preserve">State and </w:t>
      </w:r>
      <w:proofErr w:type="spellStart"/>
      <w:r w:rsidRPr="00FC3F72">
        <w:rPr>
          <w:i/>
          <w:sz w:val="24"/>
          <w:szCs w:val="24"/>
          <w:lang w:val="sk-SK"/>
        </w:rPr>
        <w:t>Trends</w:t>
      </w:r>
      <w:proofErr w:type="spellEnd"/>
      <w:r w:rsidRPr="00FC3F72">
        <w:rPr>
          <w:i/>
          <w:sz w:val="24"/>
          <w:szCs w:val="24"/>
          <w:lang w:val="sk-SK"/>
        </w:rPr>
        <w:t xml:space="preserve"> of </w:t>
      </w:r>
      <w:proofErr w:type="spellStart"/>
      <w:r w:rsidRPr="00FC3F72">
        <w:rPr>
          <w:i/>
          <w:sz w:val="24"/>
          <w:szCs w:val="24"/>
          <w:lang w:val="sk-SK"/>
        </w:rPr>
        <w:t>Carbon</w:t>
      </w:r>
      <w:proofErr w:type="spellEnd"/>
      <w:r w:rsidRPr="00FC3F72">
        <w:rPr>
          <w:i/>
          <w:sz w:val="24"/>
          <w:szCs w:val="24"/>
          <w:lang w:val="sk-SK"/>
        </w:rPr>
        <w:t xml:space="preserve"> </w:t>
      </w:r>
      <w:proofErr w:type="spellStart"/>
      <w:r w:rsidRPr="00FC3F72">
        <w:rPr>
          <w:i/>
          <w:sz w:val="24"/>
          <w:szCs w:val="24"/>
          <w:lang w:val="sk-SK"/>
        </w:rPr>
        <w:t>Pricing</w:t>
      </w:r>
      <w:proofErr w:type="spellEnd"/>
      <w:r w:rsidRPr="00FC3F72">
        <w:rPr>
          <w:i/>
          <w:sz w:val="24"/>
          <w:szCs w:val="24"/>
          <w:lang w:val="sk-SK"/>
        </w:rPr>
        <w:t xml:space="preserve"> 2025</w:t>
      </w:r>
      <w:r w:rsidRPr="00FC3F72">
        <w:rPr>
          <w:sz w:val="24"/>
          <w:szCs w:val="24"/>
          <w:lang w:val="sk-SK"/>
        </w:rPr>
        <w:t xml:space="preserve"> (Stav a trendy v oblasti oceňovania uhlíka v roku 2025), Svetová banka, Washington DC, máj 2025.</w:t>
      </w:r>
    </w:p>
  </w:footnote>
  <w:footnote w:id="33">
    <w:p w14:paraId="742EC356" w14:textId="398E23B4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Oznámenie Komisie z 26. februára 2025 s názvom „Dohoda o čistom priemysle: spoločný plán </w:t>
      </w:r>
      <w:proofErr w:type="spellStart"/>
      <w:r w:rsidRPr="00FC3F72">
        <w:rPr>
          <w:sz w:val="24"/>
          <w:szCs w:val="24"/>
          <w:lang w:val="sk-SK"/>
        </w:rPr>
        <w:t>konkurenciechopnosti</w:t>
      </w:r>
      <w:proofErr w:type="spellEnd"/>
      <w:r w:rsidRPr="00FC3F72">
        <w:rPr>
          <w:sz w:val="24"/>
          <w:szCs w:val="24"/>
          <w:lang w:val="sk-SK"/>
        </w:rPr>
        <w:t xml:space="preserve"> a dekarbonizácie“ (COM(2025)0085).</w:t>
      </w:r>
    </w:p>
  </w:footnote>
  <w:footnote w:id="34">
    <w:p w14:paraId="4108A012" w14:textId="1BCEF375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Tamže.</w:t>
      </w:r>
    </w:p>
  </w:footnote>
  <w:footnote w:id="35">
    <w:p w14:paraId="02F1A6B0" w14:textId="60B9477D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Oznámenie Komisie z 26. februára 2025 s názvom „Akčný plán pre cenovo dostupnú energiu“ (COM(2025)0079).</w:t>
      </w:r>
    </w:p>
  </w:footnote>
  <w:footnote w:id="36">
    <w:p w14:paraId="0B9460BE" w14:textId="5B23B6D1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Oznámenie Komisie zo 6. februára 2024 s názvom „Smerovanie k ambicióznemu priemyselnému riadeniu uhlíka v EÚ“ (COM(2024)0062).</w:t>
      </w:r>
    </w:p>
  </w:footnote>
  <w:footnote w:id="37">
    <w:p w14:paraId="56501258" w14:textId="3EB4F93D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Uznesenie Európskeho parlamentu z 3. apríla 2025 o energeticky náročných priemyselných odvetviach (Ú. v. </w:t>
      </w:r>
      <w:r w:rsidRPr="00FC3F72">
        <w:rPr>
          <w:sz w:val="24"/>
          <w:szCs w:val="24"/>
          <w:lang w:val="sk-SK"/>
        </w:rPr>
        <w:t xml:space="preserve">EÚ C, C/2025/4369, 9.9.2025, ELI: </w:t>
      </w:r>
      <w:hyperlink r:id="rId15" w:history="1">
        <w:r w:rsidRPr="00FC3F72">
          <w:rPr>
            <w:rStyle w:val="Hyperlink"/>
            <w:sz w:val="24"/>
            <w:szCs w:val="24"/>
            <w:lang w:val="sk-SK"/>
          </w:rPr>
          <w:t>http://data.europa.eu/eli/C/2025/4369/oj</w:t>
        </w:r>
      </w:hyperlink>
      <w:r w:rsidRPr="00FC3F72">
        <w:rPr>
          <w:sz w:val="24"/>
          <w:szCs w:val="24"/>
          <w:lang w:val="sk-SK"/>
        </w:rPr>
        <w:t xml:space="preserve">); uznesenie Európskeho parlamentu z 19. júna 2025 o dohode o čistom priemysle, prijaté texty, P10_TA(2025)0137. </w:t>
      </w:r>
    </w:p>
  </w:footnote>
  <w:footnote w:id="38">
    <w:p w14:paraId="58DCA914" w14:textId="5368A728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 xml:space="preserve">Nariadenie Európskeho parlamentu a Rady (EÚ) 2024/1252 z 11. apríla 2024, ktorým sa stanovuje rámec na zaistenie bezpečných a udržateľných dodávok kritických surovín a ktorým sa menia nariadenia (EÚ) č. 168/2013, (EÚ) 2018/858, (EÚ) 2018/1724 a (EÚ) 2019/1020 (Ú. v. </w:t>
      </w:r>
      <w:r w:rsidRPr="00FC3F72">
        <w:rPr>
          <w:sz w:val="24"/>
          <w:szCs w:val="24"/>
          <w:lang w:val="sk-SK"/>
        </w:rPr>
        <w:t xml:space="preserve">EÚ L, 2024/1252, 3.5.2024, ELI: </w:t>
      </w:r>
      <w:hyperlink r:id="rId16" w:history="1">
        <w:r w:rsidRPr="00FC3F72">
          <w:rPr>
            <w:rStyle w:val="Hyperlink"/>
            <w:sz w:val="24"/>
            <w:szCs w:val="24"/>
            <w:lang w:val="sk-SK"/>
          </w:rPr>
          <w:t>http://data.europa.eu/eli/reg/2024/1252/oj</w:t>
        </w:r>
      </w:hyperlink>
      <w:r w:rsidRPr="00FC3F72">
        <w:rPr>
          <w:sz w:val="24"/>
          <w:szCs w:val="24"/>
          <w:lang w:val="sk-SK"/>
        </w:rPr>
        <w:t>).</w:t>
      </w:r>
    </w:p>
  </w:footnote>
  <w:footnote w:id="39">
    <w:p w14:paraId="244F3D22" w14:textId="169663E5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Oznámenie Komisie z 12. mája 2025 s názvom „</w:t>
      </w:r>
      <w:proofErr w:type="spellStart"/>
      <w:r w:rsidRPr="00FC3F72">
        <w:rPr>
          <w:sz w:val="24"/>
          <w:szCs w:val="24"/>
          <w:lang w:val="sk-SK"/>
        </w:rPr>
        <w:t>Roadmap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towards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ending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Russian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energy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imports</w:t>
      </w:r>
      <w:proofErr w:type="spellEnd"/>
      <w:r w:rsidRPr="00FC3F72">
        <w:rPr>
          <w:sz w:val="24"/>
          <w:szCs w:val="24"/>
          <w:lang w:val="sk-SK"/>
        </w:rPr>
        <w:t>“ (Plán ukončenia dovozu energie z Ruska) (COM(2025)0440).</w:t>
      </w:r>
    </w:p>
  </w:footnote>
  <w:footnote w:id="40">
    <w:p w14:paraId="0EE9052A" w14:textId="157F267C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IEA, „</w:t>
      </w:r>
      <w:proofErr w:type="spellStart"/>
      <w:r w:rsidRPr="00FC3F72">
        <w:rPr>
          <w:i/>
          <w:sz w:val="24"/>
          <w:szCs w:val="24"/>
          <w:lang w:val="sk-SK"/>
        </w:rPr>
        <w:t>Renewables</w:t>
      </w:r>
      <w:proofErr w:type="spellEnd"/>
      <w:r w:rsidRPr="00FC3F72">
        <w:rPr>
          <w:sz w:val="24"/>
          <w:szCs w:val="24"/>
          <w:lang w:val="sk-SK"/>
        </w:rPr>
        <w:t xml:space="preserve">“ (Obnoviteľné zdroje energie), </w:t>
      </w:r>
      <w:hyperlink r:id="rId17" w:history="1">
        <w:r w:rsidRPr="00FC3F72">
          <w:rPr>
            <w:rStyle w:val="Hyperlink"/>
            <w:sz w:val="24"/>
            <w:szCs w:val="24"/>
            <w:lang w:val="sk-SK"/>
          </w:rPr>
          <w:t>https://www.iea.org/energy-system/renewables#tracking</w:t>
        </w:r>
      </w:hyperlink>
      <w:r w:rsidRPr="00FC3F72">
        <w:rPr>
          <w:sz w:val="24"/>
          <w:szCs w:val="24"/>
          <w:lang w:val="sk-SK"/>
        </w:rPr>
        <w:t xml:space="preserve">. </w:t>
      </w:r>
    </w:p>
  </w:footnote>
  <w:footnote w:id="41">
    <w:p w14:paraId="1C77DE7F" w14:textId="19C58C5C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="000024C9" w:rsidRPr="00FC3F72">
        <w:rPr>
          <w:sz w:val="24"/>
          <w:szCs w:val="24"/>
          <w:lang w:val="sk-SK"/>
        </w:rPr>
        <w:t>IEA,</w:t>
      </w:r>
      <w:r w:rsidRPr="00FC3F72">
        <w:rPr>
          <w:rStyle w:val="Hyperlink"/>
          <w:sz w:val="24"/>
          <w:szCs w:val="24"/>
          <w:lang w:val="sk-SK"/>
        </w:rPr>
        <w:t xml:space="preserve"> </w:t>
      </w:r>
      <w:hyperlink r:id="rId18" w:history="1"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World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Energy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Investment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2024:</w:t>
        </w:r>
      </w:hyperlink>
      <w:hyperlink r:id="rId19" w:history="1">
        <w:r w:rsidRPr="00FC3F72">
          <w:rPr>
            <w:rStyle w:val="Hyperlink"/>
            <w:i/>
            <w:sz w:val="24"/>
            <w:szCs w:val="24"/>
            <w:lang w:val="sk-SK"/>
          </w:rPr>
          <w:t xml:space="preserve">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Overview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and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key</w:t>
        </w:r>
        <w:proofErr w:type="spellEnd"/>
        <w:r w:rsidRPr="00FC3F72">
          <w:rPr>
            <w:rStyle w:val="Hyperlink"/>
            <w:i/>
            <w:sz w:val="24"/>
            <w:szCs w:val="24"/>
            <w:lang w:val="sk-SK"/>
          </w:rPr>
          <w:t xml:space="preserve"> </w:t>
        </w:r>
        <w:proofErr w:type="spellStart"/>
        <w:r w:rsidRPr="00FC3F72">
          <w:rPr>
            <w:rStyle w:val="Hyperlink"/>
            <w:i/>
            <w:sz w:val="24"/>
            <w:szCs w:val="24"/>
            <w:lang w:val="sk-SK"/>
          </w:rPr>
          <w:t>findings</w:t>
        </w:r>
        <w:proofErr w:type="spellEnd"/>
      </w:hyperlink>
      <w:r w:rsidRPr="00FC3F72">
        <w:rPr>
          <w:sz w:val="24"/>
          <w:szCs w:val="24"/>
          <w:lang w:val="sk-SK"/>
        </w:rPr>
        <w:t xml:space="preserve"> (Svetové investície do energetiky v roku 2024: prehľad a kľúčové zistenia), 2024.</w:t>
      </w:r>
    </w:p>
  </w:footnote>
  <w:footnote w:id="42">
    <w:p w14:paraId="3D9F777E" w14:textId="0917066F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IEA, „</w:t>
      </w:r>
      <w:proofErr w:type="spellStart"/>
      <w:r w:rsidRPr="00FC3F72">
        <w:rPr>
          <w:sz w:val="24"/>
          <w:szCs w:val="24"/>
          <w:lang w:val="sk-SK"/>
        </w:rPr>
        <w:t>Tracking</w:t>
      </w:r>
      <w:proofErr w:type="spellEnd"/>
      <w:r w:rsidRPr="00FC3F72">
        <w:rPr>
          <w:sz w:val="24"/>
          <w:szCs w:val="24"/>
          <w:lang w:val="sk-SK"/>
        </w:rPr>
        <w:t xml:space="preserve"> </w:t>
      </w:r>
      <w:proofErr w:type="spellStart"/>
      <w:r w:rsidRPr="00FC3F72">
        <w:rPr>
          <w:sz w:val="24"/>
          <w:szCs w:val="24"/>
          <w:lang w:val="sk-SK"/>
        </w:rPr>
        <w:t>pledges</w:t>
      </w:r>
      <w:proofErr w:type="spellEnd"/>
      <w:r w:rsidRPr="00FC3F72">
        <w:rPr>
          <w:sz w:val="24"/>
          <w:szCs w:val="24"/>
          <w:lang w:val="sk-SK"/>
        </w:rPr>
        <w:t xml:space="preserve">, </w:t>
      </w:r>
      <w:proofErr w:type="spellStart"/>
      <w:r w:rsidRPr="00FC3F72">
        <w:rPr>
          <w:sz w:val="24"/>
          <w:szCs w:val="24"/>
          <w:lang w:val="sk-SK"/>
        </w:rPr>
        <w:t>targets</w:t>
      </w:r>
      <w:proofErr w:type="spellEnd"/>
      <w:r w:rsidRPr="00FC3F72">
        <w:rPr>
          <w:sz w:val="24"/>
          <w:szCs w:val="24"/>
          <w:lang w:val="sk-SK"/>
        </w:rPr>
        <w:t xml:space="preserve"> and </w:t>
      </w:r>
      <w:proofErr w:type="spellStart"/>
      <w:r w:rsidRPr="00FC3F72">
        <w:rPr>
          <w:sz w:val="24"/>
          <w:szCs w:val="24"/>
          <w:lang w:val="sk-SK"/>
        </w:rPr>
        <w:t>action</w:t>
      </w:r>
      <w:proofErr w:type="spellEnd"/>
      <w:r w:rsidRPr="00FC3F72">
        <w:rPr>
          <w:sz w:val="24"/>
          <w:szCs w:val="24"/>
          <w:lang w:val="sk-SK"/>
        </w:rPr>
        <w:t xml:space="preserve">“ (Sledovanie záväzkov, cieľov a opatrení), </w:t>
      </w:r>
      <w:hyperlink r:id="rId20" w:history="1">
        <w:r w:rsidRPr="00FC3F72">
          <w:rPr>
            <w:rStyle w:val="Hyperlink"/>
            <w:sz w:val="24"/>
            <w:szCs w:val="24"/>
            <w:lang w:val="sk-SK"/>
          </w:rPr>
          <w:t>https://www.iea.org/reports/global-methane-tracker-2024/tracking-pledges-targets-and-action</w:t>
        </w:r>
      </w:hyperlink>
      <w:r w:rsidRPr="00FC3F72">
        <w:rPr>
          <w:rStyle w:val="Hyperlink"/>
          <w:sz w:val="24"/>
          <w:szCs w:val="24"/>
          <w:lang w:val="sk-SK"/>
        </w:rPr>
        <w:t>.</w:t>
      </w:r>
    </w:p>
  </w:footnote>
  <w:footnote w:id="43">
    <w:p w14:paraId="29B7EFF2" w14:textId="6C26DED0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r w:rsidRPr="00FC3F72">
        <w:rPr>
          <w:sz w:val="24"/>
          <w:szCs w:val="24"/>
          <w:lang w:val="sk-SK"/>
        </w:rPr>
        <w:t>Smernica Európskeho parlamentu a Rady (EÚ) 2024/1711 z 13. júna 2024, ktorou sa menia smernice (EÚ) 2018/2001 a (EÚ) 2019/944, pokiaľ ide o zlepšenie koncepcie trhu s elektrinou v Únii (Ú. v. </w:t>
      </w:r>
      <w:r w:rsidRPr="00FC3F72">
        <w:rPr>
          <w:sz w:val="24"/>
          <w:szCs w:val="24"/>
          <w:lang w:val="sk-SK"/>
        </w:rPr>
        <w:t xml:space="preserve">EÚ L, 2024/1711, 26.6.2024, ELI: </w:t>
      </w:r>
      <w:hyperlink r:id="rId21" w:history="1">
        <w:r w:rsidRPr="00FC3F72">
          <w:rPr>
            <w:rStyle w:val="Hyperlink"/>
            <w:sz w:val="24"/>
            <w:szCs w:val="24"/>
            <w:lang w:val="sk-SK"/>
          </w:rPr>
          <w:t>http://data.europa.eu/eli/dir/2024/1711/oj</w:t>
        </w:r>
      </w:hyperlink>
      <w:r w:rsidRPr="00FC3F72">
        <w:rPr>
          <w:sz w:val="24"/>
          <w:szCs w:val="24"/>
          <w:lang w:val="sk-SK"/>
        </w:rPr>
        <w:t xml:space="preserve">). </w:t>
      </w:r>
    </w:p>
  </w:footnote>
  <w:footnote w:id="44">
    <w:p w14:paraId="107CE238" w14:textId="47529A54" w:rsidR="00A27977" w:rsidRPr="00FC3F72" w:rsidRDefault="00A27977" w:rsidP="00227960">
      <w:pPr>
        <w:pStyle w:val="FootnoteText"/>
        <w:ind w:left="567" w:hanging="567"/>
        <w:rPr>
          <w:sz w:val="24"/>
          <w:szCs w:val="24"/>
          <w:lang w:val="sk-SK"/>
        </w:rPr>
      </w:pPr>
      <w:r w:rsidRPr="00FC3F72">
        <w:rPr>
          <w:rStyle w:val="FootnoteReference"/>
          <w:sz w:val="24"/>
          <w:szCs w:val="24"/>
          <w:lang w:val="sk-SK"/>
        </w:rPr>
        <w:footnoteRef/>
      </w:r>
      <w:r w:rsidR="00227960" w:rsidRPr="00FC3F72">
        <w:rPr>
          <w:sz w:val="24"/>
          <w:szCs w:val="24"/>
          <w:lang w:val="sk-SK"/>
        </w:rPr>
        <w:t xml:space="preserve"> </w:t>
      </w:r>
      <w:r w:rsidR="00227960" w:rsidRPr="00FC3F72">
        <w:rPr>
          <w:sz w:val="24"/>
          <w:szCs w:val="24"/>
          <w:lang w:val="sk-SK"/>
        </w:rPr>
        <w:tab/>
      </w:r>
      <w:hyperlink r:id="rId22" w:history="1">
        <w:proofErr w:type="spellStart"/>
        <w:r w:rsidRPr="00FC3F72">
          <w:rPr>
            <w:rStyle w:val="Hyperlink"/>
            <w:sz w:val="24"/>
            <w:szCs w:val="24"/>
            <w:lang w:val="sk-SK"/>
          </w:rPr>
          <w:t>Declaration</w:t>
        </w:r>
        <w:proofErr w:type="spellEnd"/>
        <w:r w:rsidRPr="00FC3F72">
          <w:rPr>
            <w:rStyle w:val="Hyperlink"/>
            <w:sz w:val="24"/>
            <w:szCs w:val="24"/>
            <w:lang w:val="sk-SK"/>
          </w:rPr>
          <w:t xml:space="preserve"> to </w:t>
        </w:r>
        <w:proofErr w:type="spellStart"/>
        <w:r w:rsidRPr="00FC3F72">
          <w:rPr>
            <w:rStyle w:val="Hyperlink"/>
            <w:sz w:val="24"/>
            <w:szCs w:val="24"/>
            <w:lang w:val="sk-SK"/>
          </w:rPr>
          <w:t>Triple</w:t>
        </w:r>
        <w:proofErr w:type="spellEnd"/>
        <w:r w:rsidRPr="00FC3F72">
          <w:rPr>
            <w:rStyle w:val="Hyperlink"/>
            <w:sz w:val="24"/>
            <w:szCs w:val="24"/>
            <w:lang w:val="sk-SK"/>
          </w:rPr>
          <w:t xml:space="preserve"> </w:t>
        </w:r>
        <w:proofErr w:type="spellStart"/>
        <w:r w:rsidRPr="00FC3F72">
          <w:rPr>
            <w:rStyle w:val="Hyperlink"/>
            <w:sz w:val="24"/>
            <w:szCs w:val="24"/>
            <w:lang w:val="sk-SK"/>
          </w:rPr>
          <w:t>Nuclear</w:t>
        </w:r>
        <w:proofErr w:type="spellEnd"/>
        <w:r w:rsidRPr="00FC3F72">
          <w:rPr>
            <w:rStyle w:val="Hyperlink"/>
            <w:sz w:val="24"/>
            <w:szCs w:val="24"/>
            <w:lang w:val="sk-SK"/>
          </w:rPr>
          <w:t xml:space="preserve"> Energy</w:t>
        </w:r>
      </w:hyperlink>
      <w:r w:rsidRPr="00FC3F72">
        <w:rPr>
          <w:sz w:val="24"/>
          <w:szCs w:val="24"/>
          <w:lang w:val="sk-SK"/>
        </w:rPr>
        <w:t xml:space="preserve"> (Vyhlásenie o strojnásobení jadrovej energie), december 2023.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3364345">
    <w:abstractNumId w:val="9"/>
  </w:num>
  <w:num w:numId="2" w16cid:durableId="994181771">
    <w:abstractNumId w:val="9"/>
  </w:num>
  <w:num w:numId="3" w16cid:durableId="1546722869">
    <w:abstractNumId w:val="7"/>
  </w:num>
  <w:num w:numId="4" w16cid:durableId="2093769208">
    <w:abstractNumId w:val="7"/>
  </w:num>
  <w:num w:numId="5" w16cid:durableId="546340716">
    <w:abstractNumId w:val="6"/>
  </w:num>
  <w:num w:numId="6" w16cid:durableId="1227106541">
    <w:abstractNumId w:val="6"/>
  </w:num>
  <w:num w:numId="7" w16cid:durableId="696588271">
    <w:abstractNumId w:val="5"/>
  </w:num>
  <w:num w:numId="8" w16cid:durableId="1790003920">
    <w:abstractNumId w:val="5"/>
  </w:num>
  <w:num w:numId="9" w16cid:durableId="164515438">
    <w:abstractNumId w:val="4"/>
  </w:num>
  <w:num w:numId="10" w16cid:durableId="1583568068">
    <w:abstractNumId w:val="4"/>
  </w:num>
  <w:num w:numId="11" w16cid:durableId="1388145113">
    <w:abstractNumId w:val="8"/>
  </w:num>
  <w:num w:numId="12" w16cid:durableId="1605922012">
    <w:abstractNumId w:val="8"/>
  </w:num>
  <w:num w:numId="13" w16cid:durableId="1217619831">
    <w:abstractNumId w:val="3"/>
  </w:num>
  <w:num w:numId="14" w16cid:durableId="1952978407">
    <w:abstractNumId w:val="3"/>
  </w:num>
  <w:num w:numId="15" w16cid:durableId="625938946">
    <w:abstractNumId w:val="2"/>
  </w:num>
  <w:num w:numId="16" w16cid:durableId="2062825425">
    <w:abstractNumId w:val="2"/>
  </w:num>
  <w:num w:numId="17" w16cid:durableId="101069150">
    <w:abstractNumId w:val="1"/>
  </w:num>
  <w:num w:numId="18" w16cid:durableId="1908026195">
    <w:abstractNumId w:val="1"/>
  </w:num>
  <w:num w:numId="19" w16cid:durableId="1121728110">
    <w:abstractNumId w:val="0"/>
  </w:num>
  <w:num w:numId="20" w16cid:durableId="849371076">
    <w:abstractNumId w:val="0"/>
  </w:num>
  <w:num w:numId="21" w16cid:durableId="1941133810">
    <w:abstractNumId w:val="9"/>
  </w:num>
  <w:num w:numId="22" w16cid:durableId="899095752">
    <w:abstractNumId w:val="7"/>
  </w:num>
  <w:num w:numId="23" w16cid:durableId="1528524514">
    <w:abstractNumId w:val="6"/>
  </w:num>
  <w:num w:numId="24" w16cid:durableId="122045087">
    <w:abstractNumId w:val="5"/>
  </w:num>
  <w:num w:numId="25" w16cid:durableId="481193289">
    <w:abstractNumId w:val="4"/>
  </w:num>
  <w:num w:numId="26" w16cid:durableId="980109576">
    <w:abstractNumId w:val="8"/>
  </w:num>
  <w:num w:numId="27" w16cid:durableId="1303778146">
    <w:abstractNumId w:val="3"/>
  </w:num>
  <w:num w:numId="28" w16cid:durableId="271981591">
    <w:abstractNumId w:val="2"/>
  </w:num>
  <w:num w:numId="29" w16cid:durableId="1031225581">
    <w:abstractNumId w:val="1"/>
  </w:num>
  <w:num w:numId="30" w16cid:durableId="676231926">
    <w:abstractNumId w:val="0"/>
  </w:num>
  <w:num w:numId="31" w16cid:durableId="484474855">
    <w:abstractNumId w:val="9"/>
  </w:num>
  <w:num w:numId="32" w16cid:durableId="982850328">
    <w:abstractNumId w:val="7"/>
  </w:num>
  <w:num w:numId="33" w16cid:durableId="232353774">
    <w:abstractNumId w:val="6"/>
  </w:num>
  <w:num w:numId="34" w16cid:durableId="923413755">
    <w:abstractNumId w:val="5"/>
  </w:num>
  <w:num w:numId="35" w16cid:durableId="1951625788">
    <w:abstractNumId w:val="4"/>
  </w:num>
  <w:num w:numId="36" w16cid:durableId="1786971193">
    <w:abstractNumId w:val="8"/>
  </w:num>
  <w:num w:numId="37" w16cid:durableId="1730883886">
    <w:abstractNumId w:val="3"/>
  </w:num>
  <w:num w:numId="38" w16cid:durableId="2097239632">
    <w:abstractNumId w:val="2"/>
  </w:num>
  <w:num w:numId="39" w16cid:durableId="248079710">
    <w:abstractNumId w:val="1"/>
  </w:num>
  <w:num w:numId="40" w16cid:durableId="1091245474">
    <w:abstractNumId w:val="0"/>
  </w:num>
  <w:num w:numId="41" w16cid:durableId="978919994">
    <w:abstractNumId w:val="10"/>
  </w:num>
  <w:num w:numId="42" w16cid:durableId="912475328">
    <w:abstractNumId w:val="10"/>
  </w:num>
  <w:num w:numId="43" w16cid:durableId="1167482760">
    <w:abstractNumId w:val="10"/>
  </w:num>
  <w:num w:numId="44" w16cid:durableId="2873979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45/2025"/>
    <w:docVar w:name="dvlangue" w:val="SK"/>
    <w:docVar w:name="dvnumam" w:val="0"/>
    <w:docVar w:name="dvpe" w:val="772.168"/>
    <w:docVar w:name="dvtitre" w:val="Uznesenie Európskeho parlamentu z xx. októbra 2025 o Konferencii OSN o zmene klímy v roku 2025 v Beléme (Brazília) (COP 30)(2025/2666(RSP))"/>
  </w:docVars>
  <w:rsids>
    <w:rsidRoot w:val="00EC0E5A"/>
    <w:rsid w:val="00002272"/>
    <w:rsid w:val="000024C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96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06B3"/>
    <w:rsid w:val="00545827"/>
    <w:rsid w:val="00560270"/>
    <w:rsid w:val="005A69D2"/>
    <w:rsid w:val="005C2568"/>
    <w:rsid w:val="005D18BB"/>
    <w:rsid w:val="005F1B17"/>
    <w:rsid w:val="006037C0"/>
    <w:rsid w:val="0066152B"/>
    <w:rsid w:val="006631B6"/>
    <w:rsid w:val="00674C2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4AD"/>
    <w:rsid w:val="00842779"/>
    <w:rsid w:val="00865F67"/>
    <w:rsid w:val="00881A7B"/>
    <w:rsid w:val="008840E5"/>
    <w:rsid w:val="00887B3E"/>
    <w:rsid w:val="008C2AC6"/>
    <w:rsid w:val="00930C23"/>
    <w:rsid w:val="0093193B"/>
    <w:rsid w:val="00942C30"/>
    <w:rsid w:val="009509D8"/>
    <w:rsid w:val="00950B64"/>
    <w:rsid w:val="009528F0"/>
    <w:rsid w:val="00981893"/>
    <w:rsid w:val="00A1687D"/>
    <w:rsid w:val="00A2797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748"/>
    <w:rsid w:val="00D872DF"/>
    <w:rsid w:val="00D91E21"/>
    <w:rsid w:val="00DA4324"/>
    <w:rsid w:val="00DA7FCD"/>
    <w:rsid w:val="00DF0B93"/>
    <w:rsid w:val="00E21786"/>
    <w:rsid w:val="00E365E1"/>
    <w:rsid w:val="00E820A4"/>
    <w:rsid w:val="00E94BF5"/>
    <w:rsid w:val="00EA3737"/>
    <w:rsid w:val="00EB006A"/>
    <w:rsid w:val="00EB4772"/>
    <w:rsid w:val="00EC0E5A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F7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2FE13"/>
  <w15:chartTrackingRefBased/>
  <w15:docId w15:val="{0764BB9D-F405-420A-B7D5-136A425F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7977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A27977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A27977"/>
    <w:rPr>
      <w:sz w:val="24"/>
      <w:lang w:val="sk-SK"/>
    </w:rPr>
  </w:style>
  <w:style w:type="character" w:styleId="Hyperlink">
    <w:name w:val="Hyperlink"/>
    <w:basedOn w:val="DefaultParagraphFont"/>
    <w:uiPriority w:val="99"/>
    <w:rsid w:val="00A2797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6152B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EA37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C3F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0/60/oj" TargetMode="External"/><Relationship Id="rId13" Type="http://schemas.openxmlformats.org/officeDocument/2006/relationships/hyperlink" Target="https://publications.jrc.ec.europa.eu/repository/handle/JRC141480" TargetMode="External"/><Relationship Id="rId18" Type="http://schemas.openxmlformats.org/officeDocument/2006/relationships/hyperlink" Target="https://www.iea.org/reports/world-energy-investment-2024/overview-and-key-findings" TargetMode="External"/><Relationship Id="rId3" Type="http://schemas.openxmlformats.org/officeDocument/2006/relationships/hyperlink" Target="http://data.europa.eu/eli/reg/2024/1991/oj" TargetMode="External"/><Relationship Id="rId21" Type="http://schemas.openxmlformats.org/officeDocument/2006/relationships/hyperlink" Target="http://data.europa.eu/eli/dir/2024/1711/oj" TargetMode="External"/><Relationship Id="rId7" Type="http://schemas.openxmlformats.org/officeDocument/2006/relationships/hyperlink" Target="http://data.europa.eu/eli/reg/2018/841/oj" TargetMode="External"/><Relationship Id="rId12" Type="http://schemas.openxmlformats.org/officeDocument/2006/relationships/hyperlink" Target="https://www.unep.org/resources/report/environmental-impact-conflict-gaza-preliminary-assessment-environmental-impacts" TargetMode="External"/><Relationship Id="rId17" Type="http://schemas.openxmlformats.org/officeDocument/2006/relationships/hyperlink" Target="https://www.iea.org/energy-system/renewables%23tracking" TargetMode="External"/><Relationship Id="rId2" Type="http://schemas.openxmlformats.org/officeDocument/2006/relationships/hyperlink" Target="http://data.europa.eu/eli/dec/2022/591/oj" TargetMode="External"/><Relationship Id="rId16" Type="http://schemas.openxmlformats.org/officeDocument/2006/relationships/hyperlink" Target="http://data.europa.eu/eli/reg/2024/1252/oj" TargetMode="External"/><Relationship Id="rId20" Type="http://schemas.openxmlformats.org/officeDocument/2006/relationships/hyperlink" Target="https://www.iea.org/reports/global-methane-tracker-2024/tracking-pledges-targets-and-action" TargetMode="External"/><Relationship Id="rId1" Type="http://schemas.openxmlformats.org/officeDocument/2006/relationships/hyperlink" Target="http://data.europa.eu/eli/C/2025/808/oj" TargetMode="External"/><Relationship Id="rId6" Type="http://schemas.openxmlformats.org/officeDocument/2006/relationships/hyperlink" Target="http://data.europa.eu/eli/reg/2021/1119/oj" TargetMode="External"/><Relationship Id="rId11" Type="http://schemas.openxmlformats.org/officeDocument/2006/relationships/hyperlink" Target="https://www.unep.org/resources/report/environmental-impact-conflict-gaza-preliminary-assessment-environmental-impacts" TargetMode="External"/><Relationship Id="rId5" Type="http://schemas.openxmlformats.org/officeDocument/2006/relationships/hyperlink" Target="http://data.europa.eu/eli/reg/2024/1787/oj" TargetMode="External"/><Relationship Id="rId15" Type="http://schemas.openxmlformats.org/officeDocument/2006/relationships/hyperlink" Target="http://data.europa.eu/eli/C/2025/4369/oj" TargetMode="External"/><Relationship Id="rId10" Type="http://schemas.openxmlformats.org/officeDocument/2006/relationships/hyperlink" Target="https://www.unep.org/resources/report/environmental-impact-conflict-ukraine-preliminary-review" TargetMode="External"/><Relationship Id="rId19" Type="http://schemas.openxmlformats.org/officeDocument/2006/relationships/hyperlink" Target="https://www.iea.org/reports/world-energy-investment-2024/overview-and-key-findings" TargetMode="External"/><Relationship Id="rId4" Type="http://schemas.openxmlformats.org/officeDocument/2006/relationships/hyperlink" Target="http://data.europa.eu/eli/reg/2024/3012/oj" TargetMode="External"/><Relationship Id="rId9" Type="http://schemas.openxmlformats.org/officeDocument/2006/relationships/hyperlink" Target="https://www.unep.org/resources/report/environmental-impact-conflict-ukraine-preliminary-review" TargetMode="External"/><Relationship Id="rId14" Type="http://schemas.openxmlformats.org/officeDocument/2006/relationships/hyperlink" Target="http://data.europa.eu/eli/C/2025/808/oj" TargetMode="External"/><Relationship Id="rId22" Type="http://schemas.openxmlformats.org/officeDocument/2006/relationships/hyperlink" Target="https://world-nuclear.org/images/articles/Declaration-to-Triple-Nuclear-Energy-_-COP28-_-28-November-2023-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12972</Words>
  <Characters>79066</Characters>
  <Application>Microsoft Office Word</Application>
  <DocSecurity>0</DocSecurity>
  <Lines>658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2025-11-25T20:19:00Z</dcterms:created>
  <dcterms:modified xsi:type="dcterms:W3CDTF">2025-11-25T20:19:00Z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B10-0445/2025</vt:lpwstr>
  </property>
  <property fmtid="{D5CDD505-2E9C-101B-9397-08002B2CF9AE}" pid="4" name="&lt;Type&gt;">
    <vt:lpwstr>RR</vt:lpwstr>
  </property>
</Properties>
</file>