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148DD" w14:paraId="7E544B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655270" w14:textId="20B7F247" w:rsidR="00751A4A" w:rsidRPr="00B148DD" w:rsidRDefault="00B87511" w:rsidP="0010095E">
            <w:pPr>
              <w:pStyle w:val="EPName"/>
            </w:pPr>
            <w:r w:rsidRPr="00B148DD">
              <w:t>Evropský parlament</w:t>
            </w:r>
          </w:p>
          <w:p w14:paraId="2918815C" w14:textId="77777777" w:rsidR="00751A4A" w:rsidRPr="00B148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48DD">
              <w:t>2024</w:t>
            </w:r>
            <w:r w:rsidR="00817416" w:rsidRPr="00B148DD">
              <w:t>-202</w:t>
            </w:r>
            <w:r w:rsidRPr="00B148DD">
              <w:t>9</w:t>
            </w:r>
          </w:p>
        </w:tc>
        <w:tc>
          <w:tcPr>
            <w:tcW w:w="2268" w:type="dxa"/>
            <w:shd w:val="clear" w:color="auto" w:fill="auto"/>
          </w:tcPr>
          <w:p w14:paraId="2C2764D7" w14:textId="77777777" w:rsidR="00751A4A" w:rsidRPr="00B148DD" w:rsidRDefault="00187494" w:rsidP="0010095E">
            <w:pPr>
              <w:pStyle w:val="EPLogo"/>
            </w:pPr>
            <w:r w:rsidRPr="00B148DD">
              <w:rPr>
                <w:noProof/>
                <w:lang w:eastAsia="ja-JP"/>
              </w:rPr>
              <w:drawing>
                <wp:inline distT="0" distB="0" distL="0" distR="0" wp14:anchorId="6A11763A" wp14:editId="3AF184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DB5480" w14:textId="77777777" w:rsidR="00D058B8" w:rsidRPr="00B148DD" w:rsidRDefault="00D058B8" w:rsidP="004C5D52">
      <w:pPr>
        <w:pStyle w:val="LineTop"/>
      </w:pPr>
    </w:p>
    <w:p w14:paraId="33456AC6" w14:textId="7630DE9F" w:rsidR="00680577" w:rsidRPr="00B148DD" w:rsidRDefault="00B87511" w:rsidP="00680577">
      <w:pPr>
        <w:pStyle w:val="EPBodyTA1"/>
      </w:pPr>
      <w:r w:rsidRPr="00B148DD">
        <w:t>PŘIJATÉ TEXTY</w:t>
      </w:r>
    </w:p>
    <w:p w14:paraId="091DF139" w14:textId="77777777" w:rsidR="00D058B8" w:rsidRPr="00B148DD" w:rsidRDefault="00D058B8" w:rsidP="00D058B8">
      <w:pPr>
        <w:pStyle w:val="LineBottom"/>
      </w:pPr>
    </w:p>
    <w:p w14:paraId="6E30A052" w14:textId="246A00E9" w:rsidR="00B87511" w:rsidRPr="00B148DD" w:rsidRDefault="00B87511" w:rsidP="00B87511">
      <w:pPr>
        <w:pStyle w:val="ATHeading1"/>
      </w:pPr>
      <w:bookmarkStart w:id="0" w:name="TANumber"/>
      <w:r w:rsidRPr="00B148DD">
        <w:t>P10_</w:t>
      </w:r>
      <w:proofErr w:type="gramStart"/>
      <w:r w:rsidRPr="00B148DD">
        <w:t>TA(</w:t>
      </w:r>
      <w:proofErr w:type="gramEnd"/>
      <w:r w:rsidRPr="00B148DD">
        <w:t>2025)0</w:t>
      </w:r>
      <w:r w:rsidR="00D7615E">
        <w:t>256</w:t>
      </w:r>
      <w:bookmarkEnd w:id="0"/>
    </w:p>
    <w:p w14:paraId="5D15AD7D" w14:textId="25D3935C" w:rsidR="00B87511" w:rsidRPr="00B148DD" w:rsidRDefault="00B87511" w:rsidP="00B87511">
      <w:pPr>
        <w:pStyle w:val="ATHeading2"/>
      </w:pPr>
      <w:bookmarkStart w:id="1" w:name="title"/>
      <w:r w:rsidRPr="00B148DD">
        <w:t>Povinnosti podle směrnice o audiovizuálních mediálních službách v</w:t>
      </w:r>
      <w:r w:rsidR="00504216" w:rsidRPr="00B148DD">
        <w:t> </w:t>
      </w:r>
      <w:r w:rsidRPr="00B148DD">
        <w:t>transatlantickém dialogu</w:t>
      </w:r>
      <w:bookmarkEnd w:id="1"/>
    </w:p>
    <w:p w14:paraId="26279D64" w14:textId="77777777" w:rsidR="00B87511" w:rsidRPr="00B148DD" w:rsidRDefault="00B87511" w:rsidP="00B87511">
      <w:pPr>
        <w:rPr>
          <w:i/>
          <w:vanish/>
        </w:rPr>
      </w:pPr>
      <w:r w:rsidRPr="00B148DD">
        <w:rPr>
          <w:i/>
        </w:rPr>
        <w:fldChar w:fldCharType="begin"/>
      </w:r>
      <w:r w:rsidRPr="00B148DD">
        <w:rPr>
          <w:i/>
        </w:rPr>
        <w:instrText xml:space="preserve"> TC"(</w:instrText>
      </w:r>
      <w:bookmarkStart w:id="2" w:name="DocNumber"/>
      <w:r w:rsidRPr="00B148DD">
        <w:rPr>
          <w:i/>
        </w:rPr>
        <w:instrText>B10-0446/2025</w:instrText>
      </w:r>
      <w:bookmarkEnd w:id="2"/>
      <w:r w:rsidRPr="00B148DD">
        <w:rPr>
          <w:i/>
        </w:rPr>
        <w:instrText xml:space="preserve">)"\l3 \n&gt; \* MERGEFORMAT </w:instrText>
      </w:r>
      <w:r w:rsidRPr="00B148DD">
        <w:rPr>
          <w:i/>
        </w:rPr>
        <w:fldChar w:fldCharType="end"/>
      </w:r>
    </w:p>
    <w:p w14:paraId="3A41C829" w14:textId="77777777" w:rsidR="00B87511" w:rsidRPr="00B148DD" w:rsidRDefault="00B87511" w:rsidP="00B87511">
      <w:pPr>
        <w:rPr>
          <w:vanish/>
        </w:rPr>
      </w:pPr>
      <w:bookmarkStart w:id="3" w:name="PE"/>
      <w:r w:rsidRPr="00B148DD">
        <w:rPr>
          <w:vanish/>
        </w:rPr>
        <w:t>PE775.467</w:t>
      </w:r>
      <w:bookmarkEnd w:id="3"/>
    </w:p>
    <w:p w14:paraId="0720AD3A" w14:textId="77777777" w:rsidR="00B87511" w:rsidRPr="00B148DD" w:rsidRDefault="00B87511" w:rsidP="00B87511">
      <w:pPr>
        <w:pStyle w:val="ATHeading3"/>
      </w:pPr>
      <w:bookmarkStart w:id="4" w:name="Sujet"/>
      <w:r w:rsidRPr="00B148DD">
        <w:t>Usnesení Evropského parlamentu ze dne 23. října 2025 o povinnostech podle směrnice o audiovizuálních mediálních službách v transatlantickém dialogu</w:t>
      </w:r>
      <w:bookmarkEnd w:id="4"/>
      <w:r w:rsidRPr="00B148DD">
        <w:t xml:space="preserve"> </w:t>
      </w:r>
      <w:bookmarkStart w:id="5" w:name="References"/>
      <w:r w:rsidRPr="00B148DD">
        <w:t>(2025/2776(RSP))</w:t>
      </w:r>
      <w:bookmarkEnd w:id="5"/>
    </w:p>
    <w:p w14:paraId="7E6E7A29" w14:textId="77777777" w:rsidR="002A73C8" w:rsidRPr="00B148DD" w:rsidRDefault="002A73C8" w:rsidP="002A73C8">
      <w:pPr>
        <w:pStyle w:val="EPComma"/>
      </w:pPr>
      <w:bookmarkStart w:id="6" w:name="TextBodyBegin"/>
      <w:bookmarkEnd w:id="6"/>
      <w:r w:rsidRPr="00B148DD">
        <w:rPr>
          <w:i/>
        </w:rPr>
        <w:t>Evropský parlament</w:t>
      </w:r>
      <w:r w:rsidRPr="00B148DD">
        <w:t>,</w:t>
      </w:r>
    </w:p>
    <w:p w14:paraId="6F516736" w14:textId="77777777" w:rsidR="002A73C8" w:rsidRPr="00B148DD" w:rsidRDefault="002A73C8" w:rsidP="00B148DD">
      <w:pPr>
        <w:pStyle w:val="NormalHanging12a"/>
      </w:pPr>
      <w:r w:rsidRPr="00B148DD">
        <w:t>–</w:t>
      </w:r>
      <w:r w:rsidRPr="00B148DD">
        <w:tab/>
        <w:t>s ohledem na pravomoci členských států v oblasti rozvoje ambiciózních kulturních politik v audiovizuální oblasti v souladu s článkem 3 Smlouvy o Evropské unii a články 6 a 167 Smlouvy o fungování Evropské unie (dále jen „Smlouva o fungování EU“),</w:t>
      </w:r>
    </w:p>
    <w:p w14:paraId="20F16740" w14:textId="77777777" w:rsidR="002A73C8" w:rsidRPr="00B148DD" w:rsidRDefault="002A73C8" w:rsidP="00B148DD">
      <w:pPr>
        <w:pStyle w:val="NormalHanging12a"/>
      </w:pPr>
      <w:r w:rsidRPr="00B148DD">
        <w:t>–</w:t>
      </w:r>
      <w:r w:rsidRPr="00B148DD">
        <w:tab/>
        <w:t>s ohledem na směrnici Evropského parlamentu a Rady (EU) 2018/1808 ze dne 14. listopadu 2018, kterou se mění směrnice 2010/13/EU o koordinaci některých právních a správních předpisů členských států upravujících poskytování audiovizuálních mediálních služeb („směrnice o audiovizuálních mediálních službách“) v souvislosti s měnící se situací</w:t>
      </w:r>
      <w:r w:rsidRPr="00B148DD">
        <w:rPr>
          <w:rStyle w:val="FootnoteReference"/>
        </w:rPr>
        <w:footnoteReference w:id="1"/>
      </w:r>
      <w:r w:rsidRPr="00B148DD">
        <w:t>,</w:t>
      </w:r>
    </w:p>
    <w:p w14:paraId="6812B3A0" w14:textId="77777777" w:rsidR="002A73C8" w:rsidRPr="00B148DD" w:rsidRDefault="002A73C8" w:rsidP="00B148DD">
      <w:pPr>
        <w:pStyle w:val="NormalHanging12a"/>
      </w:pPr>
      <w:r w:rsidRPr="00B148DD">
        <w:t>–</w:t>
      </w:r>
      <w:r w:rsidRPr="00B148DD">
        <w:tab/>
        <w:t>s ohledem na Úmluvu UNESCO o ochraně a podpoře rozmanitosti kulturních projevů ze dne 20. října 2005,</w:t>
      </w:r>
    </w:p>
    <w:p w14:paraId="3081F5DD" w14:textId="77777777" w:rsidR="002A73C8" w:rsidRPr="00B148DD" w:rsidRDefault="002A73C8" w:rsidP="00B148DD">
      <w:pPr>
        <w:pStyle w:val="NormalHanging12a"/>
      </w:pPr>
      <w:r w:rsidRPr="00B148DD">
        <w:t>–</w:t>
      </w:r>
      <w:r w:rsidRPr="00B148DD">
        <w:tab/>
        <w:t>s ohledem na závěry Rady ze dne 2. května 2025 o posouzení právního rámce pro audiovizuální mediální služby a služby platforem pro sdílení videonahrávek</w:t>
      </w:r>
      <w:r w:rsidRPr="00B148DD">
        <w:rPr>
          <w:rStyle w:val="FootnoteReference"/>
        </w:rPr>
        <w:footnoteReference w:id="2"/>
      </w:r>
      <w:r w:rsidRPr="00B148DD">
        <w:t>,</w:t>
      </w:r>
    </w:p>
    <w:p w14:paraId="04C1F8FA" w14:textId="3C7CAD96" w:rsidR="002A73C8" w:rsidRPr="00B148DD" w:rsidRDefault="002A73C8" w:rsidP="00B148DD">
      <w:pPr>
        <w:pStyle w:val="NormalHanging12a"/>
      </w:pPr>
      <w:r w:rsidRPr="00B148DD">
        <w:t>–</w:t>
      </w:r>
      <w:r w:rsidRPr="00B148DD">
        <w:tab/>
        <w:t>s ohledem na otázku Komisi o podle směrnice o audiovizuálních mediálních službách</w:t>
      </w:r>
      <w:r w:rsidRPr="00B148DD">
        <w:rPr>
          <w:rStyle w:val="FootnoteReference"/>
          <w:color w:val="000000"/>
        </w:rPr>
        <w:footnoteReference w:id="3"/>
      </w:r>
      <w:r w:rsidRPr="00B148DD">
        <w:t xml:space="preserve"> v transatlantickém dialogu (O-000026/2025 – B10</w:t>
      </w:r>
      <w:r w:rsidRPr="00B148DD">
        <w:noBreakHyphen/>
        <w:t>00</w:t>
      </w:r>
      <w:r w:rsidR="00BF21F9">
        <w:t>1</w:t>
      </w:r>
      <w:r w:rsidRPr="00B148DD">
        <w:t>0/2025),</w:t>
      </w:r>
    </w:p>
    <w:p w14:paraId="2079528F" w14:textId="77777777" w:rsidR="002A73C8" w:rsidRPr="00B148DD" w:rsidRDefault="002A73C8" w:rsidP="00B148DD">
      <w:pPr>
        <w:pStyle w:val="NormalHanging12a"/>
      </w:pPr>
      <w:r w:rsidRPr="00B148DD">
        <w:t>–</w:t>
      </w:r>
      <w:r w:rsidRPr="00B148DD">
        <w:tab/>
        <w:t>s ohledem na čl. 142 odst. 5 a čl. 136 odst. 2 jednacího řádu,</w:t>
      </w:r>
    </w:p>
    <w:p w14:paraId="6960F337" w14:textId="77777777" w:rsidR="002A73C8" w:rsidRPr="00B148DD" w:rsidRDefault="002A73C8" w:rsidP="00B148DD">
      <w:pPr>
        <w:pStyle w:val="NormalHanging12a"/>
      </w:pPr>
      <w:r w:rsidRPr="00B148DD">
        <w:t>–</w:t>
      </w:r>
      <w:r w:rsidRPr="00B148DD">
        <w:tab/>
        <w:t>s ohledem na návrh usnesení Výboru pro kulturu a vzdělávání,</w:t>
      </w:r>
    </w:p>
    <w:p w14:paraId="475F78D2" w14:textId="77777777" w:rsidR="002A73C8" w:rsidRPr="00B148DD" w:rsidRDefault="002A73C8" w:rsidP="00B148DD">
      <w:pPr>
        <w:pStyle w:val="NormalHanging12a"/>
      </w:pPr>
      <w:r w:rsidRPr="00B148DD">
        <w:lastRenderedPageBreak/>
        <w:t>A.</w:t>
      </w:r>
      <w:r w:rsidRPr="00B148DD">
        <w:tab/>
        <w:t>vzhledem k tomu, že směrnice o audiovizuálních mediálních službách je základním kamenem audiovizuální politiky EU, jejímž cílem je vytvořit v EU jednotný trh audiovizuálních mediálních služeb a zároveň podporovat kulturní rozmanitost;</w:t>
      </w:r>
    </w:p>
    <w:p w14:paraId="34AAE316" w14:textId="77777777" w:rsidR="002A73C8" w:rsidRPr="00B148DD" w:rsidRDefault="002A73C8" w:rsidP="00B148DD">
      <w:pPr>
        <w:pStyle w:val="NormalHanging12a"/>
      </w:pPr>
      <w:r w:rsidRPr="00B148DD">
        <w:t>B.</w:t>
      </w:r>
      <w:r w:rsidRPr="00B148DD">
        <w:tab/>
        <w:t>vzhledem k tomu, že cílem směrnice o audiovizuálních mediálních službách je zajistit spravedlivé podmínky pro všechny subjekty v audiovizuálním odvětví, včetně subjektů televizního vysílání, služeb videa na vyžádání a platforem pro sdílení videonahrávek; vzhledem k tomu, že směrnice o audiovizuálních mediálních službách obsahuje ustanovení na ochranu nezletilých osob a ochranu spotřebitele, jakož i na prevenci násilí, nenávistných verbálních projevů a teroristického obsahu; vzhledem k tomu, že směrnice o audiovizuálních mediálních službách podporuje evropská díla, zlepšuje dostupnost a usiluje o zajištění nezávislosti národních regulačních orgánů;</w:t>
      </w:r>
    </w:p>
    <w:p w14:paraId="1AD691D2" w14:textId="77777777" w:rsidR="002A73C8" w:rsidRPr="00B148DD" w:rsidRDefault="002A73C8" w:rsidP="00B148DD">
      <w:pPr>
        <w:pStyle w:val="NormalHanging12a"/>
      </w:pPr>
      <w:r w:rsidRPr="00B148DD">
        <w:t>C.</w:t>
      </w:r>
      <w:r w:rsidRPr="00B148DD">
        <w:tab/>
        <w:t>vzhledem k tomu, že vyloučení audiovizuálních mediálních služeb z oblasti působnosti obchodních jednání má zásadní význam pro zachování a posílení schopnosti EU a jejích členských států navrhovat a provádět kulturní a audiovizuální politiky zaměřené na podporu a ochranu kulturní rozmanitosti;</w:t>
      </w:r>
    </w:p>
    <w:p w14:paraId="34A4DC10" w14:textId="77777777" w:rsidR="002A73C8" w:rsidRPr="00B148DD" w:rsidRDefault="002A73C8" w:rsidP="00B148DD">
      <w:pPr>
        <w:pStyle w:val="NormalHanging12a"/>
      </w:pPr>
      <w:r w:rsidRPr="00B148DD">
        <w:t>D.</w:t>
      </w:r>
      <w:r w:rsidRPr="00B148DD">
        <w:tab/>
        <w:t>vzhledem k tomu, že směrnice o audiovizuálních mediálních službách vyžaduje, aby členské státy zajistily, že poskytovatelé audiovizuálních mediálních služeb na vyžádání, kteří spadají do jejich pravomoci, budou vysílat alespoň 30% podíl evropských děl a těmto dílům poskytnou odpovídající zdůraznění; vzhledem k tomu, že směrnice o audiovizuálních mediálních službách rovněž umožňuje členským státům požadovat, aby zahraniční poskytovatelé audiovizuálních mediálních služeb, kteří se zaměřují na veřejnost na jejich území, finančně přispívali na výrobu evropských děl;</w:t>
      </w:r>
    </w:p>
    <w:p w14:paraId="339B2330" w14:textId="77777777" w:rsidR="002A73C8" w:rsidRPr="00B148DD" w:rsidRDefault="002A73C8" w:rsidP="00B148DD">
      <w:pPr>
        <w:pStyle w:val="NormalHanging12a"/>
      </w:pPr>
      <w:r w:rsidRPr="00B148DD">
        <w:t>E.</w:t>
      </w:r>
      <w:r w:rsidRPr="00B148DD">
        <w:tab/>
        <w:t>vzhledem k tomu, že nařízení o digitálních službách a směrnice o elektronickém obchodu stanoví obecná pravidla pro online zprostředkovatele, zatímco směrnice o audiovizuálních mediálních službách stanoví zvláštní pravidla pro audiovizuální obsah; vzhledem k tomu, že směrnice o audiovizuálních mediálních službách by měla zůstat klíčovým právním rámcem pro podporu rozmanitého, spravedlivého, bezpečného a konkurenceschopného audiovizuálního mediálního trhu v EU a pro podporu nezávislého a kulturně bohatého evropského obsahu;</w:t>
      </w:r>
    </w:p>
    <w:p w14:paraId="61A1A5F4" w14:textId="77777777" w:rsidR="002A73C8" w:rsidRPr="00B148DD" w:rsidRDefault="002A73C8" w:rsidP="00B148DD">
      <w:pPr>
        <w:pStyle w:val="NormalHanging12a"/>
      </w:pPr>
      <w:r w:rsidRPr="00B148DD">
        <w:t>F.</w:t>
      </w:r>
      <w:r w:rsidRPr="00B148DD">
        <w:tab/>
        <w:t>vzhledem k tomu, že memorandum amerického prezidenta Donalda Trumpa ze dne 21. února 2025 nazvané „Ochrana amerických společností a inovátorů před zahraničním vydíráním a nespravedlivými pokutami a sankcemi“ má za cíl poukázat na praktiky považované za diskriminační vůči americkým společnostem, včetně povinností zaměřených na streamovací služby; vzhledem k tomu, že zmocněnec Spojených států amerických pro obchod uvedl ve zprávě o odhadu národního obchodu USA za rok 2025 směrnici o audiovizuálních mediálních službách jako překážku zahraničního obchodu;</w:t>
      </w:r>
    </w:p>
    <w:p w14:paraId="1168605A" w14:textId="77777777" w:rsidR="002A73C8" w:rsidRPr="00B148DD" w:rsidRDefault="002A73C8" w:rsidP="00B148DD">
      <w:pPr>
        <w:pStyle w:val="NormalHanging12a"/>
      </w:pPr>
      <w:r w:rsidRPr="00B148DD">
        <w:t>G.</w:t>
      </w:r>
      <w:r w:rsidRPr="00B148DD">
        <w:tab/>
        <w:t>vzhledem k tomu, že označení směrnice o audiovizuálních mediálních službách ze strany americké vlády za překážku obchodu je založeno na nesprávném posouzení, neboť ustanovení směrnice se vztahují neutrálně a nediskriminačně na všechny hospodářské subjekty, a to jak domácí, tak zahraniční, čímž zajišťují spravedlivou hospodářskou soutěž a rovné podmínky;</w:t>
      </w:r>
    </w:p>
    <w:p w14:paraId="6C4526F2" w14:textId="77777777" w:rsidR="002A73C8" w:rsidRPr="00B148DD" w:rsidRDefault="002A73C8" w:rsidP="00B148DD">
      <w:pPr>
        <w:pStyle w:val="NormalHanging12a"/>
      </w:pPr>
      <w:r w:rsidRPr="00B148DD">
        <w:t>H.</w:t>
      </w:r>
      <w:r w:rsidRPr="00B148DD">
        <w:tab/>
        <w:t>vzhledem k tomu, že prezident Trump rovněž prohlásil, že hodlá uvalit stoprocentní daň na filmy vyrobené mimo Spojené státy americké;</w:t>
      </w:r>
    </w:p>
    <w:p w14:paraId="33F41258" w14:textId="77777777" w:rsidR="002A73C8" w:rsidRPr="00B148DD" w:rsidRDefault="002A73C8" w:rsidP="00B148DD">
      <w:pPr>
        <w:pStyle w:val="NormalHanging12a"/>
      </w:pPr>
      <w:r w:rsidRPr="00B148DD">
        <w:lastRenderedPageBreak/>
        <w:t>I.</w:t>
      </w:r>
      <w:r w:rsidRPr="00B148DD">
        <w:tab/>
        <w:t>vzhledem k tomu, že v roce 2023 americké filmy představovaly 69 % návštěvnosti evropských kin; vzhledem k tomu, že 9 z 10 předních televizních skupin a skupin služeb videa na vyžádání působících v Evropě vlastní americké společnosti; vzhledem k tomu, že 85 % času stráveného Evropany na předplacených platformách videa na vyžádání se soustředí na tři americké streamovací služby;</w:t>
      </w:r>
    </w:p>
    <w:p w14:paraId="35707A55" w14:textId="77777777" w:rsidR="002A73C8" w:rsidRPr="00B148DD" w:rsidRDefault="002A73C8" w:rsidP="00B148DD">
      <w:pPr>
        <w:pStyle w:val="NormalHanging12a"/>
      </w:pPr>
      <w:r w:rsidRPr="00B148DD">
        <w:t>J.</w:t>
      </w:r>
      <w:r w:rsidRPr="00B148DD">
        <w:tab/>
        <w:t>vzhledem k tomu, že EU uzavřela dne 27. července 2025 obchodní dohodu se Spojenými státy americkými, která neobsahuje žádná ustanovení týkající se unijní regulace digitálního nebo audiovizuálního odvětví; vzhledem k tomu, že následná prohlášení prezidenta Trumpa nicméně zřejmě naznačují, že i nadále zamýšlí snažit se bránit regulaci amerických společností ze strany EU;</w:t>
      </w:r>
    </w:p>
    <w:p w14:paraId="3711E9D8" w14:textId="77FDE7A7" w:rsidR="002A73C8" w:rsidRPr="00B148DD" w:rsidRDefault="002A73C8" w:rsidP="00B148DD">
      <w:pPr>
        <w:pStyle w:val="NormalHanging12a"/>
      </w:pPr>
      <w:r w:rsidRPr="00B148DD">
        <w:t>1.</w:t>
      </w:r>
      <w:r w:rsidRPr="00B148DD">
        <w:tab/>
        <w:t>vyzývá Radu a členské státy, aby podpořily Komisi v obhajobě směrnice o audiovizuálních mediálních službách a unijního vyloučení kultury z mezinárodních obchodních jednání a zajistily, aby audiovizuální mediální služby zůstaly vyloučeny ze</w:t>
      </w:r>
      <w:r w:rsidR="00504216" w:rsidRPr="00B148DD">
        <w:t> </w:t>
      </w:r>
      <w:r w:rsidRPr="00B148DD">
        <w:t>závazků vyplývajících z obchodních dohod, aby se zachovala a rozvíjela schopnost EU a jejích členských států stanovovat a provádět kulturní a audiovizuální politiky zaměřené na podporu a ochranu kulturní rozmanitosti;</w:t>
      </w:r>
    </w:p>
    <w:p w14:paraId="4544CA93" w14:textId="77777777" w:rsidR="002A73C8" w:rsidRPr="00B148DD" w:rsidRDefault="002A73C8" w:rsidP="00B148DD">
      <w:pPr>
        <w:pStyle w:val="NormalHanging12a"/>
      </w:pPr>
      <w:r w:rsidRPr="00B148DD">
        <w:t>2.</w:t>
      </w:r>
      <w:r w:rsidRPr="00B148DD">
        <w:tab/>
        <w:t>zdůrazňuje, že opatření stanovená v rámci směrnice o audiovizuálních mediálních službách představují legitimní regulaci ve veřejném zájmu, jejímž cílem je zachovat kulturní rozmanitost podporou tvorby a šíření evropských děl a chránit svobodu projevu, mediální pluralitu a demokratické hodnoty; domnívá se, že jakýkoli ústup od principů směrnice o audiovizuálních mediálních službách by vážně ohrozil evropský kulturní model, zejména v kontextu intenzivní mezinárodní konkurence v audiovizuálním mediálním odvětví;</w:t>
      </w:r>
    </w:p>
    <w:p w14:paraId="7B1C51B3" w14:textId="77777777" w:rsidR="002A73C8" w:rsidRPr="00B148DD" w:rsidRDefault="002A73C8" w:rsidP="00B148DD">
      <w:pPr>
        <w:pStyle w:val="NormalHanging12a"/>
      </w:pPr>
      <w:r w:rsidRPr="00B148DD">
        <w:t>3.</w:t>
      </w:r>
      <w:r w:rsidRPr="00B148DD">
        <w:tab/>
        <w:t xml:space="preserve">připomíná, že podle článku 167 Smlouvy o fungování EU je kulturní politika především v pravomoci členských států; zdůrazňuje, že zásada subsidiarity </w:t>
      </w:r>
      <w:proofErr w:type="gramStart"/>
      <w:r w:rsidRPr="00B148DD">
        <w:t>slouží</w:t>
      </w:r>
      <w:proofErr w:type="gramEnd"/>
      <w:r w:rsidRPr="00B148DD">
        <w:t xml:space="preserve"> nejen jako pravidlo pro rozdělení pravomocí, ale také jako zásadní pojistka pro ochranu kulturní rozmanitosti v Unii a proti koncentraci hospodářské a technologické moci vnějších subjektů, zejména amerických společností;</w:t>
      </w:r>
    </w:p>
    <w:p w14:paraId="08773A3D" w14:textId="77777777" w:rsidR="002A73C8" w:rsidRPr="00B148DD" w:rsidRDefault="002A73C8" w:rsidP="00B148DD">
      <w:pPr>
        <w:pStyle w:val="NormalHanging12a"/>
      </w:pPr>
      <w:r w:rsidRPr="00B148DD">
        <w:t>4.</w:t>
      </w:r>
      <w:r w:rsidRPr="00B148DD">
        <w:tab/>
        <w:t>vítá závěry Rady ze dne 2. května 2025 o posouzení právního rámce pro audiovizuální mediální služby a služby platforem pro sdílení videonahrávek, v nichž Rada vyzdvihuje zásadní úlohu směrnice o audiovizuálních mediálních službách při poskytování právního základu pro ochranu a podporu rozmanitého, spravedlivého, bezpečného, důvěryhodného a konkurenceschopného audiovizuálního mediálního trhu v EU, jakož i pro zajištění dostupnosti nezávislého, spolehlivého a kulturně rozmanitého evropského obsahu;</w:t>
      </w:r>
    </w:p>
    <w:p w14:paraId="6101F386" w14:textId="77777777" w:rsidR="002A73C8" w:rsidRPr="00B148DD" w:rsidRDefault="002A73C8" w:rsidP="00B148DD">
      <w:pPr>
        <w:pStyle w:val="NormalHanging12a"/>
      </w:pPr>
      <w:r w:rsidRPr="00B148DD">
        <w:t>5.</w:t>
      </w:r>
      <w:r w:rsidRPr="00B148DD">
        <w:tab/>
        <w:t>naléhavě vyzývá Komisi, aby důrazně odmítla veškeré pokusy považovat směrnici o audiovizuálních mediálních službách za narušení obchodu a aby ji hájila jako legitimní regulační nástroj, který je nezbytný pro zajištění ochrany kulturní rozmanitosti, svrchovanosti a měkké síly EU, a to jak při vyjednávání a provádění obchodních dohod se Spojenými státy americkými, tak v rámci hodnocení a případné revize směrnice o audiovizuálních mediálních službách v roce 2026;</w:t>
      </w:r>
    </w:p>
    <w:p w14:paraId="2235E050" w14:textId="7E6BD148" w:rsidR="00E365E1" w:rsidRPr="00B148DD" w:rsidRDefault="002A73C8" w:rsidP="007D6758">
      <w:pPr>
        <w:pStyle w:val="NormalHanging12a"/>
      </w:pPr>
      <w:r w:rsidRPr="00B148DD">
        <w:t>6.</w:t>
      </w:r>
      <w:r w:rsidRPr="00B148DD">
        <w:tab/>
        <w:t>pověřuje svou předsedkyni, aby předala toto usnesení Radě, Komisi a vládám a parlamentům členských států.</w:t>
      </w:r>
    </w:p>
    <w:sectPr w:rsidR="00E365E1" w:rsidRPr="00B148DD" w:rsidSect="00AD4D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98FFF" w14:textId="77777777" w:rsidR="00B87511" w:rsidRPr="00AD4D22" w:rsidRDefault="00B87511">
      <w:r w:rsidRPr="00AD4D22">
        <w:separator/>
      </w:r>
    </w:p>
  </w:endnote>
  <w:endnote w:type="continuationSeparator" w:id="0">
    <w:p w14:paraId="7E4A925B" w14:textId="77777777" w:rsidR="00B87511" w:rsidRPr="00AD4D22" w:rsidRDefault="00B87511">
      <w:r w:rsidRPr="00AD4D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88D7E" w14:textId="77777777" w:rsidR="00064002" w:rsidRPr="00AD4D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974F3" w14:textId="77777777" w:rsidR="00064002" w:rsidRPr="00AD4D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764D1" w14:textId="77777777" w:rsidR="00064002" w:rsidRPr="00AD4D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99279" w14:textId="77777777" w:rsidR="00B87511" w:rsidRPr="00AD4D22" w:rsidRDefault="00B87511">
      <w:r w:rsidRPr="00AD4D22">
        <w:separator/>
      </w:r>
    </w:p>
  </w:footnote>
  <w:footnote w:type="continuationSeparator" w:id="0">
    <w:p w14:paraId="58172314" w14:textId="77777777" w:rsidR="00B87511" w:rsidRPr="00AD4D22" w:rsidRDefault="00B87511">
      <w:r w:rsidRPr="00AD4D22">
        <w:continuationSeparator/>
      </w:r>
    </w:p>
  </w:footnote>
  <w:footnote w:id="1">
    <w:p w14:paraId="22707E8D" w14:textId="057565D6" w:rsidR="002A73C8" w:rsidRPr="00AD4D22" w:rsidRDefault="002A73C8" w:rsidP="00AD4D22">
      <w:pPr>
        <w:pStyle w:val="FootnoteText"/>
        <w:ind w:left="567" w:hanging="567"/>
        <w:rPr>
          <w:sz w:val="24"/>
          <w:lang w:val="cs-CZ"/>
        </w:rPr>
      </w:pPr>
      <w:r w:rsidRPr="00AD4D22">
        <w:rPr>
          <w:rStyle w:val="FootnoteReference"/>
          <w:sz w:val="24"/>
          <w:lang w:val="cs-CZ"/>
        </w:rPr>
        <w:footnoteRef/>
      </w:r>
      <w:r w:rsidR="00AD4D22" w:rsidRPr="00AD4D22">
        <w:rPr>
          <w:sz w:val="24"/>
          <w:lang w:val="cs-CZ"/>
        </w:rPr>
        <w:t xml:space="preserve"> </w:t>
      </w:r>
      <w:r w:rsidR="00AD4D22" w:rsidRPr="00AD4D22">
        <w:rPr>
          <w:sz w:val="24"/>
          <w:lang w:val="cs-CZ"/>
        </w:rPr>
        <w:tab/>
      </w:r>
      <w:proofErr w:type="spellStart"/>
      <w:r w:rsidRPr="00AD4D22">
        <w:rPr>
          <w:sz w:val="24"/>
          <w:lang w:val="cs-CZ"/>
        </w:rPr>
        <w:t>Úř</w:t>
      </w:r>
      <w:proofErr w:type="spellEnd"/>
      <w:r w:rsidRPr="00AD4D22">
        <w:rPr>
          <w:sz w:val="24"/>
          <w:lang w:val="cs-CZ"/>
        </w:rPr>
        <w:t xml:space="preserve">. </w:t>
      </w:r>
      <w:proofErr w:type="spellStart"/>
      <w:r w:rsidRPr="00AD4D22">
        <w:rPr>
          <w:sz w:val="24"/>
          <w:lang w:val="cs-CZ"/>
        </w:rPr>
        <w:t>věst</w:t>
      </w:r>
      <w:proofErr w:type="spellEnd"/>
      <w:r w:rsidRPr="00AD4D22">
        <w:rPr>
          <w:sz w:val="24"/>
          <w:lang w:val="cs-CZ"/>
        </w:rPr>
        <w:t>. L 303, 28.11.2018, s. 69, ELI: </w:t>
      </w:r>
      <w:hyperlink r:id="rId1" w:tooltip="Umožňuje přístup k tomuto dokumentu prostřednictvím jeho ELI URI." w:history="1">
        <w:r w:rsidRPr="00AD4D22">
          <w:rPr>
            <w:rStyle w:val="Hyperlink"/>
            <w:sz w:val="24"/>
            <w:lang w:val="cs-CZ"/>
          </w:rPr>
          <w:t>http://data.europa.eu/</w:t>
        </w:r>
        <w:proofErr w:type="spellStart"/>
        <w:r w:rsidRPr="00AD4D22">
          <w:rPr>
            <w:rStyle w:val="Hyperlink"/>
            <w:sz w:val="24"/>
            <w:lang w:val="cs-CZ"/>
          </w:rPr>
          <w:t>eli</w:t>
        </w:r>
        <w:proofErr w:type="spellEnd"/>
        <w:r w:rsidRPr="00AD4D22">
          <w:rPr>
            <w:rStyle w:val="Hyperlink"/>
            <w:sz w:val="24"/>
            <w:lang w:val="cs-CZ"/>
          </w:rPr>
          <w:t>/</w:t>
        </w:r>
        <w:proofErr w:type="spellStart"/>
        <w:r w:rsidRPr="00AD4D22">
          <w:rPr>
            <w:rStyle w:val="Hyperlink"/>
            <w:sz w:val="24"/>
            <w:lang w:val="cs-CZ"/>
          </w:rPr>
          <w:t>dir</w:t>
        </w:r>
        <w:proofErr w:type="spellEnd"/>
        <w:r w:rsidRPr="00AD4D22">
          <w:rPr>
            <w:rStyle w:val="Hyperlink"/>
            <w:sz w:val="24"/>
            <w:lang w:val="cs-CZ"/>
          </w:rPr>
          <w:t>/2018/1808/oj</w:t>
        </w:r>
      </w:hyperlink>
      <w:r w:rsidRPr="00AD4D22">
        <w:rPr>
          <w:sz w:val="24"/>
          <w:lang w:val="cs-CZ"/>
        </w:rPr>
        <w:t>.</w:t>
      </w:r>
    </w:p>
  </w:footnote>
  <w:footnote w:id="2">
    <w:p w14:paraId="50B3AE7B" w14:textId="6DC485FD" w:rsidR="002A73C8" w:rsidRPr="00AD4D22" w:rsidRDefault="002A73C8" w:rsidP="00AD4D22">
      <w:pPr>
        <w:pStyle w:val="FootnoteText"/>
        <w:ind w:left="567" w:hanging="567"/>
        <w:rPr>
          <w:sz w:val="24"/>
          <w:lang w:val="cs-CZ"/>
        </w:rPr>
      </w:pPr>
      <w:r w:rsidRPr="00AD4D22">
        <w:rPr>
          <w:rStyle w:val="FootnoteReference"/>
          <w:sz w:val="24"/>
          <w:lang w:val="cs-CZ"/>
        </w:rPr>
        <w:footnoteRef/>
      </w:r>
      <w:r w:rsidR="00AD4D22" w:rsidRPr="00AD4D22">
        <w:rPr>
          <w:sz w:val="24"/>
          <w:lang w:val="cs-CZ"/>
        </w:rPr>
        <w:t xml:space="preserve"> </w:t>
      </w:r>
      <w:r w:rsidR="00AD4D22" w:rsidRPr="00AD4D22">
        <w:rPr>
          <w:sz w:val="24"/>
          <w:lang w:val="cs-CZ"/>
        </w:rPr>
        <w:tab/>
      </w:r>
      <w:proofErr w:type="spellStart"/>
      <w:r w:rsidRPr="00AD4D22">
        <w:rPr>
          <w:sz w:val="24"/>
          <w:lang w:val="cs-CZ"/>
        </w:rPr>
        <w:t>Úř</w:t>
      </w:r>
      <w:proofErr w:type="spellEnd"/>
      <w:r w:rsidRPr="00AD4D22">
        <w:rPr>
          <w:sz w:val="24"/>
          <w:lang w:val="cs-CZ"/>
        </w:rPr>
        <w:t xml:space="preserve">. </w:t>
      </w:r>
      <w:proofErr w:type="spellStart"/>
      <w:r w:rsidRPr="00AD4D22">
        <w:rPr>
          <w:sz w:val="24"/>
          <w:lang w:val="cs-CZ"/>
        </w:rPr>
        <w:t>věst</w:t>
      </w:r>
      <w:proofErr w:type="spellEnd"/>
      <w:r w:rsidRPr="00AD4D22">
        <w:rPr>
          <w:sz w:val="24"/>
          <w:lang w:val="cs-CZ"/>
        </w:rPr>
        <w:t>. C, C/2025/2954, 26.5.2025, ELI: </w:t>
      </w:r>
      <w:hyperlink r:id="rId2" w:tgtFrame="_blank" w:tooltip="Umožňuje přístup k tomuto dokumentu prostřednictvím jeho ELI URI." w:history="1">
        <w:r w:rsidRPr="00AD4D22">
          <w:rPr>
            <w:rStyle w:val="Hyperlink"/>
            <w:sz w:val="24"/>
            <w:lang w:val="cs-CZ"/>
          </w:rPr>
          <w:t>http://data.europa.eu/</w:t>
        </w:r>
        <w:proofErr w:type="spellStart"/>
        <w:r w:rsidRPr="00AD4D22">
          <w:rPr>
            <w:rStyle w:val="Hyperlink"/>
            <w:sz w:val="24"/>
            <w:lang w:val="cs-CZ"/>
          </w:rPr>
          <w:t>eli</w:t>
        </w:r>
        <w:proofErr w:type="spellEnd"/>
        <w:r w:rsidRPr="00AD4D22">
          <w:rPr>
            <w:rStyle w:val="Hyperlink"/>
            <w:sz w:val="24"/>
            <w:lang w:val="cs-CZ"/>
          </w:rPr>
          <w:t>/C/2025/2954/oj</w:t>
        </w:r>
      </w:hyperlink>
      <w:r w:rsidRPr="00AD4D22">
        <w:rPr>
          <w:sz w:val="24"/>
          <w:lang w:val="cs-CZ"/>
        </w:rPr>
        <w:t>.</w:t>
      </w:r>
    </w:p>
  </w:footnote>
  <w:footnote w:id="3">
    <w:p w14:paraId="1839748F" w14:textId="6774A5A7" w:rsidR="002A73C8" w:rsidRPr="00AD4D22" w:rsidRDefault="002A73C8" w:rsidP="00AD4D22">
      <w:pPr>
        <w:pStyle w:val="FootnoteText"/>
        <w:ind w:left="567" w:hanging="567"/>
        <w:rPr>
          <w:sz w:val="24"/>
          <w:lang w:val="cs-CZ"/>
        </w:rPr>
      </w:pPr>
      <w:r w:rsidRPr="00AD4D22">
        <w:rPr>
          <w:rStyle w:val="FootnoteReference"/>
          <w:sz w:val="24"/>
          <w:lang w:val="cs-CZ"/>
        </w:rPr>
        <w:footnoteRef/>
      </w:r>
      <w:r w:rsidR="00AD4D22" w:rsidRPr="00AD4D22">
        <w:rPr>
          <w:sz w:val="24"/>
          <w:shd w:val="clear" w:color="auto" w:fill="FFFFFF"/>
          <w:lang w:val="cs-CZ"/>
        </w:rPr>
        <w:t xml:space="preserve"> </w:t>
      </w:r>
      <w:r w:rsidR="00AD4D22" w:rsidRPr="00AD4D22">
        <w:rPr>
          <w:sz w:val="24"/>
          <w:shd w:val="clear" w:color="auto" w:fill="FFFFFF"/>
          <w:lang w:val="cs-CZ"/>
        </w:rPr>
        <w:tab/>
      </w:r>
      <w:r w:rsidRPr="00AD4D22">
        <w:rPr>
          <w:sz w:val="24"/>
          <w:shd w:val="clear" w:color="auto" w:fill="FFFFFF"/>
          <w:lang w:val="cs-CZ"/>
        </w:rPr>
        <w:t>Směrnice Evropského parlamentu a Rady 2010/13/EU ze dne 10. března 2010 o koordinaci některých právních a správních předpisů členských států upravujících poskytování audiovizuálních mediálních služeb (směrnice o audiovizuálních mediálních službách) (</w:t>
      </w:r>
      <w:proofErr w:type="spellStart"/>
      <w:r w:rsidRPr="001B5028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>Úř</w:t>
      </w:r>
      <w:proofErr w:type="spellEnd"/>
      <w:r w:rsidRPr="001B5028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>. </w:t>
      </w:r>
      <w:proofErr w:type="spellStart"/>
      <w:r w:rsidRPr="001B5028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>věst</w:t>
      </w:r>
      <w:proofErr w:type="spellEnd"/>
      <w:r w:rsidRPr="001B5028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>. L 95, 15.4.2010, s. 1</w:t>
      </w:r>
      <w:r w:rsidR="007D6758">
        <w:rPr>
          <w:rStyle w:val="Emphasis"/>
          <w:i w:val="0"/>
          <w:iCs w:val="0"/>
          <w:color w:val="333333"/>
          <w:sz w:val="24"/>
          <w:shd w:val="clear" w:color="auto" w:fill="FFFFFF"/>
          <w:lang w:val="cs-CZ"/>
        </w:rPr>
        <w:t>,</w:t>
      </w:r>
      <w:r w:rsidRPr="00AD4D22">
        <w:rPr>
          <w:sz w:val="24"/>
          <w:shd w:val="clear" w:color="auto" w:fill="FFFFFF"/>
          <w:lang w:val="cs-CZ"/>
        </w:rPr>
        <w:t xml:space="preserve"> ELI: </w:t>
      </w:r>
      <w:hyperlink r:id="rId3" w:tooltip="Umožňuje přístup k tomuto dokumentu prostřednictvím jeho ELI URI." w:history="1">
        <w:r w:rsidRPr="00504216">
          <w:rPr>
            <w:rStyle w:val="Hyperlink"/>
            <w:sz w:val="24"/>
            <w:shd w:val="clear" w:color="auto" w:fill="FFFFFF"/>
            <w:lang w:val="cs-CZ"/>
          </w:rPr>
          <w:t>http://data.europa.eu/</w:t>
        </w:r>
        <w:proofErr w:type="spellStart"/>
        <w:r w:rsidRPr="00504216">
          <w:rPr>
            <w:rStyle w:val="Hyperlink"/>
            <w:sz w:val="24"/>
            <w:shd w:val="clear" w:color="auto" w:fill="FFFFFF"/>
            <w:lang w:val="cs-CZ"/>
          </w:rPr>
          <w:t>eli</w:t>
        </w:r>
        <w:proofErr w:type="spellEnd"/>
        <w:r w:rsidRPr="00504216">
          <w:rPr>
            <w:rStyle w:val="Hyperlink"/>
            <w:sz w:val="24"/>
            <w:shd w:val="clear" w:color="auto" w:fill="FFFFFF"/>
            <w:lang w:val="cs-CZ"/>
          </w:rPr>
          <w:t>/</w:t>
        </w:r>
        <w:proofErr w:type="spellStart"/>
        <w:r w:rsidRPr="00504216">
          <w:rPr>
            <w:rStyle w:val="Hyperlink"/>
            <w:sz w:val="24"/>
            <w:shd w:val="clear" w:color="auto" w:fill="FFFFFF"/>
            <w:lang w:val="cs-CZ"/>
          </w:rPr>
          <w:t>dir</w:t>
        </w:r>
        <w:proofErr w:type="spellEnd"/>
        <w:r w:rsidRPr="00504216">
          <w:rPr>
            <w:rStyle w:val="Hyperlink"/>
            <w:sz w:val="24"/>
            <w:shd w:val="clear" w:color="auto" w:fill="FFFFFF"/>
            <w:lang w:val="cs-CZ"/>
          </w:rPr>
          <w:t>/2010/13/oj</w:t>
        </w:r>
      </w:hyperlink>
      <w:r w:rsidRPr="00AD4D22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7C8BF" w14:textId="77777777" w:rsidR="00064002" w:rsidRPr="00AD4D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DC0FB" w14:textId="77777777" w:rsidR="00064002" w:rsidRPr="00AD4D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E76D4" w14:textId="77777777" w:rsidR="00064002" w:rsidRPr="00AD4D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4594292">
    <w:abstractNumId w:val="9"/>
  </w:num>
  <w:num w:numId="2" w16cid:durableId="1028137195">
    <w:abstractNumId w:val="9"/>
  </w:num>
  <w:num w:numId="3" w16cid:durableId="716784137">
    <w:abstractNumId w:val="7"/>
  </w:num>
  <w:num w:numId="4" w16cid:durableId="43604634">
    <w:abstractNumId w:val="7"/>
  </w:num>
  <w:num w:numId="5" w16cid:durableId="867371429">
    <w:abstractNumId w:val="6"/>
  </w:num>
  <w:num w:numId="6" w16cid:durableId="741369957">
    <w:abstractNumId w:val="6"/>
  </w:num>
  <w:num w:numId="7" w16cid:durableId="1949464995">
    <w:abstractNumId w:val="5"/>
  </w:num>
  <w:num w:numId="8" w16cid:durableId="1661536868">
    <w:abstractNumId w:val="5"/>
  </w:num>
  <w:num w:numId="9" w16cid:durableId="309477768">
    <w:abstractNumId w:val="4"/>
  </w:num>
  <w:num w:numId="10" w16cid:durableId="1060782681">
    <w:abstractNumId w:val="4"/>
  </w:num>
  <w:num w:numId="11" w16cid:durableId="1500148962">
    <w:abstractNumId w:val="8"/>
  </w:num>
  <w:num w:numId="12" w16cid:durableId="837380062">
    <w:abstractNumId w:val="8"/>
  </w:num>
  <w:num w:numId="13" w16cid:durableId="1323389521">
    <w:abstractNumId w:val="3"/>
  </w:num>
  <w:num w:numId="14" w16cid:durableId="1991129955">
    <w:abstractNumId w:val="3"/>
  </w:num>
  <w:num w:numId="15" w16cid:durableId="198708861">
    <w:abstractNumId w:val="2"/>
  </w:num>
  <w:num w:numId="16" w16cid:durableId="1543974740">
    <w:abstractNumId w:val="2"/>
  </w:num>
  <w:num w:numId="17" w16cid:durableId="695739551">
    <w:abstractNumId w:val="1"/>
  </w:num>
  <w:num w:numId="18" w16cid:durableId="1402436920">
    <w:abstractNumId w:val="1"/>
  </w:num>
  <w:num w:numId="19" w16cid:durableId="379398885">
    <w:abstractNumId w:val="0"/>
  </w:num>
  <w:num w:numId="20" w16cid:durableId="584607880">
    <w:abstractNumId w:val="0"/>
  </w:num>
  <w:num w:numId="21" w16cid:durableId="1033918039">
    <w:abstractNumId w:val="9"/>
  </w:num>
  <w:num w:numId="22" w16cid:durableId="1127624169">
    <w:abstractNumId w:val="7"/>
  </w:num>
  <w:num w:numId="23" w16cid:durableId="572744526">
    <w:abstractNumId w:val="6"/>
  </w:num>
  <w:num w:numId="24" w16cid:durableId="1389962729">
    <w:abstractNumId w:val="5"/>
  </w:num>
  <w:num w:numId="25" w16cid:durableId="1388919318">
    <w:abstractNumId w:val="4"/>
  </w:num>
  <w:num w:numId="26" w16cid:durableId="1405181291">
    <w:abstractNumId w:val="8"/>
  </w:num>
  <w:num w:numId="27" w16cid:durableId="770659676">
    <w:abstractNumId w:val="3"/>
  </w:num>
  <w:num w:numId="28" w16cid:durableId="271476032">
    <w:abstractNumId w:val="2"/>
  </w:num>
  <w:num w:numId="29" w16cid:durableId="1011840327">
    <w:abstractNumId w:val="1"/>
  </w:num>
  <w:num w:numId="30" w16cid:durableId="1224488917">
    <w:abstractNumId w:val="0"/>
  </w:num>
  <w:num w:numId="31" w16cid:durableId="806508731">
    <w:abstractNumId w:val="9"/>
  </w:num>
  <w:num w:numId="32" w16cid:durableId="1276450637">
    <w:abstractNumId w:val="7"/>
  </w:num>
  <w:num w:numId="33" w16cid:durableId="1216889550">
    <w:abstractNumId w:val="6"/>
  </w:num>
  <w:num w:numId="34" w16cid:durableId="1776049247">
    <w:abstractNumId w:val="5"/>
  </w:num>
  <w:num w:numId="35" w16cid:durableId="364906757">
    <w:abstractNumId w:val="4"/>
  </w:num>
  <w:num w:numId="36" w16cid:durableId="132255746">
    <w:abstractNumId w:val="8"/>
  </w:num>
  <w:num w:numId="37" w16cid:durableId="791363395">
    <w:abstractNumId w:val="3"/>
  </w:num>
  <w:num w:numId="38" w16cid:durableId="224341129">
    <w:abstractNumId w:val="2"/>
  </w:num>
  <w:num w:numId="39" w16cid:durableId="127866520">
    <w:abstractNumId w:val="1"/>
  </w:num>
  <w:num w:numId="40" w16cid:durableId="1407340972">
    <w:abstractNumId w:val="0"/>
  </w:num>
  <w:num w:numId="41" w16cid:durableId="1523738970">
    <w:abstractNumId w:val="10"/>
  </w:num>
  <w:num w:numId="42" w16cid:durableId="1548101142">
    <w:abstractNumId w:val="10"/>
  </w:num>
  <w:num w:numId="43" w16cid:durableId="1364089074">
    <w:abstractNumId w:val="10"/>
  </w:num>
  <w:num w:numId="44" w16cid:durableId="3201643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46/2025"/>
    <w:docVar w:name="dvlangue" w:val="CS"/>
    <w:docVar w:name="dvnumam" w:val="0"/>
    <w:docVar w:name="dvpe" w:val="775.467"/>
    <w:docVar w:name="dvtitre" w:val="Usnesení Evropského parlamentu ze dne 23. října 2025 o povinnostech podle směrnice o audiovizuálních mediálních službách v transatlantickém dialogu(2025/2776(RSP))"/>
  </w:docVars>
  <w:rsids>
    <w:rsidRoot w:val="00B8751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5028"/>
    <w:rsid w:val="001F32AE"/>
    <w:rsid w:val="002767FF"/>
    <w:rsid w:val="002A73C8"/>
    <w:rsid w:val="002B18FE"/>
    <w:rsid w:val="002B5493"/>
    <w:rsid w:val="002D568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21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758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D22"/>
    <w:rsid w:val="00AE0928"/>
    <w:rsid w:val="00AF3B82"/>
    <w:rsid w:val="00B12E95"/>
    <w:rsid w:val="00B148DD"/>
    <w:rsid w:val="00B22876"/>
    <w:rsid w:val="00B558F0"/>
    <w:rsid w:val="00B87511"/>
    <w:rsid w:val="00BD48FE"/>
    <w:rsid w:val="00BD7BD8"/>
    <w:rsid w:val="00BE6ADC"/>
    <w:rsid w:val="00BF21F9"/>
    <w:rsid w:val="00C05BFE"/>
    <w:rsid w:val="00C23CD4"/>
    <w:rsid w:val="00C61C0C"/>
    <w:rsid w:val="00C941CB"/>
    <w:rsid w:val="00CC2357"/>
    <w:rsid w:val="00CE19EB"/>
    <w:rsid w:val="00CF071A"/>
    <w:rsid w:val="00D058B8"/>
    <w:rsid w:val="00D56C11"/>
    <w:rsid w:val="00D7615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D10F44"/>
  <w15:chartTrackingRefBased/>
  <w15:docId w15:val="{96398FEB-8B3D-49BA-8B82-DF6C89B07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A73C8"/>
    <w:pPr>
      <w:spacing w:before="480" w:after="240"/>
    </w:pPr>
  </w:style>
  <w:style w:type="paragraph" w:customStyle="1" w:styleId="NormalHanging12a">
    <w:name w:val="NormalHanging12a"/>
    <w:basedOn w:val="Normal"/>
    <w:rsid w:val="002A73C8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2A73C8"/>
    <w:rPr>
      <w:i/>
      <w:iCs/>
    </w:rPr>
  </w:style>
  <w:style w:type="character" w:styleId="Hyperlink">
    <w:name w:val="Hyperlink"/>
    <w:basedOn w:val="DefaultParagraphFont"/>
    <w:uiPriority w:val="99"/>
    <w:unhideWhenUsed/>
    <w:rsid w:val="002A73C8"/>
    <w:rPr>
      <w:color w:val="0000FF"/>
      <w:u w:val="single"/>
    </w:rPr>
  </w:style>
  <w:style w:type="paragraph" w:styleId="Revision">
    <w:name w:val="Revision"/>
    <w:hidden/>
    <w:uiPriority w:val="99"/>
    <w:semiHidden/>
    <w:rsid w:val="007D675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0/13/oj" TargetMode="External"/><Relationship Id="rId2" Type="http://schemas.openxmlformats.org/officeDocument/2006/relationships/hyperlink" Target="http://data.europa.eu/eli/C/2025/2954/oj" TargetMode="External"/><Relationship Id="rId1" Type="http://schemas.openxmlformats.org/officeDocument/2006/relationships/hyperlink" Target="http://data.europa.eu/eli/dir/2018/18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1097</Words>
  <Characters>6981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2025-10-23T11:25:00Z</dcterms:created>
  <dcterms:modified xsi:type="dcterms:W3CDTF">2025-10-23T11:25:00Z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B10-0446/2025</vt:lpwstr>
  </property>
  <property fmtid="{D5CDD505-2E9C-101B-9397-08002B2CF9AE}" pid="4" name="&lt;Type&gt;">
    <vt:lpwstr>RR</vt:lpwstr>
  </property>
</Properties>
</file>