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6222" w14:paraId="5CFE8ECC" w14:textId="77777777" w:rsidTr="0010095E">
        <w:trPr>
          <w:trHeight w:hRule="exact" w:val="1418"/>
        </w:trPr>
        <w:tc>
          <w:tcPr>
            <w:tcW w:w="6804" w:type="dxa"/>
            <w:shd w:val="clear" w:color="auto" w:fill="auto"/>
            <w:vAlign w:val="center"/>
          </w:tcPr>
          <w:p w14:paraId="34235B86" w14:textId="03765B8E" w:rsidR="00751A4A" w:rsidRPr="001F6222" w:rsidRDefault="00AA7595" w:rsidP="0010095E">
            <w:pPr>
              <w:pStyle w:val="EPName"/>
            </w:pPr>
            <w:r w:rsidRPr="001F6222">
              <w:t>Eiropas Parlaments</w:t>
            </w:r>
          </w:p>
          <w:p w14:paraId="4B7AFB1F" w14:textId="77777777" w:rsidR="00751A4A" w:rsidRPr="001F6222" w:rsidRDefault="005F1B17" w:rsidP="005F1B17">
            <w:pPr>
              <w:pStyle w:val="EPTerm"/>
              <w:rPr>
                <w:rStyle w:val="HideTWBExt"/>
                <w:noProof w:val="0"/>
                <w:vanish w:val="0"/>
                <w:color w:val="auto"/>
              </w:rPr>
            </w:pPr>
            <w:r w:rsidRPr="001F6222">
              <w:t>2024</w:t>
            </w:r>
            <w:r w:rsidR="00817416" w:rsidRPr="001F6222">
              <w:t>-202</w:t>
            </w:r>
            <w:r w:rsidRPr="001F6222">
              <w:t>9</w:t>
            </w:r>
          </w:p>
        </w:tc>
        <w:tc>
          <w:tcPr>
            <w:tcW w:w="2268" w:type="dxa"/>
            <w:shd w:val="clear" w:color="auto" w:fill="auto"/>
          </w:tcPr>
          <w:p w14:paraId="4800AD20" w14:textId="77777777" w:rsidR="00751A4A" w:rsidRPr="001F6222" w:rsidRDefault="00187494" w:rsidP="0010095E">
            <w:pPr>
              <w:pStyle w:val="EPLogo"/>
            </w:pPr>
            <w:r w:rsidRPr="001F6222">
              <w:rPr>
                <w:noProof/>
                <w:lang w:eastAsia="ja-JP"/>
              </w:rPr>
              <w:drawing>
                <wp:inline distT="0" distB="0" distL="0" distR="0" wp14:anchorId="55B4810D" wp14:editId="08C7A51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B910B6" w14:textId="77777777" w:rsidR="00D058B8" w:rsidRPr="001F6222" w:rsidRDefault="00D058B8" w:rsidP="004C5D52">
      <w:pPr>
        <w:pStyle w:val="LineTop"/>
      </w:pPr>
    </w:p>
    <w:p w14:paraId="52C2DF79" w14:textId="7E7B485A" w:rsidR="00680577" w:rsidRPr="001F6222" w:rsidRDefault="00AA7595" w:rsidP="00680577">
      <w:pPr>
        <w:pStyle w:val="EPBodyTA1"/>
      </w:pPr>
      <w:r w:rsidRPr="001F6222">
        <w:t>PIEŅEMTIE TEKSTI</w:t>
      </w:r>
    </w:p>
    <w:p w14:paraId="1903F821" w14:textId="77777777" w:rsidR="00D058B8" w:rsidRPr="001F6222" w:rsidRDefault="00D058B8" w:rsidP="00D058B8">
      <w:pPr>
        <w:pStyle w:val="LineBottom"/>
      </w:pPr>
    </w:p>
    <w:p w14:paraId="4A848016" w14:textId="7981F730" w:rsidR="00AA7595" w:rsidRPr="001F6222" w:rsidRDefault="00AA7595" w:rsidP="00AA7595">
      <w:pPr>
        <w:pStyle w:val="ATHeading1"/>
      </w:pPr>
      <w:bookmarkStart w:id="0" w:name="TANumber"/>
      <w:r w:rsidRPr="001F6222">
        <w:t>P10_TA(2025)0</w:t>
      </w:r>
      <w:r w:rsidR="001F6222" w:rsidRPr="001F6222">
        <w:t>256</w:t>
      </w:r>
      <w:bookmarkEnd w:id="0"/>
    </w:p>
    <w:p w14:paraId="48F4309E" w14:textId="299DF95E" w:rsidR="00AA7595" w:rsidRPr="001F6222" w:rsidRDefault="007D5794" w:rsidP="00AA7595">
      <w:pPr>
        <w:pStyle w:val="ATHeading2"/>
      </w:pPr>
      <w:bookmarkStart w:id="1" w:name="title"/>
      <w:r w:rsidRPr="001F6222">
        <w:rPr>
          <w:bCs/>
        </w:rPr>
        <w:t>Audiovizuālo mediju pakalpojumu direktīvas saistības transatlantiskajā dialogā</w:t>
      </w:r>
      <w:bookmarkEnd w:id="1"/>
    </w:p>
    <w:p w14:paraId="4DED6709" w14:textId="77777777" w:rsidR="00AA7595" w:rsidRPr="001F6222" w:rsidRDefault="00AA7595" w:rsidP="00AA7595">
      <w:pPr>
        <w:rPr>
          <w:i/>
          <w:vanish/>
        </w:rPr>
      </w:pPr>
      <w:r w:rsidRPr="001F6222">
        <w:rPr>
          <w:i/>
        </w:rPr>
        <w:fldChar w:fldCharType="begin"/>
      </w:r>
      <w:r w:rsidRPr="001F6222">
        <w:rPr>
          <w:i/>
        </w:rPr>
        <w:instrText xml:space="preserve"> TC"(</w:instrText>
      </w:r>
      <w:bookmarkStart w:id="2" w:name="DocNumber"/>
      <w:r w:rsidRPr="001F6222">
        <w:rPr>
          <w:i/>
        </w:rPr>
        <w:instrText>B10-0446/2025</w:instrText>
      </w:r>
      <w:bookmarkEnd w:id="2"/>
      <w:r w:rsidRPr="001F6222">
        <w:rPr>
          <w:i/>
        </w:rPr>
        <w:instrText xml:space="preserve">)"\l3 \n&gt; \* MERGEFORMAT </w:instrText>
      </w:r>
      <w:r w:rsidRPr="001F6222">
        <w:rPr>
          <w:i/>
        </w:rPr>
        <w:fldChar w:fldCharType="end"/>
      </w:r>
    </w:p>
    <w:p w14:paraId="0D531CE7" w14:textId="77777777" w:rsidR="00AA7595" w:rsidRPr="001F6222" w:rsidRDefault="00AA7595" w:rsidP="00AA7595">
      <w:pPr>
        <w:rPr>
          <w:vanish/>
        </w:rPr>
      </w:pPr>
      <w:bookmarkStart w:id="3" w:name="PE"/>
      <w:r w:rsidRPr="001F6222">
        <w:rPr>
          <w:vanish/>
        </w:rPr>
        <w:t>PE775.467</w:t>
      </w:r>
      <w:bookmarkEnd w:id="3"/>
    </w:p>
    <w:p w14:paraId="3CFB5564" w14:textId="1CC8AF25" w:rsidR="00AA7595" w:rsidRPr="001F6222" w:rsidRDefault="00AA7595" w:rsidP="00AA7595">
      <w:pPr>
        <w:pStyle w:val="ATHeading3"/>
      </w:pPr>
      <w:bookmarkStart w:id="4" w:name="Sujet"/>
      <w:r w:rsidRPr="001F6222">
        <w:t xml:space="preserve">Eiropas Parlamenta 2025. gada </w:t>
      </w:r>
      <w:r w:rsidR="007D5794" w:rsidRPr="001F6222">
        <w:t>23. oktobra</w:t>
      </w:r>
      <w:r w:rsidRPr="001F6222">
        <w:t xml:space="preserve"> rezolūcija par Audiovizuālo mediju pakalpojumu direktīvas saistībām transatlantiskajā dialogā</w:t>
      </w:r>
      <w:bookmarkEnd w:id="4"/>
      <w:r w:rsidRPr="001F6222">
        <w:t xml:space="preserve"> </w:t>
      </w:r>
      <w:bookmarkStart w:id="5" w:name="References"/>
      <w:r w:rsidRPr="001F6222">
        <w:t>(2025/2776(RSP))</w:t>
      </w:r>
      <w:bookmarkEnd w:id="5"/>
    </w:p>
    <w:p w14:paraId="114167D2" w14:textId="77777777" w:rsidR="007A5152" w:rsidRPr="001F6222" w:rsidRDefault="007A5152" w:rsidP="007A5152">
      <w:pPr>
        <w:pStyle w:val="EPComma"/>
      </w:pPr>
      <w:bookmarkStart w:id="6" w:name="TextBodyBegin"/>
      <w:bookmarkEnd w:id="6"/>
      <w:r w:rsidRPr="001F6222">
        <w:rPr>
          <w:i/>
        </w:rPr>
        <w:t>Eiropas Parlaments</w:t>
      </w:r>
      <w:r w:rsidRPr="001F6222">
        <w:t>,</w:t>
      </w:r>
    </w:p>
    <w:p w14:paraId="1538A0F5" w14:textId="77777777" w:rsidR="007A5152" w:rsidRPr="001F6222" w:rsidRDefault="007A5152" w:rsidP="007A5152">
      <w:pPr>
        <w:pStyle w:val="NormalHanging12a"/>
      </w:pPr>
      <w:r w:rsidRPr="001F6222">
        <w:t>–</w:t>
      </w:r>
      <w:r w:rsidRPr="001F6222">
        <w:tab/>
        <w:t>ņemot vērā dalībvalstu kompetenci vērienīgu kultūras politikas virzienu izstrādē audiovizuālajā jomā saskaņā ar Līguma par Eiropas Savienību 3. pantu un Līguma par Eiropas Savienības darbību (LESD) 6. un 167. pantu,</w:t>
      </w:r>
    </w:p>
    <w:p w14:paraId="38839D4A" w14:textId="77777777" w:rsidR="007A5152" w:rsidRPr="001F6222" w:rsidRDefault="007A5152" w:rsidP="007A5152">
      <w:pPr>
        <w:pStyle w:val="NormalHanging12a"/>
      </w:pPr>
      <w:r w:rsidRPr="001F6222">
        <w:t>–</w:t>
      </w:r>
      <w:r w:rsidRPr="001F6222">
        <w:tab/>
        <w:t>ņemot vērā Eiropas Parlamenta un Padomes Direktīvu (ES) 2018/1808 (2018. gada 14. novembris), ar ko, ņemot vērā mainīgos tirgus apstākļus, groza Direktīvu 2010/13/ES par to, lai koordinētu dažus dalībvalstu normatīvajos un administratīvajos aktos paredzētus noteikumus par audiovizuālo mediju pakalpojumu sniegšanu (Audiovizuālo mediju pakalpojumu direktīva)</w:t>
      </w:r>
      <w:r w:rsidRPr="001F6222">
        <w:rPr>
          <w:rStyle w:val="FootnoteReference"/>
        </w:rPr>
        <w:footnoteReference w:id="1"/>
      </w:r>
      <w:r w:rsidRPr="001F6222">
        <w:t>,</w:t>
      </w:r>
    </w:p>
    <w:p w14:paraId="2C35E1E5" w14:textId="77777777" w:rsidR="007A5152" w:rsidRPr="001F6222" w:rsidRDefault="007A5152" w:rsidP="007A5152">
      <w:pPr>
        <w:pStyle w:val="NormalHanging12a"/>
      </w:pPr>
      <w:r w:rsidRPr="001F6222">
        <w:t>–</w:t>
      </w:r>
      <w:r w:rsidRPr="001F6222">
        <w:tab/>
        <w:t xml:space="preserve">ņemot vērā </w:t>
      </w:r>
      <w:r w:rsidRPr="001F6222">
        <w:rPr>
          <w:i/>
          <w:iCs/>
        </w:rPr>
        <w:t>UNESCO</w:t>
      </w:r>
      <w:r w:rsidRPr="001F6222">
        <w:t xml:space="preserve"> 2005. gada 20. oktobra Konvenciju par kultūras izpausmju daudzveidības aizsardzību un veicināšanu,</w:t>
      </w:r>
    </w:p>
    <w:p w14:paraId="2A27E902" w14:textId="77777777" w:rsidR="007A5152" w:rsidRPr="001F6222" w:rsidRDefault="007A5152" w:rsidP="007A5152">
      <w:pPr>
        <w:pStyle w:val="NormalHanging12a"/>
      </w:pPr>
      <w:r w:rsidRPr="001F6222">
        <w:t>–</w:t>
      </w:r>
      <w:r w:rsidRPr="001F6222">
        <w:tab/>
        <w:t>ņemot vērā Padomes 2025. gada 2. maija secinājumus par audiovizuālo mediju pakalpojumu un video koplietošanas platformas pakalpojumu tiesiskā regulējuma novērtējumu</w:t>
      </w:r>
      <w:r w:rsidRPr="001F6222">
        <w:rPr>
          <w:rStyle w:val="FootnoteReference"/>
        </w:rPr>
        <w:footnoteReference w:id="2"/>
      </w:r>
      <w:r w:rsidRPr="001F6222">
        <w:t>,</w:t>
      </w:r>
    </w:p>
    <w:p w14:paraId="5822AAE5" w14:textId="0D09EB09" w:rsidR="007A5152" w:rsidRPr="001F6222" w:rsidRDefault="007A5152" w:rsidP="007A5152">
      <w:pPr>
        <w:pStyle w:val="NormalHanging12a"/>
      </w:pPr>
      <w:r w:rsidRPr="001F6222">
        <w:t>–</w:t>
      </w:r>
      <w:r w:rsidRPr="001F6222">
        <w:tab/>
        <w:t>ņemot vērā jautājumu Komisijai par Audiovizuālo mediju pakalpojumu direktīvas saistībām transatlantiskajā dialogā</w:t>
      </w:r>
      <w:r w:rsidRPr="001F6222">
        <w:rPr>
          <w:rStyle w:val="FootnoteReference"/>
          <w:color w:val="000000"/>
        </w:rPr>
        <w:footnoteReference w:id="3"/>
      </w:r>
      <w:r w:rsidRPr="001F6222">
        <w:t xml:space="preserve"> (O-000026/2025 – B10</w:t>
      </w:r>
      <w:r w:rsidRPr="001F6222">
        <w:noBreakHyphen/>
      </w:r>
      <w:r w:rsidR="007D5794" w:rsidRPr="001F6222">
        <w:t>0010</w:t>
      </w:r>
      <w:r w:rsidRPr="001F6222">
        <w:t>/2025),</w:t>
      </w:r>
    </w:p>
    <w:p w14:paraId="450303BC" w14:textId="77777777" w:rsidR="007A5152" w:rsidRPr="001F6222" w:rsidRDefault="007A5152" w:rsidP="007A5152">
      <w:pPr>
        <w:pStyle w:val="NormalHanging12a"/>
      </w:pPr>
      <w:r w:rsidRPr="001F6222">
        <w:t>–</w:t>
      </w:r>
      <w:r w:rsidRPr="001F6222">
        <w:tab/>
        <w:t>ņemot vērā Reglamenta 142. panta 5. punktu un 136. panta 2. punktu,</w:t>
      </w:r>
    </w:p>
    <w:p w14:paraId="1FB31665" w14:textId="77777777" w:rsidR="007A5152" w:rsidRPr="001F6222" w:rsidRDefault="007A5152" w:rsidP="007A5152">
      <w:pPr>
        <w:pStyle w:val="NormalHanging12a"/>
      </w:pPr>
      <w:r w:rsidRPr="001F6222">
        <w:lastRenderedPageBreak/>
        <w:t>–</w:t>
      </w:r>
      <w:r w:rsidRPr="001F6222">
        <w:tab/>
        <w:t>ņemot vērā Kultūras un izglītības komitejas rezolūcijas priekšlikumu,</w:t>
      </w:r>
    </w:p>
    <w:p w14:paraId="346EE507" w14:textId="77777777" w:rsidR="007A5152" w:rsidRPr="001F6222" w:rsidRDefault="007A5152" w:rsidP="007A5152">
      <w:pPr>
        <w:pStyle w:val="NormalHanging12a"/>
      </w:pPr>
      <w:r w:rsidRPr="001F6222">
        <w:t>A.</w:t>
      </w:r>
      <w:r w:rsidRPr="001F6222">
        <w:tab/>
        <w:t>tā kā Audiovizuālo mediju pakalpojumu direktīva (AVMPD) ir ES audiovizuālās jomas politikas stūrakmens un tās mērķis ir radīt vienotu tirgu audiovizuālo mediju pakalpojumiem ES, vienlaikus veicinot kultūru daudzveidību;</w:t>
      </w:r>
    </w:p>
    <w:p w14:paraId="1D550A32" w14:textId="77777777" w:rsidR="007A5152" w:rsidRPr="001F6222" w:rsidRDefault="007A5152" w:rsidP="007A5152">
      <w:pPr>
        <w:pStyle w:val="NormalHanging12a"/>
      </w:pPr>
      <w:r w:rsidRPr="001F6222">
        <w:t>B.</w:t>
      </w:r>
      <w:r w:rsidRPr="001F6222">
        <w:tab/>
        <w:t>tā kā AVMPD mērķis ir nodrošināt taisnīgus nosacījumus audiovizuālajā nozarē visiem, tostarp televīzijas raidorganizācijām, pakalpojumiem pēc pieprasījuma un video koplietošanas platformām; tā kā AVMPD ietver noteikumus nepilngadīgo un patērētāju aizsardzībai un vardarbības, naida runas un teroristiska satura novēršanai; tā kā AVMPD atbalsta Eiropas darbus, uzlabo pieejamību un tiecas nodrošināt valsts regulatīvo iestāžu neatkarību;</w:t>
      </w:r>
    </w:p>
    <w:p w14:paraId="6274F308" w14:textId="77777777" w:rsidR="007A5152" w:rsidRPr="001F6222" w:rsidRDefault="007A5152" w:rsidP="007A5152">
      <w:pPr>
        <w:pStyle w:val="NormalHanging12a"/>
      </w:pPr>
      <w:r w:rsidRPr="001F6222">
        <w:t>C.</w:t>
      </w:r>
      <w:r w:rsidRPr="001F6222">
        <w:tab/>
        <w:t>tā kā ir ļoti svarīgi izslēgt audiovizuālo mediju pakalpojumus no tirdzniecības sarunu darbības jomas, lai ES un tās dalībvalstis saglabātu un stiprinātu savu spēju izstrādāt un īstenot kultūras un audiovizuālo politiku, kuras mērķis ir veicināt un aizsargāt kultūru daudzveidību;</w:t>
      </w:r>
    </w:p>
    <w:p w14:paraId="3B9C7610" w14:textId="77777777" w:rsidR="007A5152" w:rsidRPr="001F6222" w:rsidRDefault="007A5152" w:rsidP="007A5152">
      <w:pPr>
        <w:pStyle w:val="NormalHanging12a"/>
      </w:pPr>
      <w:r w:rsidRPr="001F6222">
        <w:t>D.</w:t>
      </w:r>
      <w:r w:rsidRPr="001F6222">
        <w:tab/>
        <w:t>tā kā saskaņā ar AVMPD dalībvalstīm ir jānodrošina, ka to jurisdikcijā esošie pakalpojumu sniedzēji, kas nodrošina audiovizuālo mediju pakalpojumus pēc pieprasījuma, raida vismaz 30 % Eiropas darbu un piešķir šiem darbiem pienācīgu nozīmi; tā kā AVMPD arī ļauj dalībvalstīm pieprasīt ārvalstu audiovizuālo mediju pakalpojumu sniedzējiem, kuru mērķauditorija ir to teritorijā, sniegt finansiālu ieguldījumu Eiropas darbu radīšanā;</w:t>
      </w:r>
    </w:p>
    <w:p w14:paraId="7C6A1CD3" w14:textId="77777777" w:rsidR="007A5152" w:rsidRPr="001F6222" w:rsidRDefault="007A5152" w:rsidP="007A5152">
      <w:pPr>
        <w:pStyle w:val="NormalHanging12a"/>
      </w:pPr>
      <w:r w:rsidRPr="001F6222">
        <w:t>E.</w:t>
      </w:r>
      <w:r w:rsidRPr="001F6222">
        <w:tab/>
        <w:t>tā kā Digitālo pakalpojumu aktā un E–komercijas direktīvā ir izklāstīti vispārīgi noteikumi tiešsaistes starpniekiem, savukārt AVMPD ir paredzēti īpaši noteikumi attiecībā uz audiovizuālo saturu; tā kā AVMPD arī turpmāk vajadzētu būt galvenajam tiesiskajam regulējumam daudzveidīga, taisnīga, droša un konkurētspējīga audiovizuālo mediju tirgus atbalstam ES un neatkarīga un kultūras ziņā bagāta Eiropas satura veicināšanai;</w:t>
      </w:r>
    </w:p>
    <w:p w14:paraId="0DE0C2C4" w14:textId="77777777" w:rsidR="007A5152" w:rsidRPr="001F6222" w:rsidRDefault="007A5152" w:rsidP="007A5152">
      <w:pPr>
        <w:pStyle w:val="NormalHanging12a"/>
      </w:pPr>
      <w:r w:rsidRPr="001F6222">
        <w:t>F.</w:t>
      </w:r>
      <w:r w:rsidRPr="001F6222">
        <w:tab/>
        <w:t xml:space="preserve">tā kā ASV prezidenta Donalda </w:t>
      </w:r>
      <w:proofErr w:type="spellStart"/>
      <w:r w:rsidRPr="001F6222">
        <w:t>Trampa</w:t>
      </w:r>
      <w:proofErr w:type="spellEnd"/>
      <w:r w:rsidRPr="001F6222">
        <w:t xml:space="preserve"> 2025. gada 21. februāra memoranda “</w:t>
      </w:r>
      <w:proofErr w:type="spellStart"/>
      <w:r w:rsidRPr="001F6222">
        <w:rPr>
          <w:i/>
          <w:iCs/>
        </w:rPr>
        <w:t>Defending</w:t>
      </w:r>
      <w:proofErr w:type="spellEnd"/>
      <w:r w:rsidRPr="001F6222">
        <w:rPr>
          <w:i/>
          <w:iCs/>
        </w:rPr>
        <w:t xml:space="preserve"> American </w:t>
      </w:r>
      <w:proofErr w:type="spellStart"/>
      <w:r w:rsidRPr="001F6222">
        <w:rPr>
          <w:i/>
          <w:iCs/>
        </w:rPr>
        <w:t>Companies</w:t>
      </w:r>
      <w:proofErr w:type="spellEnd"/>
      <w:r w:rsidRPr="001F6222">
        <w:rPr>
          <w:i/>
          <w:iCs/>
        </w:rPr>
        <w:t xml:space="preserve"> </w:t>
      </w:r>
      <w:proofErr w:type="spellStart"/>
      <w:r w:rsidRPr="001F6222">
        <w:rPr>
          <w:i/>
          <w:iCs/>
        </w:rPr>
        <w:t>and</w:t>
      </w:r>
      <w:proofErr w:type="spellEnd"/>
      <w:r w:rsidRPr="001F6222">
        <w:rPr>
          <w:i/>
          <w:iCs/>
        </w:rPr>
        <w:t xml:space="preserve"> </w:t>
      </w:r>
      <w:proofErr w:type="spellStart"/>
      <w:r w:rsidRPr="001F6222">
        <w:rPr>
          <w:i/>
          <w:iCs/>
        </w:rPr>
        <w:t>Innovators</w:t>
      </w:r>
      <w:proofErr w:type="spellEnd"/>
      <w:r w:rsidRPr="001F6222">
        <w:rPr>
          <w:i/>
          <w:iCs/>
        </w:rPr>
        <w:t xml:space="preserve"> </w:t>
      </w:r>
      <w:proofErr w:type="spellStart"/>
      <w:r w:rsidRPr="001F6222">
        <w:rPr>
          <w:i/>
          <w:iCs/>
        </w:rPr>
        <w:t>From</w:t>
      </w:r>
      <w:proofErr w:type="spellEnd"/>
      <w:r w:rsidRPr="001F6222">
        <w:rPr>
          <w:i/>
          <w:iCs/>
        </w:rPr>
        <w:t xml:space="preserve"> </w:t>
      </w:r>
      <w:proofErr w:type="spellStart"/>
      <w:r w:rsidRPr="001F6222">
        <w:rPr>
          <w:i/>
          <w:iCs/>
        </w:rPr>
        <w:t>Overseas</w:t>
      </w:r>
      <w:proofErr w:type="spellEnd"/>
      <w:r w:rsidRPr="001F6222">
        <w:rPr>
          <w:i/>
          <w:iCs/>
        </w:rPr>
        <w:t xml:space="preserve"> </w:t>
      </w:r>
      <w:proofErr w:type="spellStart"/>
      <w:r w:rsidRPr="001F6222">
        <w:rPr>
          <w:i/>
          <w:iCs/>
        </w:rPr>
        <w:t>Extortion</w:t>
      </w:r>
      <w:proofErr w:type="spellEnd"/>
      <w:r w:rsidRPr="001F6222">
        <w:rPr>
          <w:i/>
          <w:iCs/>
        </w:rPr>
        <w:t xml:space="preserve"> </w:t>
      </w:r>
      <w:proofErr w:type="spellStart"/>
      <w:r w:rsidRPr="001F6222">
        <w:rPr>
          <w:i/>
          <w:iCs/>
        </w:rPr>
        <w:t>and</w:t>
      </w:r>
      <w:proofErr w:type="spellEnd"/>
      <w:r w:rsidRPr="001F6222">
        <w:rPr>
          <w:i/>
          <w:iCs/>
        </w:rPr>
        <w:t xml:space="preserve"> </w:t>
      </w:r>
      <w:proofErr w:type="spellStart"/>
      <w:r w:rsidRPr="001F6222">
        <w:rPr>
          <w:i/>
          <w:iCs/>
        </w:rPr>
        <w:t>Unfair</w:t>
      </w:r>
      <w:proofErr w:type="spellEnd"/>
      <w:r w:rsidRPr="001F6222">
        <w:rPr>
          <w:i/>
          <w:iCs/>
        </w:rPr>
        <w:t xml:space="preserve"> </w:t>
      </w:r>
      <w:proofErr w:type="spellStart"/>
      <w:r w:rsidRPr="001F6222">
        <w:rPr>
          <w:i/>
          <w:iCs/>
        </w:rPr>
        <w:t>Fines</w:t>
      </w:r>
      <w:proofErr w:type="spellEnd"/>
      <w:r w:rsidRPr="001F6222">
        <w:rPr>
          <w:i/>
          <w:iCs/>
        </w:rPr>
        <w:t xml:space="preserve"> </w:t>
      </w:r>
      <w:proofErr w:type="spellStart"/>
      <w:r w:rsidRPr="001F6222">
        <w:rPr>
          <w:i/>
          <w:iCs/>
        </w:rPr>
        <w:t>and</w:t>
      </w:r>
      <w:proofErr w:type="spellEnd"/>
      <w:r w:rsidRPr="001F6222">
        <w:rPr>
          <w:i/>
          <w:iCs/>
        </w:rPr>
        <w:t xml:space="preserve"> </w:t>
      </w:r>
      <w:proofErr w:type="spellStart"/>
      <w:r w:rsidRPr="001F6222">
        <w:rPr>
          <w:i/>
          <w:iCs/>
        </w:rPr>
        <w:t>Penalties</w:t>
      </w:r>
      <w:proofErr w:type="spellEnd"/>
      <w:r w:rsidRPr="001F6222">
        <w:t>” (“Amerikas uzņēmumu un novatoru aizsardzība pret ārvalstu veiktu izspiešanu un netaisnīgu naudassodu un sodu noteikšanu”) mērķis ir uzskaitīt praksi, kas tiek uzskatīta par diskriminējošu ASV uzņēmumiem, tostarp pienākumus, kas vērsti uz straumēšanas pakalpojumiem; tā kā Amerikas Savienoto Valstu tirdzniecības pārstāvis ASV Nacionālās tirdzniecības aplēses 2025. gada ziņojumā ir norādījis, ka AVMPD ir ārējās tirdzniecības šķērslis;</w:t>
      </w:r>
    </w:p>
    <w:p w14:paraId="029C9347" w14:textId="77777777" w:rsidR="007A5152" w:rsidRPr="001F6222" w:rsidRDefault="007A5152" w:rsidP="007A5152">
      <w:pPr>
        <w:pStyle w:val="NormalHanging12a"/>
      </w:pPr>
      <w:r w:rsidRPr="001F6222">
        <w:t>G.</w:t>
      </w:r>
      <w:r w:rsidRPr="001F6222">
        <w:tab/>
        <w:t>tā kā ASV administrācija, pamatojoties uz kļūdainu novērtējumu, ir atzinusi AVMPD par tirdzniecības šķērsli, lai gan direktīvas noteikumi neitrālā un nediskriminējošā veidā attiecas uz visiem tirgus dalībniekiem — gan vietējiem, gan ārvalstu —, tādējādi nodrošinot godīgu konkurenci un vienlīdzīgus konkurences apstākļus;</w:t>
      </w:r>
    </w:p>
    <w:p w14:paraId="4BCAB580" w14:textId="77777777" w:rsidR="007A5152" w:rsidRPr="001F6222" w:rsidRDefault="007A5152" w:rsidP="007A5152">
      <w:pPr>
        <w:pStyle w:val="NormalHanging12a"/>
      </w:pPr>
      <w:r w:rsidRPr="001F6222">
        <w:t>H.</w:t>
      </w:r>
      <w:r w:rsidRPr="001F6222">
        <w:tab/>
        <w:t>tā kā prezidents D. </w:t>
      </w:r>
      <w:proofErr w:type="spellStart"/>
      <w:r w:rsidRPr="001F6222">
        <w:t>Tramps</w:t>
      </w:r>
      <w:proofErr w:type="spellEnd"/>
      <w:r w:rsidRPr="001F6222">
        <w:t xml:space="preserve"> ir arī paziņojis par savu nodomu piemērot 100 % nodokli filmām, kas uzņemtas ārpus Amerikas Savienotajām Valstīm;</w:t>
      </w:r>
    </w:p>
    <w:p w14:paraId="3AA1DDDF" w14:textId="77777777" w:rsidR="007A5152" w:rsidRPr="001F6222" w:rsidRDefault="007A5152" w:rsidP="007A5152">
      <w:pPr>
        <w:pStyle w:val="NormalHanging12a"/>
      </w:pPr>
      <w:r w:rsidRPr="001F6222">
        <w:t>I.</w:t>
      </w:r>
      <w:r w:rsidRPr="001F6222">
        <w:tab/>
        <w:t xml:space="preserve">tā kā 2023. gadā 69 % kinoteātros Eiropā demonstrēto filmu bija ASV filmas; tā kā 9 no 10 vadošajām televīzijas un </w:t>
      </w:r>
      <w:proofErr w:type="spellStart"/>
      <w:r w:rsidRPr="001F6222">
        <w:t>pieprasījumvideo</w:t>
      </w:r>
      <w:proofErr w:type="spellEnd"/>
      <w:r w:rsidRPr="001F6222">
        <w:t xml:space="preserve"> grupām, kas darbojas Eiropā, pieder ASV </w:t>
      </w:r>
      <w:r w:rsidRPr="001F6222">
        <w:lastRenderedPageBreak/>
        <w:t xml:space="preserve">uzņēmumiem; tā kā 85 % laika, ko eiropieši velta </w:t>
      </w:r>
      <w:proofErr w:type="spellStart"/>
      <w:r w:rsidRPr="001F6222">
        <w:t>pieprasījumvideo</w:t>
      </w:r>
      <w:proofErr w:type="spellEnd"/>
      <w:r w:rsidRPr="001F6222">
        <w:t xml:space="preserve"> abonēšanas platformām, ir koncentrēti uz trim ASV straumēšanas pakalpojumiem;</w:t>
      </w:r>
    </w:p>
    <w:p w14:paraId="6EC993D8" w14:textId="77777777" w:rsidR="007A5152" w:rsidRPr="001F6222" w:rsidRDefault="007A5152" w:rsidP="007A5152">
      <w:pPr>
        <w:pStyle w:val="NormalHanging12a"/>
      </w:pPr>
      <w:r w:rsidRPr="001F6222">
        <w:t>J.</w:t>
      </w:r>
      <w:r w:rsidRPr="001F6222">
        <w:tab/>
        <w:t>tā kā ES 2025. gada 27. jūlijā noslēdza tirdzniecības nolīgumu ar Amerikas Savienotajām Valstīm, kurā nav nevienas klauzulas, kas attiektos uz ES digitālo vai audiovizuālo regulējumu; tā kā tomēr turpmākie prezidenta D. </w:t>
      </w:r>
      <w:proofErr w:type="spellStart"/>
      <w:r w:rsidRPr="001F6222">
        <w:t>Trampa</w:t>
      </w:r>
      <w:proofErr w:type="spellEnd"/>
      <w:r w:rsidRPr="001F6222">
        <w:t xml:space="preserve"> paziņojumi, šķiet, norāda, ka viņš vēlas turpināt centienus iebilst pret regulējumu, ko ES noteikusi attiecībā uz ASV uzņēmumiem,</w:t>
      </w:r>
    </w:p>
    <w:p w14:paraId="4639AB85" w14:textId="77777777" w:rsidR="007A5152" w:rsidRPr="001F6222" w:rsidRDefault="007A5152" w:rsidP="007A5152">
      <w:pPr>
        <w:pStyle w:val="NormalHanging12a"/>
      </w:pPr>
      <w:r w:rsidRPr="001F6222">
        <w:t>1.</w:t>
      </w:r>
      <w:r w:rsidRPr="001F6222">
        <w:tab/>
        <w:t>aicina Padomi un dalībvalstis atbalstīt Komisiju, lai saistībā ar starptautiskajām tirdzniecības sarunām tā varētu aizstāvēt AVMPD un ES izņēmumu kultūras jomā, nodrošinot, ka audiovizuālo mediju pakalpojumi netiek iekļauti tirdzniecības nolīgumos paredzētajās saistībās, nolūkā saglabāt un attīstīt ES un tās dalībvalstu spēju noteikt un īstenot kultūras un audiovizuālo politiku, kuras mērķis ir veicināt un aizsargāt kultūru daudzveidību;</w:t>
      </w:r>
    </w:p>
    <w:p w14:paraId="2D75F671" w14:textId="77777777" w:rsidR="007A5152" w:rsidRPr="001F6222" w:rsidRDefault="007A5152" w:rsidP="007A5152">
      <w:pPr>
        <w:pStyle w:val="NormalHanging12a"/>
      </w:pPr>
      <w:r w:rsidRPr="001F6222">
        <w:t>2.</w:t>
      </w:r>
      <w:r w:rsidRPr="001F6222">
        <w:tab/>
        <w:t>uzsver, ka AVMPD paredzētie pasākumi ir leģitīms regulējums sabiedrības interesēs un tā mērķis ir aizsargāt kultūru daudzveidību, veicinot Eiropas darbu radīšanu un izplatīšanu, kā arī aizsargāt vārda brīvību, mediju plurālismu un demokrātiskās vērtības; uzsver, ka atkāpšanās no AVMPD principiem kaitētu Eiropas kultūras modelim, jo īpaši ņemot vērā spēcīgo starptautisko konkurenci audiovizuālo mediju nozarē;</w:t>
      </w:r>
    </w:p>
    <w:p w14:paraId="217C20D3" w14:textId="77777777" w:rsidR="007A5152" w:rsidRPr="001F6222" w:rsidRDefault="007A5152" w:rsidP="007A5152">
      <w:pPr>
        <w:pStyle w:val="NormalHanging12a"/>
      </w:pPr>
      <w:r w:rsidRPr="001F6222">
        <w:t>3.</w:t>
      </w:r>
      <w:r w:rsidRPr="001F6222">
        <w:tab/>
        <w:t>atgādina, ka saskaņā ar LESD 167. pantu kultūras politika galvenokārt ir dalībvalstu kompetencē; uzsver, ka subsidiaritātes princips ir ne tikai noteikums par kompetenču sadalījumu, bet arī būtisks aizsardzības pasākums kultūru daudzveidības aizstāvībai Savienībā un cīņai pret ārējo dalībnieku, jo īpaši Amerikas uzņēmumu, ekonomiskās un tehnoloģiskās varas koncentrāciju;</w:t>
      </w:r>
    </w:p>
    <w:p w14:paraId="3203F4FA" w14:textId="77777777" w:rsidR="007A5152" w:rsidRPr="001F6222" w:rsidRDefault="007A5152" w:rsidP="007A5152">
      <w:pPr>
        <w:pStyle w:val="NormalHanging12a"/>
      </w:pPr>
      <w:r w:rsidRPr="001F6222">
        <w:t>4.</w:t>
      </w:r>
      <w:r w:rsidRPr="001F6222">
        <w:tab/>
        <w:t>atzinīgi vērtē Padomes 2025. gada 2. maija secinājumus par audiovizuālo mediju pakalpojumu un video koplietošanas platformu pakalpojumu tiesiskā regulējuma novērtējumu, kuros Padome uzsver AVMPD izšķirošo lomu juridiskā pamata nodrošināšanā, lai aizsargātu un veicinātu daudzveidīgu, taisnīgu, drošu, uzticamu un konkurētspējīgu audiovizuālo mediju tirgu ES, vienlaikus arī nodrošinot neatkarīga, uzticama un kultūras ziņā daudzveidīga Eiropas satura pieejamību;</w:t>
      </w:r>
    </w:p>
    <w:p w14:paraId="5CD9E8BF" w14:textId="77777777" w:rsidR="007A5152" w:rsidRPr="001F6222" w:rsidRDefault="007A5152" w:rsidP="007A5152">
      <w:pPr>
        <w:pStyle w:val="NormalHanging12a"/>
      </w:pPr>
      <w:r w:rsidRPr="001F6222">
        <w:t>5.</w:t>
      </w:r>
      <w:r w:rsidRPr="001F6222">
        <w:tab/>
        <w:t>mudina Komisiju stingri noraidīt jebkādus mēģinājumus uzskatīt, ka AVMPD kropļo tirdzniecību, un mudina aizstāvēt to kā leģitīmu regulatīvu instrumentu, kas ir būtisks, lai nodrošinātu ES kultūru daudzveidības, suverenitātes un maigās varas aizsardzību gan sarunās par tirdzniecības nolīgumiem ar Amerikas Savienotajām Valstīm un to īstenošanā, gan saistībā ar AVMPD izvērtēšanu un iespējamo pārskatīšanu 2026. gadā;</w:t>
      </w:r>
    </w:p>
    <w:p w14:paraId="38C3580D" w14:textId="5A1B64A3" w:rsidR="00E365E1" w:rsidRPr="001F6222" w:rsidRDefault="007A5152" w:rsidP="001F6222">
      <w:pPr>
        <w:ind w:left="567" w:hanging="567"/>
      </w:pPr>
      <w:r w:rsidRPr="001F6222">
        <w:t>6.</w:t>
      </w:r>
      <w:r w:rsidRPr="001F6222">
        <w:tab/>
        <w:t>uzdod priekšsēdētājai šo rezolūciju nosūtīt Padomei un Komisijai, kā arī dalībvalstu valdībām un parlamentiem.</w:t>
      </w:r>
    </w:p>
    <w:sectPr w:rsidR="00E365E1" w:rsidRPr="001F6222" w:rsidSect="00E07D0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6DE3E" w14:textId="77777777" w:rsidR="00AA7595" w:rsidRPr="00E07D0F" w:rsidRDefault="00AA7595">
      <w:r w:rsidRPr="00E07D0F">
        <w:separator/>
      </w:r>
    </w:p>
  </w:endnote>
  <w:endnote w:type="continuationSeparator" w:id="0">
    <w:p w14:paraId="605E4F06" w14:textId="77777777" w:rsidR="00AA7595" w:rsidRPr="00E07D0F" w:rsidRDefault="00AA7595">
      <w:r w:rsidRPr="00E07D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833E3" w14:textId="77777777" w:rsidR="00064002" w:rsidRPr="00E07D0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78F34" w14:textId="77777777" w:rsidR="00064002" w:rsidRPr="00E07D0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D0C9D" w14:textId="77777777" w:rsidR="00064002" w:rsidRPr="00E07D0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B72D80" w14:textId="77777777" w:rsidR="00AA7595" w:rsidRPr="00E07D0F" w:rsidRDefault="00AA7595">
      <w:r w:rsidRPr="00E07D0F">
        <w:separator/>
      </w:r>
    </w:p>
  </w:footnote>
  <w:footnote w:type="continuationSeparator" w:id="0">
    <w:p w14:paraId="0CDF12FF" w14:textId="77777777" w:rsidR="00AA7595" w:rsidRPr="00E07D0F" w:rsidRDefault="00AA7595">
      <w:r w:rsidRPr="00E07D0F">
        <w:continuationSeparator/>
      </w:r>
    </w:p>
  </w:footnote>
  <w:footnote w:id="1">
    <w:p w14:paraId="7FF1A5F2" w14:textId="48772121" w:rsidR="007A5152" w:rsidRPr="00E07D0F" w:rsidRDefault="007A5152" w:rsidP="00E07D0F">
      <w:pPr>
        <w:pStyle w:val="FootnoteText"/>
        <w:ind w:left="567" w:hanging="567"/>
        <w:rPr>
          <w:sz w:val="24"/>
          <w:lang w:val="lv-LV"/>
        </w:rPr>
      </w:pPr>
      <w:r w:rsidRPr="00E07D0F">
        <w:rPr>
          <w:rStyle w:val="FootnoteReference"/>
          <w:sz w:val="24"/>
          <w:lang w:val="lv-LV"/>
        </w:rPr>
        <w:footnoteRef/>
      </w:r>
      <w:r w:rsidR="00E07D0F" w:rsidRPr="00E07D0F">
        <w:rPr>
          <w:sz w:val="24"/>
          <w:lang w:val="lv-LV"/>
        </w:rPr>
        <w:t xml:space="preserve"> </w:t>
      </w:r>
      <w:r w:rsidR="00E07D0F" w:rsidRPr="00E07D0F">
        <w:rPr>
          <w:sz w:val="24"/>
          <w:lang w:val="lv-LV"/>
        </w:rPr>
        <w:tab/>
      </w:r>
      <w:r w:rsidRPr="00E07D0F">
        <w:rPr>
          <w:sz w:val="24"/>
          <w:lang w:val="lv-LV"/>
        </w:rPr>
        <w:t>OV L 303, 28.11.2018., 69. lpp., ELI: </w:t>
      </w:r>
      <w:hyperlink r:id="rId1" w:tooltip="Sniedz piekļuvi šim dokumentam, izmantojot tā ELI URL." w:history="1">
        <w:r w:rsidRPr="00E07D0F">
          <w:rPr>
            <w:rStyle w:val="Hyperlink"/>
            <w:sz w:val="24"/>
            <w:lang w:val="lv-LV"/>
          </w:rPr>
          <w:t>http://data.europa.eu/eli/dir/2018/1808/oj</w:t>
        </w:r>
      </w:hyperlink>
      <w:r w:rsidRPr="00E07D0F">
        <w:rPr>
          <w:sz w:val="24"/>
          <w:lang w:val="lv-LV"/>
        </w:rPr>
        <w:t>.</w:t>
      </w:r>
    </w:p>
  </w:footnote>
  <w:footnote w:id="2">
    <w:p w14:paraId="74783AA8" w14:textId="0CA57EF3" w:rsidR="007A5152" w:rsidRPr="00E07D0F" w:rsidRDefault="007A5152" w:rsidP="00E07D0F">
      <w:pPr>
        <w:pStyle w:val="FootnoteText"/>
        <w:ind w:left="567" w:hanging="567"/>
        <w:rPr>
          <w:sz w:val="24"/>
          <w:lang w:val="lv-LV"/>
        </w:rPr>
      </w:pPr>
      <w:r w:rsidRPr="00E07D0F">
        <w:rPr>
          <w:rStyle w:val="FootnoteReference"/>
          <w:sz w:val="24"/>
          <w:lang w:val="lv-LV"/>
        </w:rPr>
        <w:footnoteRef/>
      </w:r>
      <w:r w:rsidR="00E07D0F" w:rsidRPr="00E07D0F">
        <w:rPr>
          <w:sz w:val="24"/>
          <w:lang w:val="lv-LV"/>
        </w:rPr>
        <w:t xml:space="preserve"> </w:t>
      </w:r>
      <w:r w:rsidR="00E07D0F" w:rsidRPr="00E07D0F">
        <w:rPr>
          <w:sz w:val="24"/>
          <w:lang w:val="lv-LV"/>
        </w:rPr>
        <w:tab/>
      </w:r>
      <w:r w:rsidRPr="00E07D0F">
        <w:rPr>
          <w:sz w:val="24"/>
          <w:lang w:val="lv-LV"/>
        </w:rPr>
        <w:t>OV C, C/2025/2954, 26.5.2025., ELI: </w:t>
      </w:r>
      <w:hyperlink r:id="rId2" w:tgtFrame="_blank" w:tooltip="Sniedz piekļuvi šim dokumentam, izmantojot tā ELI URL." w:history="1">
        <w:r w:rsidRPr="00E07D0F">
          <w:rPr>
            <w:rStyle w:val="Hyperlink"/>
            <w:sz w:val="24"/>
            <w:lang w:val="lv-LV"/>
          </w:rPr>
          <w:t>http://data.europa.eu/eli/C/2025/2954/oj</w:t>
        </w:r>
      </w:hyperlink>
      <w:r w:rsidRPr="00E07D0F">
        <w:rPr>
          <w:sz w:val="24"/>
          <w:lang w:val="lv-LV"/>
        </w:rPr>
        <w:t>.</w:t>
      </w:r>
    </w:p>
  </w:footnote>
  <w:footnote w:id="3">
    <w:p w14:paraId="436F4813" w14:textId="65702755" w:rsidR="007A5152" w:rsidRPr="00E07D0F" w:rsidRDefault="007A5152" w:rsidP="00E07D0F">
      <w:pPr>
        <w:pStyle w:val="FootnoteText"/>
        <w:ind w:left="567" w:hanging="567"/>
        <w:rPr>
          <w:sz w:val="24"/>
          <w:lang w:val="lv-LV"/>
        </w:rPr>
      </w:pPr>
      <w:r w:rsidRPr="00E07D0F">
        <w:rPr>
          <w:rStyle w:val="FootnoteReference"/>
          <w:sz w:val="24"/>
          <w:lang w:val="lv-LV"/>
        </w:rPr>
        <w:footnoteRef/>
      </w:r>
      <w:r w:rsidR="00E07D0F" w:rsidRPr="00E07D0F">
        <w:rPr>
          <w:sz w:val="24"/>
          <w:shd w:val="clear" w:color="auto" w:fill="FFFFFF"/>
          <w:lang w:val="lv-LV"/>
        </w:rPr>
        <w:t xml:space="preserve"> </w:t>
      </w:r>
      <w:r w:rsidR="00E07D0F" w:rsidRPr="00E07D0F">
        <w:rPr>
          <w:sz w:val="24"/>
          <w:shd w:val="clear" w:color="auto" w:fill="FFFFFF"/>
          <w:lang w:val="lv-LV"/>
        </w:rPr>
        <w:tab/>
      </w:r>
      <w:r w:rsidRPr="00E07D0F">
        <w:rPr>
          <w:sz w:val="24"/>
          <w:shd w:val="clear" w:color="auto" w:fill="FFFFFF"/>
          <w:lang w:val="lv-LV"/>
        </w:rPr>
        <w:t>Eiropas Parlamenta un Padomes Direktīva 2010/13/ES (2010. gada 10. marts) par to, lai koordinētu dažus dalībvalstu normatīvajos un administratīvajos aktos paredzētus noteikumus par audiovizuālo mediju pakalpojumu sniegšanu (Audiovizuālo mediju pakalpojumu direktīva) (</w:t>
      </w:r>
      <w:r w:rsidRPr="001F6222">
        <w:rPr>
          <w:rStyle w:val="Emphasis"/>
          <w:i w:val="0"/>
          <w:iCs w:val="0"/>
          <w:color w:val="333333"/>
          <w:sz w:val="24"/>
          <w:shd w:val="clear" w:color="auto" w:fill="FFFFFF"/>
          <w:lang w:val="lv-LV"/>
        </w:rPr>
        <w:t>OV L 95, 15.4.2010., 1. lpp.,</w:t>
      </w:r>
      <w:r w:rsidRPr="00E07D0F">
        <w:rPr>
          <w:sz w:val="24"/>
          <w:shd w:val="clear" w:color="auto" w:fill="FFFFFF"/>
          <w:lang w:val="lv-LV"/>
        </w:rPr>
        <w:t xml:space="preserve"> ELI: </w:t>
      </w:r>
      <w:hyperlink r:id="rId3" w:tooltip="Sniedz piekļuvi šim dokumentam, izmantojot tā ELI URL." w:history="1">
        <w:r w:rsidRPr="00E07D0F">
          <w:rPr>
            <w:rStyle w:val="Hyperlink"/>
            <w:color w:val="337AB7"/>
            <w:sz w:val="24"/>
            <w:shd w:val="clear" w:color="auto" w:fill="FFFFFF"/>
            <w:lang w:val="lv-LV"/>
          </w:rPr>
          <w:t>http://data.europa.eu/eli/dir/2010/13/oj</w:t>
        </w:r>
      </w:hyperlink>
      <w:r w:rsidRPr="00E07D0F">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25774" w14:textId="77777777" w:rsidR="00064002" w:rsidRPr="00E07D0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EE452" w14:textId="77777777" w:rsidR="00064002" w:rsidRPr="00E07D0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8D9ED" w14:textId="77777777" w:rsidR="00064002" w:rsidRPr="00E07D0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50090519">
    <w:abstractNumId w:val="9"/>
  </w:num>
  <w:num w:numId="2" w16cid:durableId="1904827465">
    <w:abstractNumId w:val="9"/>
  </w:num>
  <w:num w:numId="3" w16cid:durableId="1119228638">
    <w:abstractNumId w:val="7"/>
  </w:num>
  <w:num w:numId="4" w16cid:durableId="444351080">
    <w:abstractNumId w:val="7"/>
  </w:num>
  <w:num w:numId="5" w16cid:durableId="1376538914">
    <w:abstractNumId w:val="6"/>
  </w:num>
  <w:num w:numId="6" w16cid:durableId="17898407">
    <w:abstractNumId w:val="6"/>
  </w:num>
  <w:num w:numId="7" w16cid:durableId="512300895">
    <w:abstractNumId w:val="5"/>
  </w:num>
  <w:num w:numId="8" w16cid:durableId="1740595569">
    <w:abstractNumId w:val="5"/>
  </w:num>
  <w:num w:numId="9" w16cid:durableId="1666279894">
    <w:abstractNumId w:val="4"/>
  </w:num>
  <w:num w:numId="10" w16cid:durableId="551815799">
    <w:abstractNumId w:val="4"/>
  </w:num>
  <w:num w:numId="11" w16cid:durableId="822821338">
    <w:abstractNumId w:val="8"/>
  </w:num>
  <w:num w:numId="12" w16cid:durableId="99229952">
    <w:abstractNumId w:val="8"/>
  </w:num>
  <w:num w:numId="13" w16cid:durableId="18165813">
    <w:abstractNumId w:val="3"/>
  </w:num>
  <w:num w:numId="14" w16cid:durableId="1449160279">
    <w:abstractNumId w:val="3"/>
  </w:num>
  <w:num w:numId="15" w16cid:durableId="1233809600">
    <w:abstractNumId w:val="2"/>
  </w:num>
  <w:num w:numId="16" w16cid:durableId="1135415431">
    <w:abstractNumId w:val="2"/>
  </w:num>
  <w:num w:numId="17" w16cid:durableId="205876595">
    <w:abstractNumId w:val="1"/>
  </w:num>
  <w:num w:numId="18" w16cid:durableId="545531807">
    <w:abstractNumId w:val="1"/>
  </w:num>
  <w:num w:numId="19" w16cid:durableId="193662025">
    <w:abstractNumId w:val="0"/>
  </w:num>
  <w:num w:numId="20" w16cid:durableId="1792236888">
    <w:abstractNumId w:val="0"/>
  </w:num>
  <w:num w:numId="21" w16cid:durableId="247884606">
    <w:abstractNumId w:val="9"/>
  </w:num>
  <w:num w:numId="22" w16cid:durableId="678850963">
    <w:abstractNumId w:val="7"/>
  </w:num>
  <w:num w:numId="23" w16cid:durableId="749425108">
    <w:abstractNumId w:val="6"/>
  </w:num>
  <w:num w:numId="24" w16cid:durableId="758674147">
    <w:abstractNumId w:val="5"/>
  </w:num>
  <w:num w:numId="25" w16cid:durableId="375588899">
    <w:abstractNumId w:val="4"/>
  </w:num>
  <w:num w:numId="26" w16cid:durableId="1390810063">
    <w:abstractNumId w:val="8"/>
  </w:num>
  <w:num w:numId="27" w16cid:durableId="43792019">
    <w:abstractNumId w:val="3"/>
  </w:num>
  <w:num w:numId="28" w16cid:durableId="64031061">
    <w:abstractNumId w:val="2"/>
  </w:num>
  <w:num w:numId="29" w16cid:durableId="1445802490">
    <w:abstractNumId w:val="1"/>
  </w:num>
  <w:num w:numId="30" w16cid:durableId="221718481">
    <w:abstractNumId w:val="0"/>
  </w:num>
  <w:num w:numId="31" w16cid:durableId="1419138121">
    <w:abstractNumId w:val="9"/>
  </w:num>
  <w:num w:numId="32" w16cid:durableId="1447970581">
    <w:abstractNumId w:val="7"/>
  </w:num>
  <w:num w:numId="33" w16cid:durableId="551233236">
    <w:abstractNumId w:val="6"/>
  </w:num>
  <w:num w:numId="34" w16cid:durableId="1707367010">
    <w:abstractNumId w:val="5"/>
  </w:num>
  <w:num w:numId="35" w16cid:durableId="1075011628">
    <w:abstractNumId w:val="4"/>
  </w:num>
  <w:num w:numId="36" w16cid:durableId="1579552965">
    <w:abstractNumId w:val="8"/>
  </w:num>
  <w:num w:numId="37" w16cid:durableId="1352295278">
    <w:abstractNumId w:val="3"/>
  </w:num>
  <w:num w:numId="38" w16cid:durableId="1955940835">
    <w:abstractNumId w:val="2"/>
  </w:num>
  <w:num w:numId="39" w16cid:durableId="2120566560">
    <w:abstractNumId w:val="1"/>
  </w:num>
  <w:num w:numId="40" w16cid:durableId="1704162426">
    <w:abstractNumId w:val="0"/>
  </w:num>
  <w:num w:numId="41" w16cid:durableId="1555702709">
    <w:abstractNumId w:val="10"/>
  </w:num>
  <w:num w:numId="42" w16cid:durableId="849376369">
    <w:abstractNumId w:val="10"/>
  </w:num>
  <w:num w:numId="43" w16cid:durableId="1152480890">
    <w:abstractNumId w:val="10"/>
  </w:num>
  <w:num w:numId="44" w16cid:durableId="5018221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46/2025"/>
    <w:docVar w:name="dvlangue" w:val="LV"/>
    <w:docVar w:name="dvnumam" w:val="0"/>
    <w:docVar w:name="dvpe" w:val="775.467"/>
    <w:docVar w:name="dvtitre" w:val="Eiropas Parlamenta 2025. gada XX. XXX  rezolūcija par Audiovizuālo mediju pakalpojumu direktīvas saistībām transatlantiskajā dialogā(2025/2776(RSP))"/>
  </w:docVars>
  <w:rsids>
    <w:rsidRoot w:val="00AA7595"/>
    <w:rsid w:val="00002272"/>
    <w:rsid w:val="00064002"/>
    <w:rsid w:val="000677B9"/>
    <w:rsid w:val="000831BA"/>
    <w:rsid w:val="000A42CC"/>
    <w:rsid w:val="000B5AC3"/>
    <w:rsid w:val="000E7DD9"/>
    <w:rsid w:val="0010095E"/>
    <w:rsid w:val="00125B37"/>
    <w:rsid w:val="00187494"/>
    <w:rsid w:val="001F32AE"/>
    <w:rsid w:val="001F6222"/>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78EC"/>
    <w:rsid w:val="006631B6"/>
    <w:rsid w:val="00680577"/>
    <w:rsid w:val="006F74FA"/>
    <w:rsid w:val="00731ADD"/>
    <w:rsid w:val="00734777"/>
    <w:rsid w:val="00747932"/>
    <w:rsid w:val="00751A4A"/>
    <w:rsid w:val="00756632"/>
    <w:rsid w:val="00762C74"/>
    <w:rsid w:val="00786EC0"/>
    <w:rsid w:val="007A5152"/>
    <w:rsid w:val="007D1690"/>
    <w:rsid w:val="007D5794"/>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7595"/>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7D0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22463F"/>
  <w15:chartTrackingRefBased/>
  <w15:docId w15:val="{70F9D470-B01A-4A4F-B862-047245A57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A5152"/>
    <w:pPr>
      <w:spacing w:before="480" w:after="240"/>
    </w:pPr>
  </w:style>
  <w:style w:type="paragraph" w:customStyle="1" w:styleId="NormalBold">
    <w:name w:val="NormalBold"/>
    <w:basedOn w:val="Normal"/>
    <w:rsid w:val="007A5152"/>
    <w:rPr>
      <w:b/>
    </w:rPr>
  </w:style>
  <w:style w:type="paragraph" w:customStyle="1" w:styleId="NormalHanging12a">
    <w:name w:val="NormalHanging12a"/>
    <w:basedOn w:val="Normal"/>
    <w:rsid w:val="007A5152"/>
    <w:pPr>
      <w:spacing w:after="240"/>
      <w:ind w:left="567" w:hanging="567"/>
    </w:pPr>
  </w:style>
  <w:style w:type="character" w:styleId="Emphasis">
    <w:name w:val="Emphasis"/>
    <w:basedOn w:val="DefaultParagraphFont"/>
    <w:uiPriority w:val="20"/>
    <w:qFormat/>
    <w:rsid w:val="007A5152"/>
    <w:rPr>
      <w:i/>
      <w:iCs/>
    </w:rPr>
  </w:style>
  <w:style w:type="character" w:styleId="Hyperlink">
    <w:name w:val="Hyperlink"/>
    <w:basedOn w:val="DefaultParagraphFont"/>
    <w:uiPriority w:val="99"/>
    <w:unhideWhenUsed/>
    <w:rsid w:val="007A5152"/>
    <w:rPr>
      <w:color w:val="0000FF"/>
      <w:u w:val="single"/>
    </w:rPr>
  </w:style>
  <w:style w:type="paragraph" w:styleId="Revision">
    <w:name w:val="Revision"/>
    <w:hidden/>
    <w:uiPriority w:val="99"/>
    <w:semiHidden/>
    <w:rsid w:val="007D5794"/>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0/13/oj" TargetMode="External"/><Relationship Id="rId2" Type="http://schemas.openxmlformats.org/officeDocument/2006/relationships/hyperlink" Target="http://data.europa.eu/eli/C/2025/2954/oj" TargetMode="External"/><Relationship Id="rId1" Type="http://schemas.openxmlformats.org/officeDocument/2006/relationships/hyperlink" Target="http://data.europa.eu/eli/dir/2018/18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940</Words>
  <Characters>6400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2025-10-23T11:10:00Z</dcterms:created>
  <dcterms:modified xsi:type="dcterms:W3CDTF">2025-10-23T11:10:00Z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B10-0446/2025</vt:lpwstr>
  </property>
  <property fmtid="{D5CDD505-2E9C-101B-9397-08002B2CF9AE}" pid="4" name="&lt;Type&gt;">
    <vt:lpwstr>RR</vt:lpwstr>
  </property>
</Properties>
</file>