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19DD" w14:paraId="1F781F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A851FA" w14:textId="77777777" w:rsidR="00751A4A" w:rsidRPr="004F19DD" w:rsidRDefault="002703C1" w:rsidP="0010095E">
            <w:pPr>
              <w:pStyle w:val="EPName"/>
            </w:pPr>
            <w:r w:rsidRPr="004F19DD">
              <w:t>Parlament Europejski</w:t>
            </w:r>
          </w:p>
          <w:p w14:paraId="625DE153" w14:textId="77777777" w:rsidR="00751A4A" w:rsidRPr="004F19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19DD">
              <w:t>2024</w:t>
            </w:r>
            <w:r w:rsidR="00817416" w:rsidRPr="004F19DD">
              <w:t>-202</w:t>
            </w:r>
            <w:r w:rsidRPr="004F19DD">
              <w:t>9</w:t>
            </w:r>
          </w:p>
        </w:tc>
        <w:tc>
          <w:tcPr>
            <w:tcW w:w="2268" w:type="dxa"/>
            <w:shd w:val="clear" w:color="auto" w:fill="auto"/>
          </w:tcPr>
          <w:p w14:paraId="469A1082" w14:textId="77777777" w:rsidR="00751A4A" w:rsidRPr="004F19DD" w:rsidRDefault="00187494" w:rsidP="0010095E">
            <w:pPr>
              <w:pStyle w:val="EPLogo"/>
            </w:pPr>
            <w:r w:rsidRPr="004F19DD">
              <w:rPr>
                <w:noProof/>
                <w:lang w:eastAsia="ja-JP"/>
              </w:rPr>
              <w:drawing>
                <wp:inline distT="0" distB="0" distL="0" distR="0" wp14:anchorId="6F7F729A" wp14:editId="075C81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5E186B" w14:textId="77777777" w:rsidR="00D058B8" w:rsidRPr="004F19DD" w:rsidRDefault="00D058B8" w:rsidP="004C5D52">
      <w:pPr>
        <w:pStyle w:val="LineTop"/>
      </w:pPr>
    </w:p>
    <w:p w14:paraId="5ADB9850" w14:textId="77777777" w:rsidR="00680577" w:rsidRPr="004F19DD" w:rsidRDefault="002703C1" w:rsidP="00680577">
      <w:pPr>
        <w:pStyle w:val="EPBodyTA1"/>
      </w:pPr>
      <w:r w:rsidRPr="004F19DD">
        <w:t>TEKSTY PRZYJĘTE</w:t>
      </w:r>
    </w:p>
    <w:p w14:paraId="356F0DEE" w14:textId="77777777" w:rsidR="00D058B8" w:rsidRPr="004F19DD" w:rsidRDefault="00D058B8" w:rsidP="00D058B8">
      <w:pPr>
        <w:pStyle w:val="LineBottom"/>
      </w:pPr>
    </w:p>
    <w:p w14:paraId="00762746" w14:textId="6ED27262" w:rsidR="002703C1" w:rsidRPr="004F19DD" w:rsidRDefault="002703C1" w:rsidP="002703C1">
      <w:pPr>
        <w:pStyle w:val="ATHeading1"/>
      </w:pPr>
      <w:bookmarkStart w:id="0" w:name="TANumber"/>
      <w:r w:rsidRPr="004F19DD">
        <w:t>P10_TA(2025)0</w:t>
      </w:r>
      <w:bookmarkEnd w:id="0"/>
      <w:r w:rsidR="007429FE">
        <w:t>256</w:t>
      </w:r>
    </w:p>
    <w:p w14:paraId="1681EB7B" w14:textId="7C554B23" w:rsidR="002703C1" w:rsidRPr="004F19DD" w:rsidRDefault="002703C1" w:rsidP="002703C1">
      <w:pPr>
        <w:pStyle w:val="ATHeading2"/>
      </w:pPr>
      <w:bookmarkStart w:id="1" w:name="title"/>
      <w:r w:rsidRPr="004F19DD">
        <w:t>Obowiązki wynikające z dyrektywy o audiowizualnych usługach medialnych w dialogu</w:t>
      </w:r>
      <w:r w:rsidR="007429FE">
        <w:t xml:space="preserve"> </w:t>
      </w:r>
      <w:r w:rsidRPr="004F19DD">
        <w:t>transatlantyckim</w:t>
      </w:r>
      <w:bookmarkEnd w:id="1"/>
    </w:p>
    <w:p w14:paraId="113385F5" w14:textId="77777777" w:rsidR="002703C1" w:rsidRPr="004F19DD" w:rsidRDefault="002703C1" w:rsidP="002703C1">
      <w:pPr>
        <w:rPr>
          <w:i/>
          <w:vanish/>
        </w:rPr>
      </w:pPr>
      <w:r w:rsidRPr="004F19DD">
        <w:rPr>
          <w:i/>
        </w:rPr>
        <w:fldChar w:fldCharType="begin"/>
      </w:r>
      <w:r w:rsidRPr="004F19DD">
        <w:rPr>
          <w:i/>
        </w:rPr>
        <w:instrText xml:space="preserve"> TC"(</w:instrText>
      </w:r>
      <w:bookmarkStart w:id="2" w:name="DocNumber"/>
      <w:r w:rsidRPr="004F19DD">
        <w:rPr>
          <w:i/>
        </w:rPr>
        <w:instrText>B10-0446/2025</w:instrText>
      </w:r>
      <w:bookmarkEnd w:id="2"/>
      <w:r w:rsidRPr="004F19DD">
        <w:rPr>
          <w:i/>
        </w:rPr>
        <w:instrText xml:space="preserve">)"\l3 \n&gt; \* MERGEFORMAT </w:instrText>
      </w:r>
      <w:r w:rsidRPr="004F19DD">
        <w:rPr>
          <w:i/>
        </w:rPr>
        <w:fldChar w:fldCharType="end"/>
      </w:r>
    </w:p>
    <w:p w14:paraId="00A6CB4B" w14:textId="77777777" w:rsidR="002703C1" w:rsidRPr="004F19DD" w:rsidRDefault="002703C1" w:rsidP="002703C1">
      <w:pPr>
        <w:rPr>
          <w:vanish/>
        </w:rPr>
      </w:pPr>
      <w:bookmarkStart w:id="3" w:name="PE"/>
      <w:r w:rsidRPr="004F19DD">
        <w:rPr>
          <w:vanish/>
        </w:rPr>
        <w:t>PE775.467</w:t>
      </w:r>
      <w:bookmarkEnd w:id="3"/>
    </w:p>
    <w:p w14:paraId="19D1B412" w14:textId="74A8F95C" w:rsidR="002703C1" w:rsidRPr="004F19DD" w:rsidRDefault="002703C1" w:rsidP="002703C1">
      <w:pPr>
        <w:pStyle w:val="ATHeading3"/>
      </w:pPr>
      <w:bookmarkStart w:id="4" w:name="Sujet"/>
      <w:r w:rsidRPr="004F19DD">
        <w:t xml:space="preserve">Rezolucja Parlamentu Europejskiego z dnia </w:t>
      </w:r>
      <w:r w:rsidR="00822749">
        <w:t>23 października</w:t>
      </w:r>
      <w:r w:rsidRPr="004F19DD">
        <w:t xml:space="preserve"> 2025 r. w sprawie obowiązków wynikających z dyrektywy o audiowizualnych usługach medialnych w dialogu transatlantyckim</w:t>
      </w:r>
      <w:bookmarkEnd w:id="4"/>
      <w:r w:rsidRPr="004F19DD">
        <w:t xml:space="preserve"> </w:t>
      </w:r>
      <w:bookmarkStart w:id="5" w:name="References"/>
      <w:r w:rsidRPr="004F19DD">
        <w:t>(2025/2776(RSP))</w:t>
      </w:r>
      <w:bookmarkEnd w:id="5"/>
    </w:p>
    <w:p w14:paraId="3806F34A" w14:textId="77777777" w:rsidR="004279E1" w:rsidRPr="004F19DD" w:rsidRDefault="004279E1" w:rsidP="004279E1">
      <w:pPr>
        <w:pStyle w:val="EPComma"/>
      </w:pPr>
      <w:bookmarkStart w:id="6" w:name="TextBodyBegin"/>
      <w:bookmarkEnd w:id="6"/>
      <w:r w:rsidRPr="004F19DD">
        <w:rPr>
          <w:i/>
        </w:rPr>
        <w:t>Parlament Europejski</w:t>
      </w:r>
      <w:r w:rsidRPr="004F19DD">
        <w:t>,</w:t>
      </w:r>
    </w:p>
    <w:p w14:paraId="7DB02B6E" w14:textId="77777777" w:rsidR="004279E1" w:rsidRPr="004F19DD" w:rsidRDefault="004279E1" w:rsidP="004279E1">
      <w:pPr>
        <w:pStyle w:val="NormalHanging12a"/>
      </w:pPr>
      <w:r w:rsidRPr="004F19DD">
        <w:t>–</w:t>
      </w:r>
      <w:r w:rsidRPr="004F19DD">
        <w:tab/>
        <w:t>uwzględniając kompetencje państw członkowskich w zakresie rozwijania ambitnej polityki kulturalnej w dziedzinie audiowizualnej, zgodnie z art. 3 Traktatu o Unii Europejskiej oraz art. 6 i 167 Traktatu o funkcjonowaniu Unii Europejskiej (TFUE),</w:t>
      </w:r>
    </w:p>
    <w:p w14:paraId="6A7F1B16" w14:textId="77777777" w:rsidR="004279E1" w:rsidRPr="004F19DD" w:rsidRDefault="004279E1" w:rsidP="004279E1">
      <w:pPr>
        <w:pStyle w:val="NormalHanging12a"/>
      </w:pPr>
      <w:r w:rsidRPr="004F19DD">
        <w:t>–</w:t>
      </w:r>
      <w:r w:rsidRPr="004F19DD">
        <w:tab/>
        <w:t>uwzględniając dyrektywę Parlamentu Europejskiego i Rady (UE) 2018/1808 z dnia 14 listopada 2018 r. zmieniającą dyrektywę 2010/13/UE w sprawie koordynacji niektórych przepisów ustawowych, wykonawczych i administracyjnych państw członkowskich dotyczących świadczenia audiowizualnych usług medialnych (dyrektywa o audiowizualnych usługach medialnych) ze względu na zmianę sytuacji na rynku</w:t>
      </w:r>
      <w:r w:rsidRPr="004F19DD">
        <w:rPr>
          <w:rStyle w:val="FootnoteReference"/>
        </w:rPr>
        <w:footnoteReference w:id="1"/>
      </w:r>
      <w:r w:rsidRPr="004F19DD">
        <w:t>,</w:t>
      </w:r>
    </w:p>
    <w:p w14:paraId="293F0C36" w14:textId="77777777" w:rsidR="004279E1" w:rsidRPr="004F19DD" w:rsidRDefault="004279E1" w:rsidP="004279E1">
      <w:pPr>
        <w:pStyle w:val="NormalHanging12a"/>
      </w:pPr>
      <w:r w:rsidRPr="004F19DD">
        <w:t>–</w:t>
      </w:r>
      <w:r w:rsidRPr="004F19DD">
        <w:tab/>
        <w:t>uwzględniając konwencję UNESCO z 20 października 2005 r. w sprawie ochrony i promowania różnorodności form wyrazu kulturowego,</w:t>
      </w:r>
    </w:p>
    <w:p w14:paraId="72C438B3" w14:textId="77777777" w:rsidR="004279E1" w:rsidRPr="004F19DD" w:rsidRDefault="004279E1" w:rsidP="004279E1">
      <w:pPr>
        <w:pStyle w:val="NormalHanging12a"/>
      </w:pPr>
      <w:r w:rsidRPr="004F19DD">
        <w:t>–</w:t>
      </w:r>
      <w:r w:rsidRPr="004F19DD">
        <w:tab/>
        <w:t>uwzględniając konkluzje Rady z 2 maja 2025 r. w sprawie oceny ram prawnych dotyczących audiowizualnych usług medialnych i usług platform udostępniania wideo</w:t>
      </w:r>
      <w:r w:rsidRPr="004F19DD">
        <w:rPr>
          <w:rStyle w:val="FootnoteReference"/>
        </w:rPr>
        <w:footnoteReference w:id="2"/>
      </w:r>
      <w:r w:rsidRPr="004F19DD">
        <w:t>,</w:t>
      </w:r>
    </w:p>
    <w:p w14:paraId="6CC016FF" w14:textId="09C86B97" w:rsidR="004279E1" w:rsidRPr="004F19DD" w:rsidRDefault="004279E1" w:rsidP="004279E1">
      <w:pPr>
        <w:pStyle w:val="NormalHanging12a"/>
      </w:pPr>
      <w:r w:rsidRPr="004F19DD">
        <w:t>–</w:t>
      </w:r>
      <w:r w:rsidRPr="004F19DD">
        <w:tab/>
        <w:t>uwzględniając pytanie skierowane do Komisji w sprawie obowiązków wynikających z dyrektywy o audiowizualnych usługach medialnych</w:t>
      </w:r>
      <w:r w:rsidRPr="004F19DD">
        <w:rPr>
          <w:rStyle w:val="FootnoteReference"/>
          <w:color w:val="000000"/>
        </w:rPr>
        <w:footnoteReference w:id="3"/>
      </w:r>
      <w:r w:rsidRPr="004F19DD">
        <w:t xml:space="preserve"> w dialogu transatlantyckim (O-000026/2025 – B10-00</w:t>
      </w:r>
      <w:r w:rsidR="00822749">
        <w:t>10</w:t>
      </w:r>
      <w:r w:rsidRPr="004F19DD">
        <w:t>/2025),</w:t>
      </w:r>
    </w:p>
    <w:p w14:paraId="203F2B1A" w14:textId="77777777" w:rsidR="004279E1" w:rsidRPr="004F19DD" w:rsidRDefault="004279E1" w:rsidP="004279E1">
      <w:pPr>
        <w:pStyle w:val="NormalHanging12a"/>
      </w:pPr>
      <w:r w:rsidRPr="004F19DD">
        <w:lastRenderedPageBreak/>
        <w:t>–</w:t>
      </w:r>
      <w:r w:rsidRPr="004F19DD">
        <w:tab/>
        <w:t>uwzględniając art. 142 ust. 5 i art. 136 ust. 2 Regulaminu,</w:t>
      </w:r>
    </w:p>
    <w:p w14:paraId="32653EAA" w14:textId="77777777" w:rsidR="004279E1" w:rsidRPr="004F19DD" w:rsidRDefault="004279E1" w:rsidP="004279E1">
      <w:pPr>
        <w:pStyle w:val="NormalHanging12a"/>
      </w:pPr>
      <w:r w:rsidRPr="004F19DD">
        <w:t>–</w:t>
      </w:r>
      <w:r w:rsidRPr="004F19DD">
        <w:tab/>
        <w:t>uwzględniając projekt rezolucji Komisji Kultury i Edukacji,</w:t>
      </w:r>
    </w:p>
    <w:p w14:paraId="7121DEC4" w14:textId="77777777" w:rsidR="004279E1" w:rsidRPr="004F19DD" w:rsidRDefault="004279E1" w:rsidP="004279E1">
      <w:pPr>
        <w:pStyle w:val="NormalHanging12a"/>
      </w:pPr>
      <w:r w:rsidRPr="004F19DD">
        <w:t>A.</w:t>
      </w:r>
      <w:r w:rsidRPr="004F19DD">
        <w:tab/>
        <w:t>mając na uwadze, że dyrektywa o audiowizualnych usługach medialnych jest podstawą unijnej polityki audiowizualnej, której celem jest stworzenie jednolitego rynku audiowizualnych usług medialnych w UE i jednocześnie promowanie różnorodności kulturowej;</w:t>
      </w:r>
    </w:p>
    <w:p w14:paraId="3B6BEB55" w14:textId="77777777" w:rsidR="004279E1" w:rsidRPr="004F19DD" w:rsidRDefault="004279E1" w:rsidP="004279E1">
      <w:pPr>
        <w:pStyle w:val="NormalHanging12a"/>
      </w:pPr>
      <w:r w:rsidRPr="004F19DD">
        <w:t>B.</w:t>
      </w:r>
      <w:r w:rsidRPr="004F19DD">
        <w:tab/>
        <w:t>mając na uwadze, że dyrektywa o audiowizualnych usługach medialnych ma na celu zapewnienie sprawiedliwych warunków dla wszystkich podmiotów sektora audiowizualnego, w tym dla nadawców telewizyjnych, audiowizualnych usług medialnych na żądanie i platform udostępniania plików wideo; mając na uwadze, że dyrektywa o audiowizualnych usługach medialnych zawiera przepisy mające na celu ochronę małoletnich, ochronę konsumentów oraz zapobieganie przemocy, mowie nienawiści i treściom o charakterze terrorystycznym; mając na uwadze, że dyrektywa o audiowizualnych usługach medialnych wspiera utwory europejskie, poprawia dostępność i dąży do zapewnienia niezależności krajowych organów regulacyjnych;</w:t>
      </w:r>
    </w:p>
    <w:p w14:paraId="362FE589" w14:textId="77777777" w:rsidR="004279E1" w:rsidRPr="004F19DD" w:rsidRDefault="004279E1" w:rsidP="004279E1">
      <w:pPr>
        <w:pStyle w:val="NormalHanging12a"/>
      </w:pPr>
      <w:r w:rsidRPr="004F19DD">
        <w:t>C.</w:t>
      </w:r>
      <w:r w:rsidRPr="004F19DD">
        <w:tab/>
        <w:t>mając na uwadze, że wyłączenie audiowizualnych usług medialnych z zakresu negocjacji handlowych jest istotne, by UE i jej państwa członkowskie mogły zachować i wzmacniać swoją zdolność do opracowywania i wdrażania polityki kulturalnej i audiowizualnej służącej promowaniu i ochronie różnorodności kulturowej;</w:t>
      </w:r>
    </w:p>
    <w:p w14:paraId="66858173" w14:textId="77777777" w:rsidR="004279E1" w:rsidRPr="004F19DD" w:rsidRDefault="004279E1" w:rsidP="004279E1">
      <w:pPr>
        <w:pStyle w:val="NormalHanging12a"/>
      </w:pPr>
      <w:r w:rsidRPr="004F19DD">
        <w:t>D.</w:t>
      </w:r>
      <w:r w:rsidRPr="004F19DD">
        <w:tab/>
        <w:t>mając na uwadze, że dyrektywa o audiowizualnych usługach medialnych zobowiązuje państwa członkowskie do dopilnowania, by podlegający ich jurysdykcji dostawcy audiowizualnych usług medialnych na żądanie zapewniali w swoich katalogach co najmniej 30-procentowy udział utworów europejskich, a także odpowiednie wyeksponowanie tych utworów; mając na uwadze, że na mocy dyrektywy o audiowizualnych usługach medialnych państwom członkowskim umożliwia się nakładanie na zagranicznych dostawców audiowizualnych usług medialnych, w przypadku gdy usługi te skierowane są do odbiorców na terytorium państw członkowskich, wymogu, by wnosili wkład finansowy w produkcję utworów europejskich;</w:t>
      </w:r>
    </w:p>
    <w:p w14:paraId="2AC3F9F6" w14:textId="77777777" w:rsidR="004279E1" w:rsidRPr="004F19DD" w:rsidRDefault="004279E1" w:rsidP="004279E1">
      <w:pPr>
        <w:pStyle w:val="NormalHanging12a"/>
      </w:pPr>
      <w:r w:rsidRPr="004F19DD">
        <w:t>E.</w:t>
      </w:r>
      <w:r w:rsidRPr="004F19DD">
        <w:tab/>
        <w:t>mając na uwadze, że w akcie o usługach cyfrowych i dyrektywie o handlu elektronicznym określono ogólne zasady dotyczące pośredników internetowych, natomiast w dyrektywie o audiowizualnych usługach medialnych zapisano szczegółowe przepisy dotyczące treści audiowizualnych; mając na uwadze, że dyrektywa o audiowizualnych usługach medialnych powinna pozostać kluczowymi ramami prawnymi, które wspierają zróżnicowany, sprawiedliwy, bezpieczny i konkurencyjny rynek mediów audiowizualnych w UE oraz promują niezależne i bogate kulturowo treści europejskie;</w:t>
      </w:r>
    </w:p>
    <w:p w14:paraId="3B591C66" w14:textId="77777777" w:rsidR="004279E1" w:rsidRPr="004F19DD" w:rsidRDefault="004279E1" w:rsidP="004279E1">
      <w:pPr>
        <w:pStyle w:val="NormalHanging12a"/>
      </w:pPr>
      <w:r w:rsidRPr="004F19DD">
        <w:t>F.</w:t>
      </w:r>
      <w:r w:rsidRPr="004F19DD">
        <w:tab/>
        <w:t xml:space="preserve">mając na uwadze, że memorandum prezydenta USA Donalda </w:t>
      </w:r>
      <w:proofErr w:type="spellStart"/>
      <w:r w:rsidRPr="004F19DD">
        <w:t>Trumpa</w:t>
      </w:r>
      <w:proofErr w:type="spellEnd"/>
      <w:r w:rsidRPr="004F19DD">
        <w:t xml:space="preserve"> z 21 lutego 2025 r. pt. „</w:t>
      </w:r>
      <w:proofErr w:type="spellStart"/>
      <w:r w:rsidRPr="004F19DD">
        <w:t>Defending</w:t>
      </w:r>
      <w:proofErr w:type="spellEnd"/>
      <w:r w:rsidRPr="004F19DD">
        <w:t xml:space="preserve"> American </w:t>
      </w:r>
      <w:proofErr w:type="spellStart"/>
      <w:r w:rsidRPr="004F19DD">
        <w:t>Companies</w:t>
      </w:r>
      <w:proofErr w:type="spellEnd"/>
      <w:r w:rsidRPr="004F19DD">
        <w:t xml:space="preserve"> and </w:t>
      </w:r>
      <w:proofErr w:type="spellStart"/>
      <w:r w:rsidRPr="004F19DD">
        <w:t>Innovators</w:t>
      </w:r>
      <w:proofErr w:type="spellEnd"/>
      <w:r w:rsidRPr="004F19DD">
        <w:t xml:space="preserve"> From </w:t>
      </w:r>
      <w:proofErr w:type="spellStart"/>
      <w:r w:rsidRPr="004F19DD">
        <w:t>Overseas</w:t>
      </w:r>
      <w:proofErr w:type="spellEnd"/>
      <w:r w:rsidRPr="004F19DD">
        <w:t xml:space="preserve"> </w:t>
      </w:r>
      <w:proofErr w:type="spellStart"/>
      <w:r w:rsidRPr="004F19DD">
        <w:t>Extortion</w:t>
      </w:r>
      <w:proofErr w:type="spellEnd"/>
      <w:r w:rsidRPr="004F19DD">
        <w:t xml:space="preserve"> and </w:t>
      </w:r>
      <w:proofErr w:type="spellStart"/>
      <w:r w:rsidRPr="004F19DD">
        <w:t>Unfair</w:t>
      </w:r>
      <w:proofErr w:type="spellEnd"/>
      <w:r w:rsidRPr="004F19DD">
        <w:t xml:space="preserve"> </w:t>
      </w:r>
      <w:proofErr w:type="spellStart"/>
      <w:r w:rsidRPr="004F19DD">
        <w:t>Fines</w:t>
      </w:r>
      <w:proofErr w:type="spellEnd"/>
      <w:r w:rsidRPr="004F19DD">
        <w:t xml:space="preserve"> and </w:t>
      </w:r>
      <w:proofErr w:type="spellStart"/>
      <w:r w:rsidRPr="004F19DD">
        <w:t>Penalties</w:t>
      </w:r>
      <w:proofErr w:type="spellEnd"/>
      <w:r w:rsidRPr="004F19DD">
        <w:t xml:space="preserve">” [Obrona amerykańskich przedsiębiorstw i innowatorów przed wymuszeniami ze strony podmiotów zagranicznych oraz nieuczciwymi grzywnami i karami] ma na celu sporządzenie wykazu praktyk uznawanych za dyskryminujące amerykańskie przedsiębiorstwa, do czego zaliczono obowiązki dotyczące usług </w:t>
      </w:r>
      <w:proofErr w:type="spellStart"/>
      <w:r w:rsidRPr="004F19DD">
        <w:t>streamingowych</w:t>
      </w:r>
      <w:proofErr w:type="spellEnd"/>
      <w:r w:rsidRPr="004F19DD">
        <w:t xml:space="preserve">; mając na uwadze, że raporcie USA o krajowych </w:t>
      </w:r>
      <w:r w:rsidRPr="004F19DD">
        <w:lastRenderedPageBreak/>
        <w:t>szacunkach handlu zagranicznego (2025 r.) przedstawiciel USA ds. handlu wymienił dyrektywę o audiowizualnych usługach medialnych jako jedną z barier w handlu zagranicznym;</w:t>
      </w:r>
    </w:p>
    <w:p w14:paraId="64A33A36" w14:textId="77777777" w:rsidR="004279E1" w:rsidRPr="004F19DD" w:rsidRDefault="004279E1" w:rsidP="004279E1">
      <w:pPr>
        <w:pStyle w:val="NormalHanging12a"/>
      </w:pPr>
      <w:r w:rsidRPr="004F19DD">
        <w:t>G.</w:t>
      </w:r>
      <w:r w:rsidRPr="004F19DD">
        <w:tab/>
        <w:t>mając na uwadze, że uznanie przez administrację USA dyrektywy o audiowizualnych usługach medialnych za barierę handlową opiera się na błędnej ocenie, ponieważ przepisy dyrektywy mają zastosowanie w sposób neutralny i niedyskryminujący do wszystkich podmiotów, zarówno krajowych, jak i zagranicznych, a tym samym zapewniają uczciwą konkurencję i równe warunki działania;</w:t>
      </w:r>
    </w:p>
    <w:p w14:paraId="64FD1C8E" w14:textId="77777777" w:rsidR="004279E1" w:rsidRPr="004F19DD" w:rsidRDefault="004279E1" w:rsidP="004279E1">
      <w:pPr>
        <w:pStyle w:val="NormalHanging12a"/>
      </w:pPr>
      <w:r w:rsidRPr="004F19DD">
        <w:t>H.</w:t>
      </w:r>
      <w:r w:rsidRPr="004F19DD">
        <w:tab/>
        <w:t xml:space="preserve">mając na uwadze, że prezydent </w:t>
      </w:r>
      <w:proofErr w:type="spellStart"/>
      <w:r w:rsidRPr="004F19DD">
        <w:t>Trump</w:t>
      </w:r>
      <w:proofErr w:type="spellEnd"/>
      <w:r w:rsidRPr="004F19DD">
        <w:t xml:space="preserve"> oświadczył również, że zamierza nałożyć 100-procentowy podatek na filmy wyprodukowane poza Stanami Zjednoczonymi;</w:t>
      </w:r>
    </w:p>
    <w:p w14:paraId="5D3D65DA" w14:textId="77777777" w:rsidR="004279E1" w:rsidRPr="004F19DD" w:rsidRDefault="004279E1" w:rsidP="004279E1">
      <w:pPr>
        <w:pStyle w:val="NormalHanging12a"/>
      </w:pPr>
      <w:r w:rsidRPr="004F19DD">
        <w:t>I.</w:t>
      </w:r>
      <w:r w:rsidRPr="004F19DD">
        <w:tab/>
        <w:t xml:space="preserve">mając na uwadze, że w 2023 r. w Europie widzowie amerykańskich filmów byli nabywcami 69 % wszystkich sprzedanych biletów do kin; mając na uwadze, że 9 z 10 wiodących grup oferujących usługi telewizyjne i wideo na żądanie należy do przedsiębiorstw amerykańskich; mając na uwadze, że trzy amerykańskie usługi </w:t>
      </w:r>
      <w:proofErr w:type="spellStart"/>
      <w:r w:rsidRPr="004F19DD">
        <w:t>streamingowe</w:t>
      </w:r>
      <w:proofErr w:type="spellEnd"/>
      <w:r w:rsidRPr="004F19DD">
        <w:t xml:space="preserve"> skupiają 85 % czasu spędzanego przez Europejczyków na abonamentowych platformach wideo na żądanie;</w:t>
      </w:r>
    </w:p>
    <w:p w14:paraId="1779361D" w14:textId="77777777" w:rsidR="004279E1" w:rsidRPr="004F19DD" w:rsidRDefault="004279E1" w:rsidP="004279E1">
      <w:pPr>
        <w:pStyle w:val="NormalHanging12a"/>
      </w:pPr>
      <w:r w:rsidRPr="004F19DD">
        <w:t>J.</w:t>
      </w:r>
      <w:r w:rsidRPr="004F19DD">
        <w:tab/>
        <w:t xml:space="preserve">mając na uwadze, że 27 lipca 2025 r. UE zawarła ze Stanami Zjednoczonymi umowę handlową, która nie zawiera żadnych klauzul dotyczących unijnych regulacji cyfrowych lub audiowizualnych; mając jednak na uwadze, że późniejsze oświadczenia prezydenta </w:t>
      </w:r>
      <w:proofErr w:type="spellStart"/>
      <w:r w:rsidRPr="004F19DD">
        <w:t>Trumpa</w:t>
      </w:r>
      <w:proofErr w:type="spellEnd"/>
      <w:r w:rsidRPr="004F19DD">
        <w:t xml:space="preserve"> wydają się wskazywać, że chce on kontynuować swoje próby sprzeciwienia się wprowadzaniu przez UE regulacji dotyczących amerykańskich przedsiębiorstw;</w:t>
      </w:r>
    </w:p>
    <w:p w14:paraId="201DA8D0" w14:textId="77777777" w:rsidR="004279E1" w:rsidRPr="004F19DD" w:rsidRDefault="004279E1" w:rsidP="004279E1">
      <w:pPr>
        <w:pStyle w:val="NormalHanging12a"/>
      </w:pPr>
      <w:r w:rsidRPr="004F19DD">
        <w:t>1.</w:t>
      </w:r>
      <w:r w:rsidRPr="004F19DD">
        <w:tab/>
        <w:t>apeluje do Rady i państw członkowskich, by wspierały Komisję w obronie dyrektywy o audiowizualnych usługach medialnych i wyjątku kulturowego UE w kontekście międzynarodowych negocjacji handlowych oraz dopilnowały, by audiowizualne usługi medialne pozostały wyłączone ze zobowiązań wynikających z umów handlowych, tak aby utrzymać i rozwijać zdolności UE i jej państw członkowskich do określania i wdrażania polityki kulturalnej i audiowizualnej mającej na celu promowanie i ochronę różnorodności kulturowej;</w:t>
      </w:r>
    </w:p>
    <w:p w14:paraId="2CE208D5" w14:textId="77777777" w:rsidR="004279E1" w:rsidRPr="004F19DD" w:rsidRDefault="004279E1" w:rsidP="004279E1">
      <w:pPr>
        <w:pStyle w:val="NormalHanging12a"/>
      </w:pPr>
      <w:r w:rsidRPr="004F19DD">
        <w:t>2.</w:t>
      </w:r>
      <w:r w:rsidRPr="004F19DD">
        <w:tab/>
        <w:t>podkreśla, że środki przewidziane w dyrektywie o audiowizualnych usługach medialnych są uzasadnioną regulacją w interesie publicznym, której celem jest ochrona różnorodności kulturowej poprzez zachęcanie do produkcji i rozpowszechniania utworów europejskich oraz ochrona wolności wypowiedzi, pluralizmu mediów i wartości demokratycznych; uważa, że wszelki odwrót od zasad dyrektywy o audiowizualnych usługach medialnych poważnie zaszkodziłby europejskiemu modelowi kulturowemu, zwłaszcza biorąc pod uwagę kontekst intensywnej konkurencji międzynarodowej w sektorze mediów audiowizualnych;</w:t>
      </w:r>
    </w:p>
    <w:p w14:paraId="7679A1FA" w14:textId="77777777" w:rsidR="004279E1" w:rsidRPr="004F19DD" w:rsidRDefault="004279E1" w:rsidP="004279E1">
      <w:pPr>
        <w:pStyle w:val="NormalHanging12a"/>
      </w:pPr>
      <w:r w:rsidRPr="004F19DD">
        <w:t>3.</w:t>
      </w:r>
      <w:r w:rsidRPr="004F19DD">
        <w:tab/>
        <w:t>przypomina, że zgodnie z art. 167 TFUE polityka kulturalna należy przede wszystkim do kompetencji państw członkowskich; podkreśla, że zasada pomocniczości jest nie tylko zasadą podziału kompetencji, ale stanowi także podstawowe zabezpieczenie ochrony różnorodności kulturowej w Unii i przeciwdziałania koncentracji siły gospodarczej i technologicznej przez podmioty zewnętrzne, w szczególności przedsiębiorstwa amerykańskie;</w:t>
      </w:r>
    </w:p>
    <w:p w14:paraId="3347E26A" w14:textId="77777777" w:rsidR="004279E1" w:rsidRPr="004F19DD" w:rsidRDefault="004279E1" w:rsidP="004279E1">
      <w:pPr>
        <w:pStyle w:val="NormalHanging12a"/>
      </w:pPr>
      <w:r w:rsidRPr="004F19DD">
        <w:t>4.</w:t>
      </w:r>
      <w:r w:rsidRPr="004F19DD">
        <w:tab/>
        <w:t xml:space="preserve">z zadowoleniem przyjmuje konkluzje Rady z dnia 2 maja 2025 r. w sprawie oceny ram </w:t>
      </w:r>
      <w:r w:rsidRPr="004F19DD">
        <w:lastRenderedPageBreak/>
        <w:t>prawnych dotyczących audiowizualnych usług medialnych i usług platform udostępniania wideo, w których Rada podkreśliła kluczową rolę dyrektywy o audiowizualnych usługach medialnych w zapewnianiu podstawy prawnej do ochrony i promowania zróżnicowanego, sprawiedliwego, bezpiecznego, godnego zaufania i konkurencyjnego rynku mediów audiowizualnych w UE, przy jednoczesnym zapewnieniu dostępności niezależnych, wiarygodnych i zróżnicowanych kulturowo treści europejskich;</w:t>
      </w:r>
    </w:p>
    <w:p w14:paraId="67C5DA3E" w14:textId="77777777" w:rsidR="004279E1" w:rsidRPr="004F19DD" w:rsidRDefault="004279E1" w:rsidP="004279E1">
      <w:pPr>
        <w:pStyle w:val="NormalHanging12a"/>
      </w:pPr>
      <w:r w:rsidRPr="004F19DD">
        <w:t>5.</w:t>
      </w:r>
      <w:r w:rsidRPr="004F19DD">
        <w:tab/>
        <w:t>wzywa Komisję do zdecydowanego odrzucenia wszelkich prób uznania dyrektywy o audiowizualnych usługach medialnych za zakłócenie w handlu oraz do obrony tej dyrektywy jako uzasadnionego instrumentu regulacyjnego, który ma zasadnicze znaczenie dla zapewnienia ochrony różnorodności kulturowej, suwerenności i „miękkiej siły” UE, zarówno w negocjacjach i wdrażaniu umów handlowych ze Stanami Zjednoczonymi, jak i w ramach oceny i potencjalnego przeglądu dyrektywy o audiowizualnych usługach medialnych w 2026 r.;</w:t>
      </w:r>
    </w:p>
    <w:p w14:paraId="2C525F48" w14:textId="08835530" w:rsidR="004F19DD" w:rsidRPr="004F19DD" w:rsidRDefault="004279E1" w:rsidP="004F19DD">
      <w:pPr>
        <w:pStyle w:val="NormalHanging12a"/>
      </w:pPr>
      <w:r w:rsidRPr="004F19DD">
        <w:t>6.</w:t>
      </w:r>
      <w:r w:rsidRPr="004F19DD">
        <w:tab/>
        <w:t>zobowiązuje swoją przewodniczącą do przekazania niniejszej rezolucji Radzie i Komisji oraz rządom i parlamentom państw członkowskich.</w:t>
      </w:r>
    </w:p>
    <w:p w14:paraId="6B0C9A1F" w14:textId="1BBC62D3" w:rsidR="00E365E1" w:rsidRPr="004F19DD" w:rsidRDefault="00E365E1" w:rsidP="002703C1"/>
    <w:sectPr w:rsidR="00E365E1" w:rsidRPr="004F19DD" w:rsidSect="004F19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380B6" w14:textId="77777777" w:rsidR="002703C1" w:rsidRPr="004F19DD" w:rsidRDefault="002703C1">
      <w:r w:rsidRPr="004F19DD">
        <w:separator/>
      </w:r>
    </w:p>
  </w:endnote>
  <w:endnote w:type="continuationSeparator" w:id="0">
    <w:p w14:paraId="61ABAC32" w14:textId="77777777" w:rsidR="002703C1" w:rsidRPr="004F19DD" w:rsidRDefault="002703C1">
      <w:r w:rsidRPr="004F19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078E5" w14:textId="77777777" w:rsidR="00064002" w:rsidRPr="004F19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1B11A" w14:textId="77777777" w:rsidR="00064002" w:rsidRPr="004F19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629E" w14:textId="77777777" w:rsidR="00064002" w:rsidRPr="004F19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66154" w14:textId="77777777" w:rsidR="002703C1" w:rsidRPr="004F19DD" w:rsidRDefault="002703C1">
      <w:r w:rsidRPr="004F19DD">
        <w:separator/>
      </w:r>
    </w:p>
  </w:footnote>
  <w:footnote w:type="continuationSeparator" w:id="0">
    <w:p w14:paraId="02CD5EA5" w14:textId="77777777" w:rsidR="002703C1" w:rsidRPr="004F19DD" w:rsidRDefault="002703C1">
      <w:r w:rsidRPr="004F19DD">
        <w:continuationSeparator/>
      </w:r>
    </w:p>
  </w:footnote>
  <w:footnote w:id="1">
    <w:p w14:paraId="6F5B3DE1" w14:textId="68A0CA3F" w:rsidR="004279E1" w:rsidRPr="004F19DD" w:rsidRDefault="004279E1" w:rsidP="004F19DD">
      <w:pPr>
        <w:pStyle w:val="FootnoteText"/>
        <w:ind w:left="567" w:hanging="567"/>
        <w:rPr>
          <w:sz w:val="24"/>
          <w:lang w:val="pl-PL"/>
        </w:rPr>
      </w:pPr>
      <w:r w:rsidRPr="004F19DD">
        <w:rPr>
          <w:rStyle w:val="FootnoteReference"/>
          <w:sz w:val="24"/>
          <w:lang w:val="pl-PL"/>
        </w:rPr>
        <w:footnoteRef/>
      </w:r>
      <w:r w:rsidR="004F19DD" w:rsidRPr="004F19DD">
        <w:rPr>
          <w:sz w:val="24"/>
          <w:lang w:val="pl-PL"/>
        </w:rPr>
        <w:t xml:space="preserve"> </w:t>
      </w:r>
      <w:r w:rsidR="004F19DD" w:rsidRPr="004F19DD">
        <w:rPr>
          <w:sz w:val="24"/>
          <w:lang w:val="pl-PL"/>
        </w:rPr>
        <w:tab/>
      </w:r>
      <w:r w:rsidRPr="004F19DD">
        <w:rPr>
          <w:sz w:val="24"/>
          <w:lang w:val="pl-PL"/>
        </w:rPr>
        <w:t>Dz.U. L 303 z 28.11.2018, s. 69, ELI: </w:t>
      </w:r>
      <w:hyperlink r:id="rId1" w:tooltip="Gives access to this document through its ELI URI." w:history="1">
        <w:r w:rsidRPr="004F19DD">
          <w:rPr>
            <w:rStyle w:val="Hyperlink"/>
            <w:sz w:val="24"/>
            <w:lang w:val="pl-PL"/>
          </w:rPr>
          <w:t>http://data.europa.eu/eli/dir/2018/1808/oj</w:t>
        </w:r>
      </w:hyperlink>
      <w:r w:rsidRPr="004F19DD">
        <w:rPr>
          <w:sz w:val="24"/>
          <w:lang w:val="pl-PL"/>
        </w:rPr>
        <w:t>.</w:t>
      </w:r>
    </w:p>
  </w:footnote>
  <w:footnote w:id="2">
    <w:p w14:paraId="1A61DB8C" w14:textId="57A3136F" w:rsidR="004279E1" w:rsidRPr="004F19DD" w:rsidRDefault="004279E1" w:rsidP="004F19DD">
      <w:pPr>
        <w:pStyle w:val="FootnoteText"/>
        <w:ind w:left="567" w:hanging="567"/>
        <w:rPr>
          <w:sz w:val="24"/>
          <w:lang w:val="pl-PL"/>
        </w:rPr>
      </w:pPr>
      <w:r w:rsidRPr="004F19DD">
        <w:rPr>
          <w:rStyle w:val="FootnoteReference"/>
          <w:sz w:val="24"/>
          <w:lang w:val="pl-PL"/>
        </w:rPr>
        <w:footnoteRef/>
      </w:r>
      <w:r w:rsidR="004F19DD" w:rsidRPr="004F19DD">
        <w:rPr>
          <w:sz w:val="24"/>
          <w:lang w:val="pl-PL"/>
        </w:rPr>
        <w:t xml:space="preserve"> </w:t>
      </w:r>
      <w:r w:rsidR="004F19DD" w:rsidRPr="004F19DD">
        <w:rPr>
          <w:sz w:val="24"/>
          <w:lang w:val="pl-PL"/>
        </w:rPr>
        <w:tab/>
      </w:r>
      <w:r w:rsidRPr="004F19DD">
        <w:rPr>
          <w:sz w:val="24"/>
          <w:lang w:val="pl-PL"/>
        </w:rPr>
        <w:t>Dz.U. C, C/2025/2954, 26.5.2025, ELI: </w:t>
      </w:r>
      <w:r w:rsidR="007429FE">
        <w:fldChar w:fldCharType="begin"/>
      </w:r>
      <w:r w:rsidR="007429FE" w:rsidRPr="007429FE">
        <w:rPr>
          <w:lang w:val="pl-PL"/>
        </w:rPr>
        <w:instrText>HYPERLINK "http://data.europa.eu/eli/C/2025/2954/oj" \t "_blank" \o "Gives access to this document through its ELI URI."</w:instrText>
      </w:r>
      <w:r w:rsidR="007429FE">
        <w:fldChar w:fldCharType="separate"/>
      </w:r>
      <w:r w:rsidRPr="004F19DD">
        <w:rPr>
          <w:rStyle w:val="Hyperlink"/>
          <w:sz w:val="24"/>
          <w:lang w:val="pl-PL"/>
        </w:rPr>
        <w:t>http://data.europa.eu/eli/C/2025/2954/oj</w:t>
      </w:r>
      <w:r w:rsidR="007429FE">
        <w:rPr>
          <w:rStyle w:val="Hyperlink"/>
          <w:sz w:val="24"/>
          <w:lang w:val="pl-PL"/>
        </w:rPr>
        <w:fldChar w:fldCharType="end"/>
      </w:r>
      <w:r w:rsidRPr="004F19DD">
        <w:rPr>
          <w:sz w:val="24"/>
          <w:lang w:val="pl-PL"/>
        </w:rPr>
        <w:t>.</w:t>
      </w:r>
    </w:p>
  </w:footnote>
  <w:footnote w:id="3">
    <w:p w14:paraId="3730589C" w14:textId="3619D5BE" w:rsidR="004279E1" w:rsidRPr="004F19DD" w:rsidRDefault="004279E1" w:rsidP="004F19DD">
      <w:pPr>
        <w:pStyle w:val="FootnoteText"/>
        <w:ind w:left="567" w:hanging="567"/>
        <w:rPr>
          <w:sz w:val="24"/>
          <w:lang w:val="pl-PL"/>
        </w:rPr>
      </w:pPr>
      <w:r w:rsidRPr="004F19DD">
        <w:rPr>
          <w:rStyle w:val="FootnoteReference"/>
          <w:sz w:val="24"/>
          <w:lang w:val="pl-PL"/>
        </w:rPr>
        <w:footnoteRef/>
      </w:r>
      <w:r w:rsidR="004F19DD" w:rsidRPr="004F19DD">
        <w:rPr>
          <w:sz w:val="24"/>
          <w:shd w:val="clear" w:color="auto" w:fill="FFFFFF"/>
          <w:lang w:val="pl-PL"/>
        </w:rPr>
        <w:t xml:space="preserve"> </w:t>
      </w:r>
      <w:r w:rsidR="004F19DD" w:rsidRPr="004F19DD">
        <w:rPr>
          <w:sz w:val="24"/>
          <w:shd w:val="clear" w:color="auto" w:fill="FFFFFF"/>
          <w:lang w:val="pl-PL"/>
        </w:rPr>
        <w:tab/>
      </w:r>
      <w:r w:rsidRPr="004F19DD">
        <w:rPr>
          <w:sz w:val="24"/>
          <w:shd w:val="clear" w:color="auto" w:fill="FFFFFF"/>
          <w:lang w:val="pl-PL"/>
        </w:rPr>
        <w:t>Dyrektywa Parlamentu Europejskiego i Rady 2010/13/UE z dnia 10 marca 2010 r. w sprawie koordynacji niektórych przepisów ustawowych, wykonawczych i administracyjnych państw członkowskich dotyczących świadczenia audiowizualnych usług medialnych (dyrektywa o audiowizualnych usługach medialnych) (</w:t>
      </w:r>
      <w:r w:rsidRPr="004F19DD">
        <w:rPr>
          <w:rStyle w:val="Emphasis"/>
          <w:color w:val="333333"/>
          <w:sz w:val="24"/>
          <w:shd w:val="clear" w:color="auto" w:fill="FFFFFF"/>
          <w:lang w:val="pl-PL"/>
        </w:rPr>
        <w:t xml:space="preserve">Dz.U. L 95 z 15.4.2010, s. 1, </w:t>
      </w:r>
      <w:r w:rsidRPr="004F19DD">
        <w:rPr>
          <w:sz w:val="24"/>
          <w:shd w:val="clear" w:color="auto" w:fill="FFFFFF"/>
          <w:lang w:val="pl-PL"/>
        </w:rPr>
        <w:t>ELI: </w:t>
      </w:r>
      <w:r w:rsidR="007429FE">
        <w:fldChar w:fldCharType="begin"/>
      </w:r>
      <w:r w:rsidR="007429FE" w:rsidRPr="007429FE">
        <w:rPr>
          <w:lang w:val="pl-PL"/>
        </w:rPr>
        <w:instrText>HYPERLINK "http://data.europa.eu/eli/dir/2010/13/oj" \o "Gives access to this document through its ELI URI."</w:instrText>
      </w:r>
      <w:r w:rsidR="007429FE">
        <w:fldChar w:fldCharType="separate"/>
      </w:r>
      <w:r w:rsidRPr="004F19DD">
        <w:rPr>
          <w:rStyle w:val="Hyperlink"/>
          <w:color w:val="337AB7"/>
          <w:sz w:val="24"/>
          <w:shd w:val="clear" w:color="auto" w:fill="FFFFFF"/>
          <w:lang w:val="pl-PL"/>
        </w:rPr>
        <w:t>http://data.europa.eu/eli/dir/2010/13/oj</w:t>
      </w:r>
      <w:r w:rsidR="007429FE">
        <w:rPr>
          <w:rStyle w:val="Hyperlink"/>
          <w:color w:val="337AB7"/>
          <w:sz w:val="24"/>
          <w:shd w:val="clear" w:color="auto" w:fill="FFFFFF"/>
          <w:lang w:val="pl-PL"/>
        </w:rPr>
        <w:fldChar w:fldCharType="end"/>
      </w:r>
      <w:r w:rsidRPr="004F19DD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9EC0" w14:textId="77777777" w:rsidR="00064002" w:rsidRPr="004F19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935C" w14:textId="77777777" w:rsidR="00064002" w:rsidRPr="004F19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EAB55" w14:textId="77777777" w:rsidR="00064002" w:rsidRPr="004F19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2496307">
    <w:abstractNumId w:val="9"/>
  </w:num>
  <w:num w:numId="2" w16cid:durableId="1415013940">
    <w:abstractNumId w:val="9"/>
  </w:num>
  <w:num w:numId="3" w16cid:durableId="399867423">
    <w:abstractNumId w:val="7"/>
  </w:num>
  <w:num w:numId="4" w16cid:durableId="572273996">
    <w:abstractNumId w:val="7"/>
  </w:num>
  <w:num w:numId="5" w16cid:durableId="2033919619">
    <w:abstractNumId w:val="6"/>
  </w:num>
  <w:num w:numId="6" w16cid:durableId="595789919">
    <w:abstractNumId w:val="6"/>
  </w:num>
  <w:num w:numId="7" w16cid:durableId="2068796174">
    <w:abstractNumId w:val="5"/>
  </w:num>
  <w:num w:numId="8" w16cid:durableId="378630729">
    <w:abstractNumId w:val="5"/>
  </w:num>
  <w:num w:numId="9" w16cid:durableId="331640868">
    <w:abstractNumId w:val="4"/>
  </w:num>
  <w:num w:numId="10" w16cid:durableId="1023899029">
    <w:abstractNumId w:val="4"/>
  </w:num>
  <w:num w:numId="11" w16cid:durableId="1672102435">
    <w:abstractNumId w:val="8"/>
  </w:num>
  <w:num w:numId="12" w16cid:durableId="82534248">
    <w:abstractNumId w:val="8"/>
  </w:num>
  <w:num w:numId="13" w16cid:durableId="1087725715">
    <w:abstractNumId w:val="3"/>
  </w:num>
  <w:num w:numId="14" w16cid:durableId="1785680">
    <w:abstractNumId w:val="3"/>
  </w:num>
  <w:num w:numId="15" w16cid:durableId="291594260">
    <w:abstractNumId w:val="2"/>
  </w:num>
  <w:num w:numId="16" w16cid:durableId="647175541">
    <w:abstractNumId w:val="2"/>
  </w:num>
  <w:num w:numId="17" w16cid:durableId="1310552957">
    <w:abstractNumId w:val="1"/>
  </w:num>
  <w:num w:numId="18" w16cid:durableId="1502623092">
    <w:abstractNumId w:val="1"/>
  </w:num>
  <w:num w:numId="19" w16cid:durableId="561603905">
    <w:abstractNumId w:val="0"/>
  </w:num>
  <w:num w:numId="20" w16cid:durableId="548227423">
    <w:abstractNumId w:val="0"/>
  </w:num>
  <w:num w:numId="21" w16cid:durableId="582567858">
    <w:abstractNumId w:val="9"/>
  </w:num>
  <w:num w:numId="22" w16cid:durableId="2045790407">
    <w:abstractNumId w:val="7"/>
  </w:num>
  <w:num w:numId="23" w16cid:durableId="1518274870">
    <w:abstractNumId w:val="6"/>
  </w:num>
  <w:num w:numId="24" w16cid:durableId="1180775325">
    <w:abstractNumId w:val="5"/>
  </w:num>
  <w:num w:numId="25" w16cid:durableId="1339312979">
    <w:abstractNumId w:val="4"/>
  </w:num>
  <w:num w:numId="26" w16cid:durableId="1952663915">
    <w:abstractNumId w:val="8"/>
  </w:num>
  <w:num w:numId="27" w16cid:durableId="44456343">
    <w:abstractNumId w:val="3"/>
  </w:num>
  <w:num w:numId="28" w16cid:durableId="1256205722">
    <w:abstractNumId w:val="2"/>
  </w:num>
  <w:num w:numId="29" w16cid:durableId="292054619">
    <w:abstractNumId w:val="1"/>
  </w:num>
  <w:num w:numId="30" w16cid:durableId="1605267719">
    <w:abstractNumId w:val="0"/>
  </w:num>
  <w:num w:numId="31" w16cid:durableId="888493729">
    <w:abstractNumId w:val="9"/>
  </w:num>
  <w:num w:numId="32" w16cid:durableId="1879391063">
    <w:abstractNumId w:val="7"/>
  </w:num>
  <w:num w:numId="33" w16cid:durableId="1853104419">
    <w:abstractNumId w:val="6"/>
  </w:num>
  <w:num w:numId="34" w16cid:durableId="515730298">
    <w:abstractNumId w:val="5"/>
  </w:num>
  <w:num w:numId="35" w16cid:durableId="1251695657">
    <w:abstractNumId w:val="4"/>
  </w:num>
  <w:num w:numId="36" w16cid:durableId="727191418">
    <w:abstractNumId w:val="8"/>
  </w:num>
  <w:num w:numId="37" w16cid:durableId="2060131469">
    <w:abstractNumId w:val="3"/>
  </w:num>
  <w:num w:numId="38" w16cid:durableId="245650539">
    <w:abstractNumId w:val="2"/>
  </w:num>
  <w:num w:numId="39" w16cid:durableId="821578579">
    <w:abstractNumId w:val="1"/>
  </w:num>
  <w:num w:numId="40" w16cid:durableId="884365921">
    <w:abstractNumId w:val="0"/>
  </w:num>
  <w:num w:numId="41" w16cid:durableId="577205283">
    <w:abstractNumId w:val="10"/>
  </w:num>
  <w:num w:numId="42" w16cid:durableId="682710556">
    <w:abstractNumId w:val="10"/>
  </w:num>
  <w:num w:numId="43" w16cid:durableId="862210211">
    <w:abstractNumId w:val="10"/>
  </w:num>
  <w:num w:numId="44" w16cid:durableId="993765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PL"/>
    <w:docVar w:name="dvnumam" w:val="0"/>
    <w:docVar w:name="dvpe" w:val="775.467"/>
    <w:docVar w:name="dvtitre" w:val="Rezolucja Parlamentu Europejskiego z dnia  2025 r. w sprawie obowiązków wynikających z dyrektywy o audiowizualnych usługach medialnych w dialogu transatlantyckim(2025/2776(RSP))"/>
  </w:docVars>
  <w:rsids>
    <w:rsidRoot w:val="002703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3C1"/>
    <w:rsid w:val="002767FF"/>
    <w:rsid w:val="002B18FE"/>
    <w:rsid w:val="002B5493"/>
    <w:rsid w:val="00343214"/>
    <w:rsid w:val="00361C00"/>
    <w:rsid w:val="00395FA1"/>
    <w:rsid w:val="003B5E2E"/>
    <w:rsid w:val="003E15D4"/>
    <w:rsid w:val="00411CCE"/>
    <w:rsid w:val="0041666E"/>
    <w:rsid w:val="00421060"/>
    <w:rsid w:val="004279E1"/>
    <w:rsid w:val="00471C19"/>
    <w:rsid w:val="004867E3"/>
    <w:rsid w:val="00494A28"/>
    <w:rsid w:val="004C0004"/>
    <w:rsid w:val="004C5D52"/>
    <w:rsid w:val="004F19D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29FE"/>
    <w:rsid w:val="00747932"/>
    <w:rsid w:val="00751A4A"/>
    <w:rsid w:val="00756632"/>
    <w:rsid w:val="00762C74"/>
    <w:rsid w:val="00786EC0"/>
    <w:rsid w:val="007D1690"/>
    <w:rsid w:val="007E22AD"/>
    <w:rsid w:val="00817416"/>
    <w:rsid w:val="00822749"/>
    <w:rsid w:val="00842779"/>
    <w:rsid w:val="00865F67"/>
    <w:rsid w:val="00881A7B"/>
    <w:rsid w:val="008840E5"/>
    <w:rsid w:val="00887B3E"/>
    <w:rsid w:val="008C2AC6"/>
    <w:rsid w:val="00930C23"/>
    <w:rsid w:val="00931096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D2CE5B"/>
  <w15:chartTrackingRefBased/>
  <w15:docId w15:val="{A6706798-35F9-4627-A814-BA025B239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79E1"/>
    <w:pPr>
      <w:spacing w:before="480" w:after="240"/>
    </w:pPr>
  </w:style>
  <w:style w:type="paragraph" w:customStyle="1" w:styleId="NormalHanging12a">
    <w:name w:val="NormalHanging12a"/>
    <w:basedOn w:val="Normal"/>
    <w:rsid w:val="004279E1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4279E1"/>
    <w:rPr>
      <w:i/>
      <w:iCs/>
    </w:rPr>
  </w:style>
  <w:style w:type="character" w:styleId="Hyperlink">
    <w:name w:val="Hyperlink"/>
    <w:basedOn w:val="DefaultParagraphFont"/>
    <w:uiPriority w:val="99"/>
    <w:unhideWhenUsed/>
    <w:rsid w:val="004279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8/18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7856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2025-10-23T13:00:00Z</dcterms:created>
  <dcterms:modified xsi:type="dcterms:W3CDTF">2025-10-23T13:00:00Z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B10-0446/2025</vt:lpwstr>
  </property>
  <property fmtid="{D5CDD505-2E9C-101B-9397-08002B2CF9AE}" pid="4" name="&lt;Type&gt;">
    <vt:lpwstr>RR</vt:lpwstr>
  </property>
</Properties>
</file>