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91A" w14:paraId="39C4C6DB" w14:textId="77777777" w:rsidTr="0010095E">
        <w:trPr>
          <w:trHeight w:hRule="exact" w:val="1418"/>
        </w:trPr>
        <w:tc>
          <w:tcPr>
            <w:tcW w:w="6804" w:type="dxa"/>
            <w:shd w:val="clear" w:color="auto" w:fill="auto"/>
            <w:vAlign w:val="center"/>
          </w:tcPr>
          <w:p w14:paraId="14B4A9BF" w14:textId="77777777" w:rsidR="00751A4A" w:rsidRPr="002B091A" w:rsidRDefault="00006F03" w:rsidP="0010095E">
            <w:pPr>
              <w:pStyle w:val="EPName"/>
            </w:pPr>
            <w:r w:rsidRPr="002B091A">
              <w:t>Europa-Parlamentet</w:t>
            </w:r>
          </w:p>
          <w:p w14:paraId="71E0B0BE" w14:textId="77777777" w:rsidR="00751A4A" w:rsidRPr="002B091A" w:rsidRDefault="005F1B17" w:rsidP="005F1B17">
            <w:pPr>
              <w:pStyle w:val="EPTerm"/>
              <w:rPr>
                <w:rStyle w:val="HideTWBExt"/>
                <w:noProof w:val="0"/>
                <w:vanish w:val="0"/>
                <w:color w:val="auto"/>
              </w:rPr>
            </w:pPr>
            <w:r w:rsidRPr="002B091A">
              <w:t>2024</w:t>
            </w:r>
            <w:r w:rsidR="00817416" w:rsidRPr="002B091A">
              <w:t>-202</w:t>
            </w:r>
            <w:r w:rsidRPr="002B091A">
              <w:t>9</w:t>
            </w:r>
          </w:p>
        </w:tc>
        <w:tc>
          <w:tcPr>
            <w:tcW w:w="2268" w:type="dxa"/>
            <w:shd w:val="clear" w:color="auto" w:fill="auto"/>
          </w:tcPr>
          <w:p w14:paraId="53E9573E" w14:textId="77777777" w:rsidR="00751A4A" w:rsidRPr="002B091A" w:rsidRDefault="00187494" w:rsidP="0010095E">
            <w:pPr>
              <w:pStyle w:val="EPLogo"/>
            </w:pPr>
            <w:r w:rsidRPr="002B091A">
              <w:rPr>
                <w:noProof/>
                <w:lang w:eastAsia="ja-JP"/>
              </w:rPr>
              <w:drawing>
                <wp:inline distT="0" distB="0" distL="0" distR="0" wp14:anchorId="67B79FE2" wp14:editId="0A7D7D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0D9786" w14:textId="77777777" w:rsidR="00D058B8" w:rsidRPr="002B091A" w:rsidRDefault="00D058B8" w:rsidP="004C5D52">
      <w:pPr>
        <w:pStyle w:val="LineTop"/>
      </w:pPr>
    </w:p>
    <w:p w14:paraId="1D7AD2F6" w14:textId="77777777" w:rsidR="00680577" w:rsidRPr="002B091A" w:rsidRDefault="00006F03" w:rsidP="00680577">
      <w:pPr>
        <w:pStyle w:val="EPBodyTA1"/>
      </w:pPr>
      <w:r w:rsidRPr="002B091A">
        <w:t>VEDTAGNE TEKSTER</w:t>
      </w:r>
    </w:p>
    <w:p w14:paraId="0BFBF4B2" w14:textId="77777777" w:rsidR="00D058B8" w:rsidRPr="002B091A" w:rsidRDefault="00D058B8" w:rsidP="00D058B8">
      <w:pPr>
        <w:pStyle w:val="LineBottom"/>
      </w:pPr>
    </w:p>
    <w:p w14:paraId="5BE71586" w14:textId="213C1BFE" w:rsidR="00006F03" w:rsidRPr="009042A2" w:rsidRDefault="00006F03" w:rsidP="00006F03">
      <w:pPr>
        <w:pStyle w:val="ATHeading1"/>
      </w:pPr>
      <w:bookmarkStart w:id="0" w:name="TANumber"/>
      <w:r w:rsidRPr="009042A2">
        <w:t>P10_</w:t>
      </w:r>
      <w:proofErr w:type="gramStart"/>
      <w:r w:rsidRPr="009042A2">
        <w:t>TA(</w:t>
      </w:r>
      <w:proofErr w:type="gramEnd"/>
      <w:r w:rsidRPr="009042A2">
        <w:t>2025)0</w:t>
      </w:r>
      <w:r w:rsidR="00D60CAD">
        <w:t>257</w:t>
      </w:r>
      <w:bookmarkEnd w:id="0"/>
    </w:p>
    <w:p w14:paraId="4B318CBF" w14:textId="2D2805CB" w:rsidR="00006F03" w:rsidRPr="009042A2" w:rsidRDefault="00C53C6B" w:rsidP="00006F03">
      <w:pPr>
        <w:pStyle w:val="ATHeading2"/>
      </w:pPr>
      <w:bookmarkStart w:id="1" w:name="title"/>
      <w:r w:rsidRPr="009042A2">
        <w:t>Stemmeafgivning</w:t>
      </w:r>
      <w:r w:rsidR="00006F03" w:rsidRPr="009042A2">
        <w:t xml:space="preserve"> ved fuldmagt på plenarmøde</w:t>
      </w:r>
      <w:r w:rsidRPr="009042A2">
        <w:t>r for medlemmer</w:t>
      </w:r>
      <w:r w:rsidR="00006F03" w:rsidRPr="009042A2">
        <w:t xml:space="preserve"> under graviditet og efter at have født</w:t>
      </w:r>
      <w:bookmarkEnd w:id="1"/>
    </w:p>
    <w:p w14:paraId="46F157C6" w14:textId="77777777" w:rsidR="00006F03" w:rsidRPr="002B091A" w:rsidRDefault="00006F03" w:rsidP="00006F03">
      <w:pPr>
        <w:rPr>
          <w:i/>
          <w:vanish/>
        </w:rPr>
      </w:pPr>
      <w:r w:rsidRPr="002B091A">
        <w:rPr>
          <w:i/>
        </w:rPr>
        <w:fldChar w:fldCharType="begin"/>
      </w:r>
      <w:r w:rsidRPr="002B091A">
        <w:rPr>
          <w:i/>
        </w:rPr>
        <w:instrText xml:space="preserve"> TC"(</w:instrText>
      </w:r>
      <w:bookmarkStart w:id="2" w:name="DocNumber"/>
      <w:r w:rsidRPr="002B091A">
        <w:rPr>
          <w:i/>
        </w:rPr>
        <w:instrText>A10-0214/2025</w:instrText>
      </w:r>
      <w:bookmarkEnd w:id="2"/>
      <w:r w:rsidRPr="002B091A">
        <w:rPr>
          <w:i/>
        </w:rPr>
        <w:instrText xml:space="preserve"> - Ordfører: Juan Fernando </w:instrText>
      </w:r>
      <w:proofErr w:type="spellStart"/>
      <w:r w:rsidRPr="002B091A">
        <w:rPr>
          <w:i/>
        </w:rPr>
        <w:instrText>López</w:instrText>
      </w:r>
      <w:proofErr w:type="spellEnd"/>
      <w:r w:rsidRPr="002B091A">
        <w:rPr>
          <w:i/>
        </w:rPr>
        <w:instrText xml:space="preserve"> </w:instrText>
      </w:r>
      <w:proofErr w:type="spellStart"/>
      <w:r w:rsidRPr="002B091A">
        <w:rPr>
          <w:i/>
        </w:rPr>
        <w:instrText>Aguilar</w:instrText>
      </w:r>
      <w:proofErr w:type="spellEnd"/>
      <w:r w:rsidRPr="002B091A">
        <w:rPr>
          <w:i/>
        </w:rPr>
        <w:instrText xml:space="preserve">)"\l3 \n&gt; \* MERGEFORMAT </w:instrText>
      </w:r>
      <w:r w:rsidRPr="002B091A">
        <w:rPr>
          <w:i/>
        </w:rPr>
        <w:fldChar w:fldCharType="end"/>
      </w:r>
    </w:p>
    <w:p w14:paraId="33C11F59" w14:textId="77777777" w:rsidR="00006F03" w:rsidRPr="002B091A" w:rsidRDefault="00006F03" w:rsidP="00006F03">
      <w:pPr>
        <w:rPr>
          <w:vanish/>
        </w:rPr>
      </w:pPr>
      <w:bookmarkStart w:id="3" w:name="Commission"/>
      <w:r w:rsidRPr="002B091A">
        <w:rPr>
          <w:vanish/>
        </w:rPr>
        <w:t>Udvalget om Konstitutionelle Anliggender</w:t>
      </w:r>
      <w:bookmarkEnd w:id="3"/>
    </w:p>
    <w:p w14:paraId="12DC59B3" w14:textId="77777777" w:rsidR="00006F03" w:rsidRPr="002B091A" w:rsidRDefault="00006F03" w:rsidP="00006F03">
      <w:pPr>
        <w:rPr>
          <w:vanish/>
        </w:rPr>
      </w:pPr>
      <w:bookmarkStart w:id="4" w:name="PE"/>
      <w:r w:rsidRPr="002B091A">
        <w:rPr>
          <w:vanish/>
        </w:rPr>
        <w:t>PE778.275</w:t>
      </w:r>
      <w:bookmarkEnd w:id="4"/>
    </w:p>
    <w:p w14:paraId="2A69DCA1" w14:textId="46B1BAA7" w:rsidR="00006F03" w:rsidRPr="009042A2" w:rsidRDefault="00006F03" w:rsidP="00006F03">
      <w:pPr>
        <w:pStyle w:val="ATHeading3"/>
      </w:pPr>
      <w:bookmarkStart w:id="5" w:name="Sujet"/>
      <w:r w:rsidRPr="009042A2">
        <w:t xml:space="preserve">Europa-Parlamentets lovgivningsmæssige beslutning af </w:t>
      </w:r>
      <w:r w:rsidR="000276A6" w:rsidRPr="009042A2">
        <w:t>13</w:t>
      </w:r>
      <w:r w:rsidRPr="009042A2">
        <w:t>. november 2025 om ændring af den europæiske valgakt for at give medlemmerne mulighed for at stemme ved fuldmagt på plenarmøde</w:t>
      </w:r>
      <w:r w:rsidR="00C31715" w:rsidRPr="009042A2">
        <w:t>r</w:t>
      </w:r>
      <w:r w:rsidRPr="009042A2">
        <w:t xml:space="preserve"> under graviditet og efter at have født</w:t>
      </w:r>
      <w:bookmarkEnd w:id="5"/>
      <w:r w:rsidRPr="009042A2">
        <w:t xml:space="preserve"> </w:t>
      </w:r>
      <w:bookmarkStart w:id="6" w:name="References"/>
      <w:r w:rsidRPr="009042A2">
        <w:t>(2025/2195(INL) – 2025/0900(APP))</w:t>
      </w:r>
      <w:bookmarkEnd w:id="6"/>
    </w:p>
    <w:p w14:paraId="0F0A7542" w14:textId="77777777" w:rsidR="001645F8" w:rsidRPr="002B091A" w:rsidRDefault="001645F8" w:rsidP="001645F8">
      <w:pPr>
        <w:pStyle w:val="EPComma"/>
      </w:pPr>
      <w:r w:rsidRPr="002B091A">
        <w:rPr>
          <w:i/>
        </w:rPr>
        <w:t>Europa-Parlamentet</w:t>
      </w:r>
      <w:r w:rsidRPr="002B091A">
        <w:t>,</w:t>
      </w:r>
    </w:p>
    <w:p w14:paraId="1F4125A4" w14:textId="32B8B8A2" w:rsidR="001645F8" w:rsidRPr="002B091A" w:rsidRDefault="001645F8" w:rsidP="001645F8">
      <w:pPr>
        <w:pStyle w:val="NormalHanging12a"/>
      </w:pPr>
      <w:r w:rsidRPr="002B091A">
        <w:t>–</w:t>
      </w:r>
      <w:r w:rsidRPr="002B091A">
        <w:tab/>
        <w:t>der henviser til traktaterne og navnlig artikel 9, 10</w:t>
      </w:r>
      <w:r w:rsidR="00C31715" w:rsidRPr="002B091A">
        <w:t xml:space="preserve"> og</w:t>
      </w:r>
      <w:r w:rsidRPr="002B091A">
        <w:t xml:space="preserve"> 14 og artikel 17, stk. 7, i traktaten om Den Europæiske Union (TEU) og artikel 20</w:t>
      </w:r>
      <w:r w:rsidR="00C31715" w:rsidRPr="002B091A">
        <w:t xml:space="preserve"> og</w:t>
      </w:r>
      <w:r w:rsidRPr="002B091A">
        <w:t xml:space="preserve"> 22</w:t>
      </w:r>
      <w:r w:rsidR="00C53C6B" w:rsidRPr="002B091A">
        <w:t>,</w:t>
      </w:r>
      <w:r w:rsidRPr="002B091A">
        <w:t xml:space="preserve"> artikel 223, stk. 1, samt artikel 225 i traktaten om Den Europæiske Unions funktionsmåde (TEUF) og artikel 2 i protokol nr. 1 om de nationale parlamenters rolle i Den Europæiske Union,</w:t>
      </w:r>
    </w:p>
    <w:p w14:paraId="214DD50E" w14:textId="738FDBC4" w:rsidR="001645F8" w:rsidRPr="002B091A" w:rsidRDefault="001645F8" w:rsidP="001645F8">
      <w:pPr>
        <w:tabs>
          <w:tab w:val="left" w:pos="567"/>
        </w:tabs>
        <w:spacing w:after="240" w:line="276" w:lineRule="auto"/>
        <w:ind w:left="567" w:hanging="567"/>
      </w:pPr>
      <w:r w:rsidRPr="002B091A">
        <w:t>–</w:t>
      </w:r>
      <w:r w:rsidRPr="002B091A">
        <w:tab/>
        <w:t>der henviser til artikel 106</w:t>
      </w:r>
      <w:r w:rsidR="00C53C6B" w:rsidRPr="002B091A">
        <w:t>A</w:t>
      </w:r>
      <w:r w:rsidRPr="002B091A">
        <w:t>, stk. 1, i traktaten om oprettelse af Det Europæiske Atomenergifællesskab,</w:t>
      </w:r>
    </w:p>
    <w:p w14:paraId="41F330B5" w14:textId="1A0A9D9E" w:rsidR="001645F8" w:rsidRPr="002B091A" w:rsidRDefault="001645F8" w:rsidP="001645F8">
      <w:pPr>
        <w:pStyle w:val="NormalHanging12a"/>
      </w:pPr>
      <w:r w:rsidRPr="002B091A">
        <w:t>–</w:t>
      </w:r>
      <w:r w:rsidRPr="002B091A">
        <w:tab/>
        <w:t xml:space="preserve">der henviser til akten om almindelige direkte valg af </w:t>
      </w:r>
      <w:r w:rsidR="00C31715" w:rsidRPr="002B091A">
        <w:t xml:space="preserve">medlemmerne af </w:t>
      </w:r>
      <w:r w:rsidRPr="002B091A">
        <w:t xml:space="preserve">Europa-Parlamentet (i det følgende benævnt "valgakten"), knyttet til Rådets afgørelse 76/787/EKSF, EØF, </w:t>
      </w:r>
      <w:proofErr w:type="spellStart"/>
      <w:r w:rsidRPr="002B091A">
        <w:t>Euratom</w:t>
      </w:r>
      <w:proofErr w:type="spellEnd"/>
      <w:r w:rsidRPr="002B091A">
        <w:t>, af 20. september 1976 som ændret, særlig artikel 6,</w:t>
      </w:r>
    </w:p>
    <w:p w14:paraId="29A0798E" w14:textId="77777777" w:rsidR="001645F8" w:rsidRPr="002B091A" w:rsidRDefault="001645F8" w:rsidP="001645F8">
      <w:pPr>
        <w:pStyle w:val="NormalHanging12a"/>
      </w:pPr>
      <w:r w:rsidRPr="002B091A">
        <w:t>–</w:t>
      </w:r>
      <w:r w:rsidRPr="002B091A">
        <w:tab/>
        <w:t>der henviser til artikel 5 i Europa-Parlamentets afgørelse af 28. september 2005 om vedtagelse af statutten for Europa-Parlamentets medlemmer</w:t>
      </w:r>
      <w:r w:rsidRPr="002B091A">
        <w:rPr>
          <w:rStyle w:val="FootnoteReference"/>
        </w:rPr>
        <w:footnoteReference w:id="1"/>
      </w:r>
      <w:r w:rsidRPr="002B091A">
        <w:t>,</w:t>
      </w:r>
    </w:p>
    <w:p w14:paraId="0C640259" w14:textId="4A345098" w:rsidR="001645F8" w:rsidRPr="002B091A" w:rsidRDefault="001645F8" w:rsidP="00EB1A6C">
      <w:pPr>
        <w:pStyle w:val="NoSpacing"/>
        <w:spacing w:before="120" w:after="240"/>
        <w:ind w:left="567" w:hanging="567"/>
        <w:rPr>
          <w:rFonts w:ascii="Times New Roman" w:eastAsia="Times New Roman" w:hAnsi="Times New Roman" w:cs="Times New Roman"/>
          <w:sz w:val="24"/>
          <w:szCs w:val="20"/>
        </w:rPr>
      </w:pPr>
      <w:r w:rsidRPr="002B091A">
        <w:rPr>
          <w:rFonts w:ascii="Times New Roman" w:hAnsi="Times New Roman"/>
          <w:sz w:val="24"/>
        </w:rPr>
        <w:t>–</w:t>
      </w:r>
      <w:r w:rsidRPr="002B091A">
        <w:rPr>
          <w:rFonts w:ascii="Times New Roman" w:hAnsi="Times New Roman"/>
          <w:sz w:val="24"/>
        </w:rPr>
        <w:tab/>
        <w:t xml:space="preserve">der henviser til sine tidligere beslutninger om Europa-Parlamentets </w:t>
      </w:r>
      <w:proofErr w:type="spellStart"/>
      <w:r w:rsidRPr="002B091A">
        <w:rPr>
          <w:rFonts w:ascii="Times New Roman" w:hAnsi="Times New Roman"/>
          <w:sz w:val="24"/>
        </w:rPr>
        <w:t>valgmåde</w:t>
      </w:r>
      <w:proofErr w:type="spellEnd"/>
      <w:r w:rsidRPr="002B091A">
        <w:rPr>
          <w:rFonts w:ascii="Times New Roman" w:hAnsi="Times New Roman"/>
          <w:sz w:val="24"/>
        </w:rPr>
        <w:t xml:space="preserve">, særlig sin beslutning af 15. juli 1998 om udarbejdelse af forslag til en </w:t>
      </w:r>
      <w:proofErr w:type="spellStart"/>
      <w:r w:rsidRPr="002B091A">
        <w:rPr>
          <w:rFonts w:ascii="Times New Roman" w:hAnsi="Times New Roman"/>
          <w:sz w:val="24"/>
        </w:rPr>
        <w:t>valgmåde</w:t>
      </w:r>
      <w:proofErr w:type="spellEnd"/>
      <w:r w:rsidRPr="002B091A">
        <w:rPr>
          <w:rFonts w:ascii="Times New Roman" w:hAnsi="Times New Roman"/>
          <w:sz w:val="24"/>
        </w:rPr>
        <w:t>, hvor der følges fælles principper ved valg af Europa-Parlamentets medlemmer</w:t>
      </w:r>
      <w:r w:rsidRPr="002B091A">
        <w:rPr>
          <w:rStyle w:val="FootnoteReference"/>
          <w:rFonts w:ascii="Times New Roman" w:eastAsia="Times New Roman" w:hAnsi="Times New Roman" w:cs="Times New Roman"/>
          <w:sz w:val="24"/>
          <w:szCs w:val="20"/>
          <w:lang w:eastAsia="en-GB"/>
        </w:rPr>
        <w:footnoteReference w:id="2"/>
      </w:r>
      <w:r w:rsidRPr="002B091A">
        <w:rPr>
          <w:rFonts w:ascii="Times New Roman" w:hAnsi="Times New Roman"/>
          <w:sz w:val="24"/>
        </w:rPr>
        <w:t>, sin beslutning af 22. november 2012 om valg til Europa-Parlamentet i 2014</w:t>
      </w:r>
      <w:r w:rsidRPr="002B091A">
        <w:rPr>
          <w:rStyle w:val="FootnoteReference"/>
          <w:rFonts w:ascii="Times New Roman" w:eastAsia="Times New Roman" w:hAnsi="Times New Roman" w:cs="Times New Roman"/>
          <w:sz w:val="24"/>
          <w:szCs w:val="20"/>
          <w:lang w:eastAsia="en-GB"/>
        </w:rPr>
        <w:footnoteReference w:id="3"/>
      </w:r>
      <w:r w:rsidRPr="002B091A">
        <w:rPr>
          <w:rFonts w:ascii="Times New Roman" w:hAnsi="Times New Roman"/>
          <w:sz w:val="24"/>
        </w:rPr>
        <w:t>, sin beslutning af 4. juli 2013 om forbedring af de praktiske retningslinjer for tilrettelæggelsen af valget til Europa-Parlamentet i 2014</w:t>
      </w:r>
      <w:r w:rsidRPr="002B091A">
        <w:rPr>
          <w:rStyle w:val="FootnoteReference"/>
          <w:rFonts w:ascii="Times New Roman" w:eastAsia="Times New Roman" w:hAnsi="Times New Roman" w:cs="Times New Roman"/>
          <w:sz w:val="24"/>
          <w:szCs w:val="20"/>
          <w:lang w:eastAsia="en-GB"/>
        </w:rPr>
        <w:footnoteReference w:id="4"/>
      </w:r>
      <w:r w:rsidRPr="002B091A">
        <w:rPr>
          <w:rFonts w:ascii="Times New Roman" w:hAnsi="Times New Roman"/>
          <w:sz w:val="24"/>
        </w:rPr>
        <w:t xml:space="preserve">, sin beslutning af 11. november 2015 om reform af valgloven i Den </w:t>
      </w:r>
      <w:r w:rsidRPr="002B091A">
        <w:rPr>
          <w:rFonts w:ascii="Times New Roman" w:hAnsi="Times New Roman"/>
          <w:sz w:val="24"/>
        </w:rPr>
        <w:lastRenderedPageBreak/>
        <w:t>Europæiske Union</w:t>
      </w:r>
      <w:r w:rsidRPr="002B091A">
        <w:rPr>
          <w:rStyle w:val="FootnoteReference"/>
          <w:rFonts w:ascii="Times New Roman" w:eastAsia="Times New Roman" w:hAnsi="Times New Roman" w:cs="Times New Roman"/>
          <w:sz w:val="24"/>
          <w:szCs w:val="20"/>
          <w:lang w:eastAsia="en-GB"/>
        </w:rPr>
        <w:footnoteReference w:id="5"/>
      </w:r>
      <w:r w:rsidRPr="002B091A">
        <w:rPr>
          <w:rFonts w:ascii="Times New Roman" w:hAnsi="Times New Roman"/>
          <w:sz w:val="24"/>
        </w:rPr>
        <w:t xml:space="preserve"> og sin beslutning af 3. maj 2022 om </w:t>
      </w:r>
      <w:r w:rsidR="00EB1A6C" w:rsidRPr="002B091A">
        <w:rPr>
          <w:rFonts w:ascii="Times New Roman" w:hAnsi="Times New Roman"/>
          <w:sz w:val="24"/>
        </w:rPr>
        <w:t xml:space="preserve">forslag til Rådets forordning om almindelige direkte valg af medlemmerne af Europa-Parlamentet, om ophævelse af Rådets afgørelse (76/787/EKSF, EØF, </w:t>
      </w:r>
      <w:proofErr w:type="spellStart"/>
      <w:r w:rsidR="00EB1A6C" w:rsidRPr="002B091A">
        <w:rPr>
          <w:rFonts w:ascii="Times New Roman" w:hAnsi="Times New Roman"/>
          <w:sz w:val="24"/>
        </w:rPr>
        <w:t>Euratom</w:t>
      </w:r>
      <w:proofErr w:type="spellEnd"/>
      <w:r w:rsidR="00EB1A6C" w:rsidRPr="002B091A">
        <w:rPr>
          <w:rFonts w:ascii="Times New Roman" w:hAnsi="Times New Roman"/>
          <w:sz w:val="24"/>
        </w:rPr>
        <w:t>) og akten om almindelige direkte valg af medlemmerne af Europa-Parlamentet knyttet til denne afgørelse</w:t>
      </w:r>
      <w:r w:rsidRPr="002B091A">
        <w:rPr>
          <w:rStyle w:val="FootnoteReference"/>
          <w:rFonts w:ascii="Times New Roman" w:eastAsia="Times New Roman" w:hAnsi="Times New Roman" w:cs="Times New Roman"/>
          <w:sz w:val="24"/>
          <w:szCs w:val="20"/>
          <w:lang w:eastAsia="en-GB"/>
        </w:rPr>
        <w:footnoteReference w:id="6"/>
      </w:r>
      <w:r w:rsidRPr="002B091A">
        <w:rPr>
          <w:rFonts w:ascii="Times New Roman" w:hAnsi="Times New Roman"/>
          <w:sz w:val="24"/>
        </w:rPr>
        <w:t>,</w:t>
      </w:r>
    </w:p>
    <w:p w14:paraId="73BAC7ED" w14:textId="77777777" w:rsidR="001645F8" w:rsidRPr="002B091A" w:rsidRDefault="001645F8" w:rsidP="001645F8">
      <w:pPr>
        <w:pStyle w:val="NormalHanging12a"/>
      </w:pPr>
      <w:r w:rsidRPr="002B091A">
        <w:t>–</w:t>
      </w:r>
      <w:r w:rsidRPr="002B091A">
        <w:tab/>
        <w:t>der henviser til rammeaftalen af 20. oktober 2010 om forbindelserne mellem Europa-Parlamentet og Europa-Kommissionen som ændret den 17. februar 2018</w:t>
      </w:r>
      <w:r w:rsidRPr="002B091A">
        <w:rPr>
          <w:rStyle w:val="FootnoteReference"/>
        </w:rPr>
        <w:footnoteReference w:id="7"/>
      </w:r>
      <w:r w:rsidRPr="002B091A">
        <w:t>,</w:t>
      </w:r>
    </w:p>
    <w:p w14:paraId="5F94C6C2" w14:textId="77777777" w:rsidR="001645F8" w:rsidRPr="002B091A" w:rsidRDefault="001645F8" w:rsidP="001645F8">
      <w:pPr>
        <w:pStyle w:val="NormalHanging12a"/>
      </w:pPr>
      <w:r w:rsidRPr="002B091A">
        <w:t>–</w:t>
      </w:r>
      <w:r w:rsidRPr="002B091A">
        <w:tab/>
        <w:t>der henviser til Den Europæiske Unions charter om grundlæggende rettigheder, særlig artikel 33,</w:t>
      </w:r>
    </w:p>
    <w:p w14:paraId="6999DD76" w14:textId="77777777" w:rsidR="001645F8" w:rsidRPr="002B091A" w:rsidRDefault="001645F8" w:rsidP="001645F8">
      <w:pPr>
        <w:pStyle w:val="NormalHanging12a"/>
      </w:pPr>
      <w:r w:rsidRPr="002B091A">
        <w:t>–</w:t>
      </w:r>
      <w:r w:rsidRPr="002B091A">
        <w:tab/>
        <w:t>der henviser til forretningsordenens artikel 46 og 55,</w:t>
      </w:r>
    </w:p>
    <w:p w14:paraId="4ED1E1AA" w14:textId="77777777" w:rsidR="001645F8" w:rsidRPr="002B091A" w:rsidRDefault="001645F8" w:rsidP="001645F8">
      <w:pPr>
        <w:pStyle w:val="NormalHanging12a"/>
      </w:pPr>
      <w:r w:rsidRPr="002B091A">
        <w:t>–</w:t>
      </w:r>
      <w:r w:rsidRPr="002B091A">
        <w:tab/>
        <w:t>der henviser til betænkning fra Udvalget om Konstitutionelle Anliggender (A10-0214/2025),</w:t>
      </w:r>
    </w:p>
    <w:p w14:paraId="64CB22E1" w14:textId="77777777" w:rsidR="001645F8" w:rsidRPr="002B091A" w:rsidRDefault="001645F8" w:rsidP="00EB1A6C">
      <w:pPr>
        <w:pStyle w:val="Normal12Hanging"/>
      </w:pPr>
      <w:r w:rsidRPr="002B091A">
        <w:t>A.</w:t>
      </w:r>
      <w:r w:rsidRPr="002B091A">
        <w:tab/>
        <w:t xml:space="preserve">der henviser til, at Europa-Parlamentet har ret til at tage initiativ til revidering af sin egen </w:t>
      </w:r>
      <w:proofErr w:type="spellStart"/>
      <w:r w:rsidRPr="002B091A">
        <w:t>valgmåde</w:t>
      </w:r>
      <w:proofErr w:type="spellEnd"/>
      <w:r w:rsidRPr="002B091A">
        <w:t xml:space="preserve"> og til at godkende denne;</w:t>
      </w:r>
    </w:p>
    <w:p w14:paraId="6005EFB2" w14:textId="77777777" w:rsidR="001645F8" w:rsidRPr="002B091A" w:rsidRDefault="001645F8" w:rsidP="00EB1A6C">
      <w:pPr>
        <w:pStyle w:val="Normal12Hanging"/>
      </w:pPr>
      <w:r w:rsidRPr="002B091A">
        <w:t>B.</w:t>
      </w:r>
      <w:r w:rsidRPr="002B091A">
        <w:tab/>
        <w:t xml:space="preserve">der henviser til, at muligheden for at udvikle en ensartet </w:t>
      </w:r>
      <w:proofErr w:type="spellStart"/>
      <w:r w:rsidRPr="002B091A">
        <w:t>valgmåde</w:t>
      </w:r>
      <w:proofErr w:type="spellEnd"/>
      <w:r w:rsidRPr="002B091A">
        <w:t>, som bygger på almindelige direkte valg, har været forankret i traktaterne siden 1957;</w:t>
      </w:r>
    </w:p>
    <w:p w14:paraId="5EC97753" w14:textId="5404B40E" w:rsidR="001645F8" w:rsidRPr="002B091A" w:rsidRDefault="001645F8" w:rsidP="00EB1A6C">
      <w:pPr>
        <w:pStyle w:val="Normal12Hanging"/>
      </w:pPr>
      <w:r w:rsidRPr="002B091A">
        <w:t>C.</w:t>
      </w:r>
      <w:r w:rsidRPr="002B091A">
        <w:tab/>
        <w:t xml:space="preserve">der henviser til, at reformen af Europa-Parlamentets </w:t>
      </w:r>
      <w:proofErr w:type="spellStart"/>
      <w:r w:rsidRPr="002B091A">
        <w:t>valgmåde</w:t>
      </w:r>
      <w:proofErr w:type="spellEnd"/>
      <w:r w:rsidRPr="002B091A">
        <w:t xml:space="preserve"> bør sigte mod at styrke den demokratiske dimension af valg til Europa-Parlamentet, forbedre Europa-Parlamentets funktionsmåde og styringen af Unionen, gøre Europa-Parlamentets arbejde mere legitimt og effektivt og sikre større valgmæssig ligestilling for </w:t>
      </w:r>
      <w:r w:rsidR="007F1DD5" w:rsidRPr="002B091A">
        <w:t>unions</w:t>
      </w:r>
      <w:r w:rsidRPr="002B091A">
        <w:t>borgerne;</w:t>
      </w:r>
    </w:p>
    <w:p w14:paraId="71F38810" w14:textId="77777777" w:rsidR="001645F8" w:rsidRPr="002B091A" w:rsidRDefault="001645F8" w:rsidP="00EB1A6C">
      <w:pPr>
        <w:pStyle w:val="Normal12Hanging"/>
      </w:pPr>
      <w:r w:rsidRPr="002B091A">
        <w:t>D.</w:t>
      </w:r>
      <w:r w:rsidRPr="002B091A">
        <w:tab/>
        <w:t>der henviser til, at politikker til fremme af balancen mellem arbejds- og privatliv bør bidrage til at opnå lighed mellem kønnene ved at fremme mødres deltagelse i politik;</w:t>
      </w:r>
    </w:p>
    <w:p w14:paraId="26B7B0A5" w14:textId="77777777" w:rsidR="001645F8" w:rsidRPr="002B091A" w:rsidRDefault="001645F8" w:rsidP="00EB1A6C">
      <w:pPr>
        <w:pStyle w:val="Normal12Hanging"/>
      </w:pPr>
      <w:r w:rsidRPr="002B091A">
        <w:t>E.</w:t>
      </w:r>
      <w:r w:rsidRPr="002B091A">
        <w:tab/>
        <w:t>der henviser til, at reformen af valgmåden skal overholde nærhedsprincippet og proportionalitetsprincippet;</w:t>
      </w:r>
    </w:p>
    <w:p w14:paraId="700073E5" w14:textId="77777777" w:rsidR="001645F8" w:rsidRPr="002B091A" w:rsidRDefault="001645F8" w:rsidP="00EB1A6C">
      <w:pPr>
        <w:pStyle w:val="NormalHanging12a"/>
      </w:pPr>
      <w:r w:rsidRPr="002B091A">
        <w:t>1.</w:t>
      </w:r>
      <w:r w:rsidRPr="002B091A">
        <w:tab/>
        <w:t>beslutter at styrke barselsreglerne for medlemmer af Europa-Parlamentet, der ønsker at fortsætte med at udføre deres parlamentariske opgaver;</w:t>
      </w:r>
    </w:p>
    <w:p w14:paraId="5C6AFCBE" w14:textId="77777777" w:rsidR="001645F8" w:rsidRPr="002B091A" w:rsidRDefault="001645F8" w:rsidP="00EB1A6C">
      <w:pPr>
        <w:pStyle w:val="NormalHanging12a"/>
      </w:pPr>
      <w:r w:rsidRPr="002B091A">
        <w:t>2.</w:t>
      </w:r>
      <w:r w:rsidRPr="002B091A">
        <w:tab/>
        <w:t>foreslår en målrettet revision af den europæiske valgakt, der gør det muligt for medlemmer at overdrage deres stemmeret på plenarmødet til et andet medlem efter eget valg under graviditeten og efter fødslen;</w:t>
      </w:r>
    </w:p>
    <w:p w14:paraId="0F6EFC3D" w14:textId="77777777" w:rsidR="001645F8" w:rsidRPr="002B091A" w:rsidRDefault="001645F8" w:rsidP="00EB1A6C">
      <w:pPr>
        <w:pStyle w:val="NormalHanging12a"/>
      </w:pPr>
      <w:r w:rsidRPr="002B091A">
        <w:t>3.</w:t>
      </w:r>
      <w:r w:rsidRPr="002B091A">
        <w:tab/>
        <w:t>mener, at denne reform vil gøre det muligt for medlemmerne i perioderne umiddelbart før og efter, at de er blevet mødre, fuldt ud at udøve deres mandat, hvilket vil forbedre den institutionelle retfærdighed og inklusionen i Europa-Parlamentet;</w:t>
      </w:r>
    </w:p>
    <w:p w14:paraId="2FCF6343" w14:textId="77777777" w:rsidR="001645F8" w:rsidRPr="002B091A" w:rsidRDefault="001645F8" w:rsidP="00EB1A6C">
      <w:pPr>
        <w:pStyle w:val="NormalHanging12a"/>
      </w:pPr>
      <w:r w:rsidRPr="002B091A">
        <w:t>4.</w:t>
      </w:r>
      <w:r w:rsidRPr="002B091A">
        <w:tab/>
        <w:t>vedtager det vedføjede forslag og forelægger det for Rådet;</w:t>
      </w:r>
    </w:p>
    <w:p w14:paraId="51691F9A" w14:textId="77777777" w:rsidR="001645F8" w:rsidRDefault="001645F8" w:rsidP="00EB1A6C">
      <w:pPr>
        <w:pStyle w:val="NormalHanging12a"/>
      </w:pPr>
      <w:r w:rsidRPr="002B091A">
        <w:t>5.</w:t>
      </w:r>
      <w:r w:rsidRPr="002B091A">
        <w:tab/>
        <w:t xml:space="preserve">pålægger sin formand at sende denne lovgivningsmæssige beslutning og det vedføjede forslag til Det Europæiske Råd, Rådet og Kommissionen samt medlemsstaternes </w:t>
      </w:r>
      <w:r w:rsidRPr="002B091A">
        <w:lastRenderedPageBreak/>
        <w:t>parlamenter og regeringer.</w:t>
      </w:r>
    </w:p>
    <w:p w14:paraId="421FD689" w14:textId="77777777" w:rsidR="009A3103" w:rsidRPr="002B091A" w:rsidRDefault="009A3103" w:rsidP="00EB1A6C">
      <w:pPr>
        <w:pStyle w:val="NormalHanging12a"/>
        <w:sectPr w:rsidR="009A3103" w:rsidRPr="002B091A" w:rsidSect="00096A5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760D66" w14:textId="537C58F2" w:rsidR="001645F8" w:rsidRPr="009A3103" w:rsidRDefault="001645F8" w:rsidP="009A3103">
      <w:pPr>
        <w:pStyle w:val="PageHeading"/>
        <w:jc w:val="right"/>
        <w:rPr>
          <w:rFonts w:ascii="Times New Roman" w:hAnsi="Times New Roman" w:cs="Times New Roman"/>
          <w:b w:val="0"/>
          <w:bCs/>
        </w:rPr>
      </w:pPr>
      <w:bookmarkStart w:id="7" w:name="_Toc213402169"/>
      <w:r w:rsidRPr="009A3103">
        <w:rPr>
          <w:rFonts w:ascii="Times New Roman" w:hAnsi="Times New Roman" w:cs="Times New Roman"/>
          <w:b w:val="0"/>
          <w:bCs/>
        </w:rPr>
        <w:lastRenderedPageBreak/>
        <w:t xml:space="preserve">BILAG TIL </w:t>
      </w:r>
      <w:r w:rsidR="00BB18B4" w:rsidRPr="009A3103">
        <w:rPr>
          <w:rFonts w:ascii="Times New Roman" w:hAnsi="Times New Roman" w:cs="Times New Roman"/>
          <w:b w:val="0"/>
          <w:bCs/>
        </w:rPr>
        <w:t>DEN</w:t>
      </w:r>
      <w:r w:rsidRPr="009A3103">
        <w:rPr>
          <w:rFonts w:ascii="Times New Roman" w:hAnsi="Times New Roman" w:cs="Times New Roman"/>
          <w:b w:val="0"/>
          <w:bCs/>
        </w:rPr>
        <w:t xml:space="preserve"> LOVGIVNINGSMÆSSIG</w:t>
      </w:r>
      <w:r w:rsidR="00BB18B4" w:rsidRPr="009A3103">
        <w:rPr>
          <w:rFonts w:ascii="Times New Roman" w:hAnsi="Times New Roman" w:cs="Times New Roman"/>
          <w:b w:val="0"/>
          <w:bCs/>
        </w:rPr>
        <w:t>E</w:t>
      </w:r>
      <w:r w:rsidRPr="009A3103">
        <w:rPr>
          <w:rFonts w:ascii="Times New Roman" w:hAnsi="Times New Roman" w:cs="Times New Roman"/>
          <w:b w:val="0"/>
          <w:bCs/>
        </w:rPr>
        <w:t xml:space="preserve"> BESLUTNING</w:t>
      </w:r>
      <w:bookmarkEnd w:id="7"/>
    </w:p>
    <w:p w14:paraId="7DECF4C4" w14:textId="10E7E40E" w:rsidR="001645F8" w:rsidRPr="002B091A" w:rsidRDefault="001645F8" w:rsidP="001645F8">
      <w:pPr>
        <w:pStyle w:val="NormalCenter24a"/>
        <w:rPr>
          <w:b/>
          <w:bCs/>
        </w:rPr>
      </w:pPr>
      <w:r w:rsidRPr="002B091A">
        <w:rPr>
          <w:b/>
        </w:rPr>
        <w:t>FORSLAG TIL RÅDETS AFGØRELSE</w:t>
      </w:r>
    </w:p>
    <w:p w14:paraId="067706EE" w14:textId="77777777" w:rsidR="001645F8" w:rsidRPr="002B091A" w:rsidRDefault="001645F8" w:rsidP="001645F8">
      <w:pPr>
        <w:widowControl/>
        <w:rPr>
          <w:szCs w:val="24"/>
        </w:rPr>
      </w:pPr>
      <w:r w:rsidRPr="002B091A">
        <w:rPr>
          <w:b/>
        </w:rPr>
        <w:t>med henblik på vedtagelse af bestemmelserne om ændring af akten om almindelige direkte valg af medlemmerne af Europa-Parlamentet</w:t>
      </w:r>
      <w:r w:rsidRPr="002B091A">
        <w:t xml:space="preserve"> </w:t>
      </w:r>
    </w:p>
    <w:p w14:paraId="1F519887" w14:textId="77777777" w:rsidR="001645F8" w:rsidRPr="002B091A" w:rsidRDefault="001645F8" w:rsidP="001645F8"/>
    <w:p w14:paraId="18553223" w14:textId="77777777" w:rsidR="001645F8" w:rsidRPr="002B091A" w:rsidRDefault="001645F8" w:rsidP="001645F8">
      <w:r w:rsidRPr="002B091A">
        <w:t>RÅDET FOR DEN EUROPÆISKE UNION HAR ―</w:t>
      </w:r>
    </w:p>
    <w:p w14:paraId="177119F2" w14:textId="77777777" w:rsidR="001645F8" w:rsidRPr="002B091A" w:rsidRDefault="001645F8" w:rsidP="001645F8"/>
    <w:p w14:paraId="68FD195A" w14:textId="77777777" w:rsidR="001645F8" w:rsidRPr="002B091A" w:rsidRDefault="001645F8" w:rsidP="00EB1A6C">
      <w:r w:rsidRPr="002B091A">
        <w:t>under henvisning til traktaten om Den Europæiske Unions funktionsmåde, særlig artikel 223, stk. 1,</w:t>
      </w:r>
    </w:p>
    <w:p w14:paraId="50C273A0" w14:textId="77777777" w:rsidR="001645F8" w:rsidRPr="002B091A" w:rsidRDefault="001645F8" w:rsidP="00EB1A6C"/>
    <w:p w14:paraId="4EDAAA79" w14:textId="77777777" w:rsidR="001645F8" w:rsidRPr="002B091A" w:rsidRDefault="001645F8" w:rsidP="00EB1A6C">
      <w:r w:rsidRPr="002B091A">
        <w:t>under henvisning til traktaten om oprettelse af Det Europæiske Atomenergifællesskab, særlig artikel 106A, stk. 1,</w:t>
      </w:r>
    </w:p>
    <w:p w14:paraId="35CACCA2" w14:textId="77777777" w:rsidR="001645F8" w:rsidRPr="002B091A" w:rsidRDefault="001645F8" w:rsidP="00EB1A6C"/>
    <w:p w14:paraId="4019332D" w14:textId="77777777" w:rsidR="001645F8" w:rsidRPr="002B091A" w:rsidRDefault="001645F8" w:rsidP="00EB1A6C">
      <w:r w:rsidRPr="002B091A">
        <w:t>under henvisning til forslag fra Europa-Parlamentet,</w:t>
      </w:r>
    </w:p>
    <w:p w14:paraId="21CD1466" w14:textId="77777777" w:rsidR="001645F8" w:rsidRPr="002B091A" w:rsidRDefault="001645F8" w:rsidP="00EB1A6C"/>
    <w:p w14:paraId="539458BB" w14:textId="77777777" w:rsidR="001645F8" w:rsidRPr="002B091A" w:rsidRDefault="001645F8" w:rsidP="00EB1A6C">
      <w:r w:rsidRPr="002B091A">
        <w:t>efter fremsendelse af udkast til lovgivningsmæssig retsakt til de nationale parlamenter,</w:t>
      </w:r>
    </w:p>
    <w:p w14:paraId="7D1CE94D" w14:textId="77777777" w:rsidR="001645F8" w:rsidRPr="002B091A" w:rsidRDefault="001645F8" w:rsidP="00EB1A6C"/>
    <w:p w14:paraId="592F3A57" w14:textId="77777777" w:rsidR="001645F8" w:rsidRPr="002B091A" w:rsidRDefault="001645F8" w:rsidP="00EB1A6C">
      <w:pPr>
        <w:rPr>
          <w:i/>
        </w:rPr>
      </w:pPr>
      <w:r w:rsidRPr="002B091A">
        <w:t>under henvisning til godkendelse fra Europa-Parlamentet,</w:t>
      </w:r>
    </w:p>
    <w:p w14:paraId="03DDEFC1" w14:textId="77777777" w:rsidR="001645F8" w:rsidRPr="002B091A" w:rsidRDefault="001645F8" w:rsidP="00EB1A6C"/>
    <w:p w14:paraId="744371E9" w14:textId="77777777" w:rsidR="001645F8" w:rsidRPr="002B091A" w:rsidRDefault="001645F8" w:rsidP="00EB1A6C">
      <w:r w:rsidRPr="002B091A">
        <w:t>efter en særlig lovgivningsprocedure, og</w:t>
      </w:r>
    </w:p>
    <w:p w14:paraId="5A75FDB1" w14:textId="77777777" w:rsidR="001645F8" w:rsidRPr="002B091A" w:rsidRDefault="001645F8" w:rsidP="001645F8"/>
    <w:p w14:paraId="7B92477D" w14:textId="77777777" w:rsidR="001645F8" w:rsidRPr="002B091A" w:rsidRDefault="001645F8" w:rsidP="001645F8">
      <w:r w:rsidRPr="002B091A">
        <w:t>ud fra følgende betragtninger:</w:t>
      </w:r>
    </w:p>
    <w:p w14:paraId="35CD7E99" w14:textId="77777777" w:rsidR="001645F8" w:rsidRPr="002B091A" w:rsidRDefault="001645F8" w:rsidP="001645F8"/>
    <w:p w14:paraId="277E748C" w14:textId="77777777" w:rsidR="001645F8" w:rsidRPr="002B091A" w:rsidRDefault="001645F8" w:rsidP="00EB1A6C">
      <w:r w:rsidRPr="002B091A">
        <w:t>(1) Politikker til fremme af balancen mellem arbejds- og privatliv bør bidrage til at opnå lighed mellem kønnene ved at fremme mødres deltagelse i politik.</w:t>
      </w:r>
    </w:p>
    <w:p w14:paraId="3949E4D8" w14:textId="77777777" w:rsidR="001645F8" w:rsidRPr="002B091A" w:rsidRDefault="001645F8" w:rsidP="00EB1A6C">
      <w:pPr>
        <w:pStyle w:val="ListParagraph"/>
        <w:ind w:left="0"/>
      </w:pPr>
    </w:p>
    <w:p w14:paraId="62DCFEF8" w14:textId="77777777" w:rsidR="001645F8" w:rsidRPr="002B091A" w:rsidRDefault="001645F8" w:rsidP="00EB1A6C">
      <w:r w:rsidRPr="002B091A">
        <w:t>(2) Indførelsen af en ordning for stemmeafgivning ved fuldmagt på plenarmøder vil gøre det muligt for medlemmer i perioderne umiddelbart før og efter, at de er blevet mødre, fuldt ud at udøve deres mandat ―</w:t>
      </w:r>
    </w:p>
    <w:p w14:paraId="532E5B64" w14:textId="77777777" w:rsidR="001645F8" w:rsidRPr="002B091A" w:rsidRDefault="001645F8" w:rsidP="00EB1A6C">
      <w:pPr>
        <w:pStyle w:val="ListParagraph"/>
        <w:ind w:left="0"/>
      </w:pPr>
    </w:p>
    <w:p w14:paraId="3474E95D" w14:textId="77777777" w:rsidR="001645F8" w:rsidRPr="002B091A" w:rsidRDefault="001645F8" w:rsidP="001645F8"/>
    <w:p w14:paraId="04296D0E" w14:textId="77777777" w:rsidR="001645F8" w:rsidRPr="002B091A" w:rsidRDefault="001645F8" w:rsidP="001645F8"/>
    <w:p w14:paraId="44496483" w14:textId="77777777" w:rsidR="001645F8" w:rsidRPr="002B091A" w:rsidRDefault="001645F8" w:rsidP="001645F8">
      <w:r w:rsidRPr="002B091A">
        <w:t xml:space="preserve">VEDTAGET DENNE AFGØRELSE: </w:t>
      </w:r>
    </w:p>
    <w:p w14:paraId="4EA1D8CB" w14:textId="77777777" w:rsidR="001645F8" w:rsidRPr="002B091A" w:rsidRDefault="001645F8" w:rsidP="001645F8"/>
    <w:p w14:paraId="3206D078" w14:textId="77777777" w:rsidR="001645F8" w:rsidRPr="002B091A" w:rsidRDefault="001645F8" w:rsidP="001645F8"/>
    <w:p w14:paraId="4A785493" w14:textId="77777777" w:rsidR="001645F8" w:rsidRPr="002B091A" w:rsidRDefault="001645F8" w:rsidP="001645F8">
      <w:pPr>
        <w:jc w:val="center"/>
        <w:rPr>
          <w:i/>
        </w:rPr>
      </w:pPr>
      <w:r w:rsidRPr="002B091A">
        <w:rPr>
          <w:i/>
        </w:rPr>
        <w:t>Artikel 1</w:t>
      </w:r>
    </w:p>
    <w:p w14:paraId="05516219" w14:textId="77777777" w:rsidR="001645F8" w:rsidRPr="002B091A" w:rsidRDefault="001645F8" w:rsidP="001645F8"/>
    <w:p w14:paraId="1E2D12A1" w14:textId="77777777" w:rsidR="001645F8" w:rsidRPr="002B091A" w:rsidRDefault="001645F8" w:rsidP="00EB1A6C">
      <w:r w:rsidRPr="002B091A">
        <w:t xml:space="preserve">I artikel 6, stk. 1, i akten om almindelige direkte valg af medlemmerne af Europa-Parlamentet knyttet til Rådets afgørelse 76/787/EKSF, EØF, </w:t>
      </w:r>
      <w:proofErr w:type="spellStart"/>
      <w:r w:rsidRPr="002B091A">
        <w:t>Euratom</w:t>
      </w:r>
      <w:proofErr w:type="spellEnd"/>
      <w:r w:rsidRPr="002B091A">
        <w:rPr>
          <w:rStyle w:val="FootnoteReference"/>
        </w:rPr>
        <w:footnoteReference w:id="8"/>
      </w:r>
      <w:r w:rsidRPr="002B091A">
        <w:t>, tilføjes følgende afsnit:</w:t>
      </w:r>
    </w:p>
    <w:p w14:paraId="42307125" w14:textId="77777777" w:rsidR="001645F8" w:rsidRPr="002B091A" w:rsidRDefault="001645F8" w:rsidP="001645F8"/>
    <w:p w14:paraId="57717D4B" w14:textId="77777777" w:rsidR="001645F8" w:rsidRPr="002B091A" w:rsidRDefault="001645F8" w:rsidP="00EB1A6C">
      <w:r w:rsidRPr="002B091A">
        <w:t xml:space="preserve">"Uanset første afsnit kan et medlem, der er gravid eller er nedkommet, lade sin stemmeret udøve af et andet medlem i dennes egenskab af stedfortræder, i en periode på højst tre </w:t>
      </w:r>
      <w:r w:rsidRPr="002B091A">
        <w:lastRenderedPageBreak/>
        <w:t>måneder før terminen og i en periode på højst seks måneder efter fødslen."</w:t>
      </w:r>
    </w:p>
    <w:p w14:paraId="37E092D1" w14:textId="77777777" w:rsidR="001645F8" w:rsidRPr="002B091A" w:rsidRDefault="001645F8" w:rsidP="00EB1A6C"/>
    <w:p w14:paraId="3D6D3D55" w14:textId="77777777" w:rsidR="001645F8" w:rsidRPr="002B091A" w:rsidRDefault="001645F8" w:rsidP="001645F8"/>
    <w:p w14:paraId="22D6C4D1" w14:textId="77777777" w:rsidR="001645F8" w:rsidRPr="002B091A" w:rsidRDefault="001645F8" w:rsidP="001645F8">
      <w:pPr>
        <w:keepNext/>
        <w:jc w:val="center"/>
        <w:rPr>
          <w:i/>
        </w:rPr>
      </w:pPr>
      <w:r w:rsidRPr="002B091A">
        <w:rPr>
          <w:i/>
        </w:rPr>
        <w:t>Artikel 2</w:t>
      </w:r>
    </w:p>
    <w:p w14:paraId="24493EB9" w14:textId="77777777" w:rsidR="001645F8" w:rsidRPr="002B091A" w:rsidRDefault="001645F8" w:rsidP="001645F8">
      <w:pPr>
        <w:keepNext/>
      </w:pPr>
    </w:p>
    <w:p w14:paraId="28F80CE9" w14:textId="061EE96F" w:rsidR="001645F8" w:rsidRPr="002B091A" w:rsidRDefault="001645F8" w:rsidP="001645F8">
      <w:pPr>
        <w:pStyle w:val="CommentText"/>
        <w:rPr>
          <w:color w:val="000000" w:themeColor="text1"/>
        </w:rPr>
      </w:pPr>
      <w:r w:rsidRPr="002B091A">
        <w:rPr>
          <w:color w:val="333333"/>
          <w:sz w:val="24"/>
        </w:rPr>
        <w:t>1</w:t>
      </w:r>
      <w:r w:rsidRPr="002B091A">
        <w:rPr>
          <w:sz w:val="24"/>
        </w:rPr>
        <w:t xml:space="preserve">.   Denne afgørelse skal godkendes af medlemsstaterne i overensstemmelse med deres </w:t>
      </w:r>
      <w:r w:rsidR="00200810">
        <w:rPr>
          <w:sz w:val="24"/>
        </w:rPr>
        <w:t xml:space="preserve">respektive </w:t>
      </w:r>
      <w:r w:rsidRPr="002B091A">
        <w:rPr>
          <w:sz w:val="24"/>
        </w:rPr>
        <w:t>forfatningsmæssige bestemmelser.</w:t>
      </w:r>
      <w:r w:rsidRPr="002B091A">
        <w:rPr>
          <w:color w:val="000000" w:themeColor="text1"/>
          <w:sz w:val="24"/>
        </w:rPr>
        <w:t> Medlemsstaterne underretter Generalsekretariatet for Rådet, når de har afsluttet de procedurer, der er nødvendige i så henseende.</w:t>
      </w:r>
    </w:p>
    <w:p w14:paraId="4F1407FB" w14:textId="77777777" w:rsidR="001645F8" w:rsidRPr="002B091A" w:rsidRDefault="001645F8" w:rsidP="001645F8">
      <w:pPr>
        <w:pStyle w:val="CommentText"/>
        <w:rPr>
          <w:color w:val="000000" w:themeColor="text1"/>
        </w:rPr>
      </w:pPr>
    </w:p>
    <w:p w14:paraId="4E831102" w14:textId="77777777" w:rsidR="001645F8" w:rsidRPr="002B091A" w:rsidRDefault="001645F8" w:rsidP="00EB1A6C">
      <w:pPr>
        <w:keepNext/>
        <w:rPr>
          <w:color w:val="000000" w:themeColor="text1"/>
        </w:rPr>
      </w:pPr>
      <w:r w:rsidRPr="002B091A">
        <w:rPr>
          <w:color w:val="000000" w:themeColor="text1"/>
        </w:rPr>
        <w:t xml:space="preserve">2.   Denne afgørelse træder i kraft den første dag efter dagen for modtagelsen af den sidste af de i stk. 1 omhandlede underretninger. </w:t>
      </w:r>
    </w:p>
    <w:p w14:paraId="153057FD" w14:textId="77777777" w:rsidR="001645F8" w:rsidRPr="002B091A" w:rsidRDefault="001645F8" w:rsidP="001645F8">
      <w:pPr>
        <w:rPr>
          <w:rFonts w:eastAsia="Calibri"/>
          <w:b/>
          <w:szCs w:val="24"/>
          <w:lang w:eastAsia="en-US"/>
        </w:rPr>
      </w:pPr>
    </w:p>
    <w:p w14:paraId="7AAC4BB7" w14:textId="77777777" w:rsidR="001645F8" w:rsidRPr="002B091A" w:rsidRDefault="001645F8" w:rsidP="001645F8">
      <w:pPr>
        <w:rPr>
          <w:rFonts w:eastAsia="Calibri"/>
          <w:b/>
          <w:szCs w:val="24"/>
          <w:lang w:eastAsia="en-US"/>
        </w:rPr>
      </w:pPr>
    </w:p>
    <w:p w14:paraId="3EE19E45" w14:textId="77777777" w:rsidR="001645F8" w:rsidRPr="002B091A" w:rsidRDefault="001645F8" w:rsidP="001645F8">
      <w:pPr>
        <w:jc w:val="center"/>
        <w:rPr>
          <w:i/>
        </w:rPr>
      </w:pPr>
      <w:r w:rsidRPr="002B091A">
        <w:rPr>
          <w:i/>
        </w:rPr>
        <w:t>Artikel 3</w:t>
      </w:r>
    </w:p>
    <w:p w14:paraId="7081A165" w14:textId="77777777" w:rsidR="001645F8" w:rsidRPr="002B091A" w:rsidRDefault="001645F8" w:rsidP="001645F8">
      <w:pPr>
        <w:rPr>
          <w:rFonts w:eastAsia="Calibri"/>
          <w:b/>
          <w:szCs w:val="24"/>
          <w:lang w:eastAsia="en-US"/>
        </w:rPr>
      </w:pPr>
    </w:p>
    <w:p w14:paraId="381981D9" w14:textId="77777777" w:rsidR="001645F8" w:rsidRPr="002B091A" w:rsidRDefault="001645F8" w:rsidP="001645F8">
      <w:r w:rsidRPr="002B091A">
        <w:t xml:space="preserve">Denne afgørelse offentliggøres i </w:t>
      </w:r>
      <w:r w:rsidRPr="002B091A">
        <w:rPr>
          <w:i/>
        </w:rPr>
        <w:t>Den Europæiske Unions Tidende</w:t>
      </w:r>
      <w:r w:rsidRPr="002B091A">
        <w:t>.</w:t>
      </w:r>
    </w:p>
    <w:p w14:paraId="459739DF" w14:textId="77777777" w:rsidR="001645F8" w:rsidRPr="002B091A" w:rsidRDefault="001645F8" w:rsidP="001645F8">
      <w:pPr>
        <w:rPr>
          <w:rFonts w:eastAsia="Calibri"/>
          <w:b/>
          <w:szCs w:val="24"/>
          <w:lang w:eastAsia="en-US"/>
        </w:rPr>
      </w:pPr>
    </w:p>
    <w:p w14:paraId="55940A42" w14:textId="77777777" w:rsidR="001645F8" w:rsidRPr="002B091A" w:rsidRDefault="001645F8" w:rsidP="001645F8"/>
    <w:p w14:paraId="2B5A758C" w14:textId="77777777" w:rsidR="001645F8" w:rsidRPr="002B091A" w:rsidRDefault="001645F8" w:rsidP="001645F8"/>
    <w:p w14:paraId="485C4118" w14:textId="77777777" w:rsidR="001645F8" w:rsidRPr="002B091A" w:rsidRDefault="001645F8" w:rsidP="001645F8">
      <w:r w:rsidRPr="002B091A">
        <w:t>Udfærdiget i Bruxelles, den ...</w:t>
      </w:r>
    </w:p>
    <w:p w14:paraId="163A0944" w14:textId="77777777" w:rsidR="001645F8" w:rsidRPr="002B091A" w:rsidRDefault="001645F8" w:rsidP="001645F8"/>
    <w:p w14:paraId="4B823D7C" w14:textId="77777777" w:rsidR="001645F8" w:rsidRPr="002B091A" w:rsidRDefault="001645F8" w:rsidP="001645F8">
      <w:pPr>
        <w:ind w:left="4962"/>
        <w:rPr>
          <w:i/>
        </w:rPr>
      </w:pPr>
    </w:p>
    <w:p w14:paraId="5E7D9855" w14:textId="77777777" w:rsidR="001645F8" w:rsidRPr="002B091A" w:rsidRDefault="001645F8" w:rsidP="001645F8">
      <w:pPr>
        <w:ind w:left="4962"/>
        <w:rPr>
          <w:i/>
        </w:rPr>
      </w:pPr>
      <w:r w:rsidRPr="002B091A">
        <w:rPr>
          <w:i/>
        </w:rPr>
        <w:t>På Rådets vegne</w:t>
      </w:r>
    </w:p>
    <w:p w14:paraId="1349F05D" w14:textId="6C1F04FA" w:rsidR="00096A54" w:rsidRPr="002B091A" w:rsidRDefault="001645F8" w:rsidP="00096A54">
      <w:pPr>
        <w:pStyle w:val="Normal12a"/>
        <w:ind w:firstLine="4962"/>
      </w:pPr>
      <w:r w:rsidRPr="002B091A">
        <w:rPr>
          <w:i/>
        </w:rPr>
        <w:t>Formanden</w:t>
      </w:r>
    </w:p>
    <w:p w14:paraId="0687002A" w14:textId="79E45C8B" w:rsidR="00E365E1" w:rsidRPr="002B091A" w:rsidRDefault="00E365E1" w:rsidP="00006F03"/>
    <w:sectPr w:rsidR="00E365E1" w:rsidRPr="002B091A" w:rsidSect="00096A5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E5F08" w14:textId="77777777" w:rsidR="00006F03" w:rsidRPr="00096A54" w:rsidRDefault="00006F03">
      <w:r w:rsidRPr="00096A54">
        <w:separator/>
      </w:r>
    </w:p>
  </w:endnote>
  <w:endnote w:type="continuationSeparator" w:id="0">
    <w:p w14:paraId="0FCFF31F" w14:textId="77777777" w:rsidR="00006F03" w:rsidRPr="00096A54" w:rsidRDefault="00006F03">
      <w:r w:rsidRPr="00096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2C69" w14:textId="77777777" w:rsidR="001645F8" w:rsidRPr="00096A54" w:rsidRDefault="001645F8" w:rsidP="00100A1B">
    <w:pPr>
      <w:pStyle w:val="EPFooter"/>
    </w:pPr>
    <w:r w:rsidRPr="00096A54">
      <w:t>PE</w:t>
    </w:r>
    <w:r w:rsidRPr="00096A54">
      <w:rPr>
        <w:rStyle w:val="HideTWBExt"/>
      </w:rPr>
      <w:t>&lt;</w:t>
    </w:r>
    <w:proofErr w:type="spellStart"/>
    <w:r w:rsidRPr="00096A54">
      <w:rPr>
        <w:rStyle w:val="HideTWBExt"/>
      </w:rPr>
      <w:t>NoPE</w:t>
    </w:r>
    <w:proofErr w:type="spellEnd"/>
    <w:r w:rsidRPr="00096A54">
      <w:rPr>
        <w:rStyle w:val="HideTWBExt"/>
      </w:rPr>
      <w:t>&gt;</w:t>
    </w:r>
    <w:r w:rsidRPr="00096A54">
      <w:t>778.275</w:t>
    </w:r>
    <w:r w:rsidRPr="00096A54">
      <w:rPr>
        <w:rStyle w:val="HideTWBExt"/>
      </w:rPr>
      <w:t>&lt;/</w:t>
    </w:r>
    <w:proofErr w:type="spellStart"/>
    <w:r w:rsidRPr="00096A54">
      <w:rPr>
        <w:rStyle w:val="HideTWBExt"/>
      </w:rPr>
      <w:t>NoPE</w:t>
    </w:r>
    <w:proofErr w:type="spellEnd"/>
    <w:r w:rsidRPr="00096A54">
      <w:rPr>
        <w:rStyle w:val="HideTWBExt"/>
      </w:rPr>
      <w:t>&gt;&lt;Version&gt;</w:t>
    </w:r>
    <w:r w:rsidRPr="00096A54">
      <w:t>v02-00</w:t>
    </w:r>
    <w:r w:rsidRPr="00096A54">
      <w:rPr>
        <w:rStyle w:val="HideTWBExt"/>
      </w:rPr>
      <w:t>&lt;/Version&gt;</w:t>
    </w:r>
    <w:r w:rsidRPr="00096A54">
      <w:tab/>
    </w:r>
    <w:r w:rsidRPr="00096A54">
      <w:fldChar w:fldCharType="begin"/>
    </w:r>
    <w:r w:rsidRPr="00096A54">
      <w:instrText xml:space="preserve"> PAGE  \* MERGEFORMAT </w:instrText>
    </w:r>
    <w:r w:rsidRPr="00096A54">
      <w:fldChar w:fldCharType="separate"/>
    </w:r>
    <w:r w:rsidRPr="00096A54">
      <w:rPr>
        <w:noProof/>
      </w:rPr>
      <w:t>10</w:t>
    </w:r>
    <w:r w:rsidRPr="00096A54">
      <w:fldChar w:fldCharType="end"/>
    </w:r>
    <w:r w:rsidRPr="00096A54">
      <w:t>/</w:t>
    </w:r>
    <w:fldSimple w:instr=" NUMPAGES  \* MERGEFORMAT ">
      <w:r w:rsidRPr="00096A54">
        <w:rPr>
          <w:noProof/>
        </w:rPr>
        <w:t>11</w:t>
      </w:r>
    </w:fldSimple>
    <w:r w:rsidRPr="00096A54">
      <w:tab/>
    </w:r>
    <w:r w:rsidRPr="00096A54">
      <w:rPr>
        <w:rStyle w:val="HideTWBExt"/>
      </w:rPr>
      <w:t>&lt;PathFdR&gt;</w:t>
    </w:r>
    <w:r w:rsidRPr="00096A54">
      <w:t>RR\1331433DA.docx</w:t>
    </w:r>
    <w:r w:rsidRPr="00096A54">
      <w:rPr>
        <w:rStyle w:val="HideTWBExt"/>
      </w:rPr>
      <w:t>&lt;/</w:t>
    </w:r>
    <w:proofErr w:type="spellStart"/>
    <w:r w:rsidRPr="00096A54">
      <w:rPr>
        <w:rStyle w:val="HideTWBExt"/>
      </w:rPr>
      <w:t>PathFdR</w:t>
    </w:r>
    <w:proofErr w:type="spellEnd"/>
    <w:r w:rsidRPr="00096A54">
      <w:rPr>
        <w:rStyle w:val="HideTWBExt"/>
      </w:rPr>
      <w:t>&gt;</w:t>
    </w:r>
  </w:p>
  <w:p w14:paraId="599595BB" w14:textId="77777777" w:rsidR="001645F8" w:rsidRPr="00096A54" w:rsidRDefault="001645F8" w:rsidP="00100A1B">
    <w:pPr>
      <w:pStyle w:val="EPFooter2"/>
    </w:pPr>
    <w:r w:rsidRPr="00096A5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51B6" w14:textId="77777777" w:rsidR="001645F8" w:rsidRPr="00096A54" w:rsidRDefault="001645F8" w:rsidP="00100A1B">
    <w:pPr>
      <w:pStyle w:val="EPFooter"/>
    </w:pPr>
    <w:r w:rsidRPr="00096A54">
      <w:rPr>
        <w:rStyle w:val="HideTWBExt"/>
      </w:rPr>
      <w:t>&lt;PathFdR&gt;</w:t>
    </w:r>
    <w:r w:rsidRPr="00096A54">
      <w:t>RR\1331433DA.docx</w:t>
    </w:r>
    <w:r w:rsidRPr="00096A54">
      <w:rPr>
        <w:rStyle w:val="HideTWBExt"/>
      </w:rPr>
      <w:t>&lt;/</w:t>
    </w:r>
    <w:proofErr w:type="spellStart"/>
    <w:r w:rsidRPr="00096A54">
      <w:rPr>
        <w:rStyle w:val="HideTWBExt"/>
      </w:rPr>
      <w:t>PathFdR</w:t>
    </w:r>
    <w:proofErr w:type="spellEnd"/>
    <w:r w:rsidRPr="00096A54">
      <w:rPr>
        <w:rStyle w:val="HideTWBExt"/>
      </w:rPr>
      <w:t>&gt;</w:t>
    </w:r>
    <w:r w:rsidRPr="00096A54">
      <w:tab/>
    </w:r>
    <w:r w:rsidRPr="00096A54">
      <w:tab/>
      <w:t>PE</w:t>
    </w:r>
    <w:r w:rsidRPr="00096A54">
      <w:rPr>
        <w:rStyle w:val="HideTWBExt"/>
      </w:rPr>
      <w:t>&lt;</w:t>
    </w:r>
    <w:proofErr w:type="spellStart"/>
    <w:r w:rsidRPr="00096A54">
      <w:rPr>
        <w:rStyle w:val="HideTWBExt"/>
      </w:rPr>
      <w:t>NoPE</w:t>
    </w:r>
    <w:proofErr w:type="spellEnd"/>
    <w:r w:rsidRPr="00096A54">
      <w:rPr>
        <w:rStyle w:val="HideTWBExt"/>
      </w:rPr>
      <w:t>&gt;</w:t>
    </w:r>
    <w:r w:rsidRPr="00096A54">
      <w:t>778.275</w:t>
    </w:r>
    <w:r w:rsidRPr="00096A54">
      <w:rPr>
        <w:rStyle w:val="HideTWBExt"/>
      </w:rPr>
      <w:t>&lt;/</w:t>
    </w:r>
    <w:proofErr w:type="spellStart"/>
    <w:r w:rsidRPr="00096A54">
      <w:rPr>
        <w:rStyle w:val="HideTWBExt"/>
      </w:rPr>
      <w:t>NoPE</w:t>
    </w:r>
    <w:proofErr w:type="spellEnd"/>
    <w:r w:rsidRPr="00096A54">
      <w:rPr>
        <w:rStyle w:val="HideTWBExt"/>
      </w:rPr>
      <w:t>&gt;&lt;Version&gt;</w:t>
    </w:r>
    <w:r w:rsidRPr="00096A54">
      <w:t>v02-00</w:t>
    </w:r>
    <w:r w:rsidRPr="00096A54">
      <w:rPr>
        <w:rStyle w:val="HideTWBExt"/>
      </w:rPr>
      <w:t>&lt;/Version&gt;</w:t>
    </w:r>
  </w:p>
  <w:p w14:paraId="0C4DA46A" w14:textId="77777777" w:rsidR="001645F8" w:rsidRPr="00096A54" w:rsidRDefault="001645F8" w:rsidP="00100A1B">
    <w:pPr>
      <w:pStyle w:val="EPFooter2"/>
    </w:pPr>
    <w:r w:rsidRPr="00096A54">
      <w:t>DA</w:t>
    </w:r>
    <w:r w:rsidRPr="00096A54">
      <w:tab/>
    </w:r>
    <w:r w:rsidRPr="00096A54">
      <w:rPr>
        <w:b w:val="0"/>
        <w:i/>
        <w:color w:val="C0C0C0"/>
        <w:sz w:val="22"/>
      </w:rPr>
      <w:t>Forenet i mangfoldighed</w:t>
    </w:r>
    <w:r w:rsidRPr="00096A5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3A8E8" w14:textId="77777777" w:rsidR="00064002" w:rsidRPr="00096A5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3C24" w14:textId="77777777" w:rsidR="00064002" w:rsidRPr="00096A5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496B" w14:textId="77777777" w:rsidR="00064002" w:rsidRPr="00096A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71161" w14:textId="77777777" w:rsidR="00006F03" w:rsidRPr="00096A54" w:rsidRDefault="00006F03">
      <w:r w:rsidRPr="00096A54">
        <w:separator/>
      </w:r>
    </w:p>
  </w:footnote>
  <w:footnote w:type="continuationSeparator" w:id="0">
    <w:p w14:paraId="7D393EFF" w14:textId="77777777" w:rsidR="00006F03" w:rsidRPr="00096A54" w:rsidRDefault="00006F03">
      <w:r w:rsidRPr="00096A54">
        <w:continuationSeparator/>
      </w:r>
    </w:p>
  </w:footnote>
  <w:footnote w:id="1">
    <w:p w14:paraId="2A9EB03D" w14:textId="464AA6BD" w:rsidR="001645F8" w:rsidRPr="00096A54" w:rsidRDefault="001645F8" w:rsidP="00096A54">
      <w:pPr>
        <w:pStyle w:val="FootnoteText"/>
        <w:ind w:left="567" w:hanging="567"/>
        <w:rPr>
          <w:sz w:val="24"/>
          <w:lang w:val="da-DK"/>
        </w:rPr>
      </w:pPr>
      <w:r w:rsidRPr="00096A54">
        <w:rPr>
          <w:rStyle w:val="FootnoteReference"/>
          <w:sz w:val="24"/>
          <w:lang w:val="da-DK"/>
        </w:rPr>
        <w:footnoteRef/>
      </w:r>
      <w:r w:rsidR="00096A54" w:rsidRPr="00096A54">
        <w:rPr>
          <w:sz w:val="24"/>
          <w:lang w:val="da-DK"/>
        </w:rPr>
        <w:t xml:space="preserve"> </w:t>
      </w:r>
      <w:r w:rsidR="00096A54" w:rsidRPr="00096A54">
        <w:rPr>
          <w:sz w:val="24"/>
          <w:lang w:val="da-DK"/>
        </w:rPr>
        <w:tab/>
      </w:r>
      <w:r w:rsidRPr="00096A54">
        <w:rPr>
          <w:sz w:val="24"/>
          <w:lang w:val="da-DK"/>
        </w:rPr>
        <w:t xml:space="preserve">EUT L 262 af 7.10.2005, s. 1, ELI: </w:t>
      </w:r>
      <w:r w:rsidR="009A3103">
        <w:fldChar w:fldCharType="begin"/>
      </w:r>
      <w:r w:rsidR="009A3103" w:rsidRPr="009A3103">
        <w:rPr>
          <w:lang w:val="da-DK"/>
        </w:rPr>
        <w:instrText>HYPERLINK "http://data.europa.eu/eli/dec/2005/684/oj"</w:instrText>
      </w:r>
      <w:r w:rsidR="009A3103">
        <w:fldChar w:fldCharType="separate"/>
      </w:r>
      <w:r w:rsidRPr="00096A54">
        <w:rPr>
          <w:sz w:val="24"/>
          <w:lang w:val="da-DK"/>
        </w:rPr>
        <w:t>http://data.europa.eu/eli/dec/2005/684/oj</w:t>
      </w:r>
      <w:r w:rsidR="009A3103">
        <w:rPr>
          <w:sz w:val="24"/>
          <w:lang w:val="da-DK"/>
        </w:rPr>
        <w:fldChar w:fldCharType="end"/>
      </w:r>
      <w:r w:rsidRPr="00096A54">
        <w:rPr>
          <w:sz w:val="24"/>
          <w:lang w:val="da-DK"/>
        </w:rPr>
        <w:t>.</w:t>
      </w:r>
    </w:p>
  </w:footnote>
  <w:footnote w:id="2">
    <w:p w14:paraId="24DBD799" w14:textId="3A350FCA" w:rsidR="001645F8" w:rsidRPr="00096A54" w:rsidRDefault="001645F8" w:rsidP="00096A54">
      <w:pPr>
        <w:pStyle w:val="FootnoteText"/>
        <w:ind w:left="567" w:hanging="567"/>
        <w:rPr>
          <w:sz w:val="24"/>
          <w:lang w:val="da-DK"/>
        </w:rPr>
      </w:pPr>
      <w:r w:rsidRPr="00096A54">
        <w:rPr>
          <w:rStyle w:val="FootnoteReference"/>
          <w:sz w:val="24"/>
          <w:lang w:val="da-DK"/>
        </w:rPr>
        <w:footnoteRef/>
      </w:r>
      <w:r w:rsidR="00096A54" w:rsidRPr="00096A54">
        <w:rPr>
          <w:sz w:val="24"/>
          <w:lang w:val="da-DK"/>
        </w:rPr>
        <w:t xml:space="preserve"> </w:t>
      </w:r>
      <w:r w:rsidR="00096A54" w:rsidRPr="00096A54">
        <w:rPr>
          <w:sz w:val="24"/>
          <w:lang w:val="da-DK"/>
        </w:rPr>
        <w:tab/>
      </w:r>
      <w:r w:rsidRPr="00096A54">
        <w:rPr>
          <w:sz w:val="24"/>
          <w:lang w:val="da-DK"/>
        </w:rPr>
        <w:t>EFT C 292 af 21.9.1998, s. 66.</w:t>
      </w:r>
    </w:p>
  </w:footnote>
  <w:footnote w:id="3">
    <w:p w14:paraId="20EACE58" w14:textId="6EB6E1AA" w:rsidR="001645F8" w:rsidRPr="00096A54" w:rsidRDefault="001645F8" w:rsidP="00096A54">
      <w:pPr>
        <w:ind w:left="567" w:hanging="567"/>
      </w:pPr>
      <w:r w:rsidRPr="00096A54">
        <w:rPr>
          <w:rStyle w:val="FootnoteReference"/>
        </w:rPr>
        <w:footnoteRef/>
      </w:r>
      <w:r w:rsidR="00096A54" w:rsidRPr="00096A54">
        <w:t xml:space="preserve"> </w:t>
      </w:r>
      <w:r w:rsidR="00096A54" w:rsidRPr="00096A54">
        <w:tab/>
      </w:r>
      <w:r w:rsidRPr="00096A54">
        <w:t>EUT C 419 af 16.12.2015, s. 185.</w:t>
      </w:r>
    </w:p>
  </w:footnote>
  <w:footnote w:id="4">
    <w:p w14:paraId="6AFABD90" w14:textId="7CD88414" w:rsidR="001645F8" w:rsidRPr="00096A54" w:rsidRDefault="001645F8" w:rsidP="00096A54">
      <w:pPr>
        <w:ind w:left="567" w:hanging="567"/>
      </w:pPr>
      <w:r w:rsidRPr="00096A54">
        <w:rPr>
          <w:rStyle w:val="FootnoteReference"/>
        </w:rPr>
        <w:footnoteRef/>
      </w:r>
      <w:r w:rsidR="00096A54" w:rsidRPr="00096A54">
        <w:t xml:space="preserve"> </w:t>
      </w:r>
      <w:r w:rsidR="00096A54" w:rsidRPr="00096A54">
        <w:tab/>
      </w:r>
      <w:r w:rsidRPr="00096A54">
        <w:t>EUT C 75 af 26.2.2016, s. 109.</w:t>
      </w:r>
    </w:p>
  </w:footnote>
  <w:footnote w:id="5">
    <w:p w14:paraId="304734F9" w14:textId="2798BE3E" w:rsidR="001645F8" w:rsidRPr="00096A54" w:rsidRDefault="001645F8" w:rsidP="00096A54">
      <w:pPr>
        <w:ind w:left="567" w:hanging="567"/>
      </w:pPr>
      <w:r w:rsidRPr="00096A54">
        <w:rPr>
          <w:rStyle w:val="FootnoteReference"/>
        </w:rPr>
        <w:footnoteRef/>
      </w:r>
      <w:r w:rsidR="00096A54" w:rsidRPr="00096A54">
        <w:t xml:space="preserve"> </w:t>
      </w:r>
      <w:r w:rsidR="00096A54" w:rsidRPr="00096A54">
        <w:tab/>
      </w:r>
      <w:r w:rsidRPr="00096A54">
        <w:t>EUT C 366 af 27.10.2017, s. 7.</w:t>
      </w:r>
    </w:p>
  </w:footnote>
  <w:footnote w:id="6">
    <w:p w14:paraId="36C81172" w14:textId="588BA523" w:rsidR="001645F8" w:rsidRPr="00096A54" w:rsidRDefault="001645F8" w:rsidP="00096A54">
      <w:pPr>
        <w:pStyle w:val="FootnoteText"/>
        <w:ind w:left="567" w:hanging="567"/>
        <w:rPr>
          <w:sz w:val="24"/>
          <w:lang w:val="da-DK"/>
        </w:rPr>
      </w:pPr>
      <w:r w:rsidRPr="00096A54">
        <w:rPr>
          <w:rStyle w:val="FootnoteReference"/>
          <w:sz w:val="24"/>
          <w:lang w:val="da-DK"/>
        </w:rPr>
        <w:footnoteRef/>
      </w:r>
      <w:r w:rsidR="00096A54" w:rsidRPr="00096A54">
        <w:rPr>
          <w:sz w:val="24"/>
          <w:lang w:val="da-DK"/>
        </w:rPr>
        <w:t xml:space="preserve"> </w:t>
      </w:r>
      <w:r w:rsidR="00096A54" w:rsidRPr="00096A54">
        <w:rPr>
          <w:sz w:val="24"/>
          <w:lang w:val="da-DK"/>
        </w:rPr>
        <w:tab/>
      </w:r>
      <w:r w:rsidRPr="00096A54">
        <w:rPr>
          <w:sz w:val="24"/>
          <w:lang w:val="da-DK"/>
        </w:rPr>
        <w:t>EUT C 465 af 6.12.2022, s. 171.</w:t>
      </w:r>
    </w:p>
  </w:footnote>
  <w:footnote w:id="7">
    <w:p w14:paraId="345205DA" w14:textId="2B24A85B" w:rsidR="001645F8" w:rsidRPr="00096A54" w:rsidRDefault="001645F8" w:rsidP="00096A54">
      <w:pPr>
        <w:pStyle w:val="FootnoteText"/>
        <w:ind w:left="567" w:hanging="567"/>
        <w:rPr>
          <w:sz w:val="24"/>
          <w:lang w:val="da-DK"/>
        </w:rPr>
      </w:pPr>
      <w:r w:rsidRPr="00096A54">
        <w:rPr>
          <w:rStyle w:val="FootnoteReference"/>
          <w:sz w:val="24"/>
          <w:lang w:val="da-DK"/>
        </w:rPr>
        <w:footnoteRef/>
      </w:r>
      <w:r w:rsidR="00096A54" w:rsidRPr="00096A54">
        <w:rPr>
          <w:sz w:val="24"/>
          <w:lang w:val="da-DK"/>
        </w:rPr>
        <w:t xml:space="preserve"> </w:t>
      </w:r>
      <w:r w:rsidR="00096A54" w:rsidRPr="00096A54">
        <w:rPr>
          <w:sz w:val="24"/>
          <w:lang w:val="da-DK"/>
        </w:rPr>
        <w:tab/>
      </w:r>
      <w:r w:rsidRPr="00096A54">
        <w:rPr>
          <w:sz w:val="24"/>
          <w:lang w:val="da-DK"/>
        </w:rPr>
        <w:t xml:space="preserve">EUT L 45 af 17.2.2018, s. 46, ELI: </w:t>
      </w:r>
      <w:r w:rsidR="009A3103">
        <w:fldChar w:fldCharType="begin"/>
      </w:r>
      <w:r w:rsidR="009A3103" w:rsidRPr="009A3103">
        <w:rPr>
          <w:lang w:val="da-DK"/>
        </w:rPr>
        <w:instrText>HYPERLINK "http://data.europa.eu/eli/agree_interinstit/2018/217/oj" \o "Gives access to this document through its ELI URI."</w:instrText>
      </w:r>
      <w:r w:rsidR="009A3103">
        <w:fldChar w:fldCharType="separate"/>
      </w:r>
      <w:r w:rsidR="00EB1A6C" w:rsidRPr="00EB1A6C">
        <w:rPr>
          <w:rStyle w:val="Hyperlink"/>
          <w:lang w:val="da-DK"/>
        </w:rPr>
        <w:t>http://data.europa.eu/eli/agree_interinstit/2018/217/oj</w:t>
      </w:r>
      <w:r w:rsidR="009A3103">
        <w:rPr>
          <w:rStyle w:val="Hyperlink"/>
          <w:lang w:val="da-DK"/>
        </w:rPr>
        <w:fldChar w:fldCharType="end"/>
      </w:r>
      <w:r w:rsidRPr="00096A54">
        <w:rPr>
          <w:sz w:val="24"/>
          <w:lang w:val="da-DK"/>
        </w:rPr>
        <w:t>.</w:t>
      </w:r>
    </w:p>
  </w:footnote>
  <w:footnote w:id="8">
    <w:p w14:paraId="49B741F4" w14:textId="08DF21B5" w:rsidR="001645F8" w:rsidRPr="00096A54" w:rsidRDefault="001645F8" w:rsidP="00096A54">
      <w:pPr>
        <w:pStyle w:val="FootnoteText"/>
        <w:ind w:left="567" w:hanging="567"/>
        <w:rPr>
          <w:sz w:val="24"/>
          <w:lang w:val="da-DK"/>
        </w:rPr>
      </w:pPr>
      <w:r w:rsidRPr="00096A54">
        <w:rPr>
          <w:rStyle w:val="FootnoteReference"/>
          <w:sz w:val="24"/>
          <w:lang w:val="da-DK"/>
        </w:rPr>
        <w:footnoteRef/>
      </w:r>
      <w:r w:rsidR="00096A54" w:rsidRPr="00096A54">
        <w:rPr>
          <w:sz w:val="24"/>
          <w:lang w:val="da-DK"/>
        </w:rPr>
        <w:t xml:space="preserve"> </w:t>
      </w:r>
      <w:r w:rsidR="00096A54" w:rsidRPr="00096A54">
        <w:rPr>
          <w:sz w:val="24"/>
          <w:lang w:val="da-DK"/>
        </w:rPr>
        <w:tab/>
      </w:r>
      <w:r w:rsidRPr="00096A54">
        <w:rPr>
          <w:sz w:val="24"/>
          <w:lang w:val="da-DK"/>
        </w:rPr>
        <w:t xml:space="preserve">Rådets afgørelse 76/787/EKSF, EØF, </w:t>
      </w:r>
      <w:proofErr w:type="spellStart"/>
      <w:r w:rsidRPr="00096A54">
        <w:rPr>
          <w:sz w:val="24"/>
          <w:lang w:val="da-DK"/>
        </w:rPr>
        <w:t>Euratom</w:t>
      </w:r>
      <w:proofErr w:type="spellEnd"/>
      <w:r w:rsidRPr="00096A54">
        <w:rPr>
          <w:sz w:val="24"/>
          <w:lang w:val="da-DK"/>
        </w:rPr>
        <w:t xml:space="preserve"> af 20. september 1976 </w:t>
      </w:r>
      <w:r w:rsidRPr="00096A54">
        <w:rPr>
          <w:sz w:val="24"/>
          <w:shd w:val="clear" w:color="auto" w:fill="FFFFFF"/>
          <w:lang w:val="da-DK"/>
        </w:rPr>
        <w:t>truffet af repræsentanterne for medlemsstaternes regeringer, forsamlet i Rådet, vedrørende akten om almindelige valg af repræsentanterne i forsamlingen</w:t>
      </w:r>
      <w:r w:rsidRPr="00096A54">
        <w:rPr>
          <w:sz w:val="24"/>
          <w:lang w:val="da-DK"/>
        </w:rPr>
        <w:t xml:space="preserve"> (EFT L 278 af 8.10.1976, s. 1, ELI: </w:t>
      </w:r>
      <w:r w:rsidR="009A3103">
        <w:fldChar w:fldCharType="begin"/>
      </w:r>
      <w:r w:rsidR="009A3103" w:rsidRPr="009A3103">
        <w:rPr>
          <w:lang w:val="da-DK"/>
        </w:rPr>
        <w:instrText>HYPERLINK "http://data.europa.eu/eli/dec/1976/787(1)/oj" \o "Giver adgang til dokumentet via dets ELI-URI."</w:instrText>
      </w:r>
      <w:r w:rsidR="009A3103">
        <w:fldChar w:fldCharType="separate"/>
      </w:r>
      <w:r w:rsidRPr="00096A54">
        <w:rPr>
          <w:rStyle w:val="Hyperlink"/>
          <w:sz w:val="24"/>
          <w:lang w:val="da-DK"/>
        </w:rPr>
        <w:t>http://data.europa.eu/eli/dec/1976/787(1)/oj</w:t>
      </w:r>
      <w:r w:rsidR="009A3103">
        <w:rPr>
          <w:rStyle w:val="Hyperlink"/>
          <w:sz w:val="24"/>
          <w:lang w:val="da-DK"/>
        </w:rPr>
        <w:fldChar w:fldCharType="end"/>
      </w:r>
      <w:r w:rsidRPr="00096A5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A2CC4" w14:textId="77777777" w:rsidR="00064002" w:rsidRPr="00096A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D9C6" w14:textId="77777777" w:rsidR="00064002" w:rsidRPr="00096A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FFFE" w14:textId="77777777" w:rsidR="00064002" w:rsidRPr="00096A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9887185">
    <w:abstractNumId w:val="9"/>
  </w:num>
  <w:num w:numId="2" w16cid:durableId="876628069">
    <w:abstractNumId w:val="9"/>
  </w:num>
  <w:num w:numId="3" w16cid:durableId="336616950">
    <w:abstractNumId w:val="7"/>
  </w:num>
  <w:num w:numId="4" w16cid:durableId="1127502248">
    <w:abstractNumId w:val="7"/>
  </w:num>
  <w:num w:numId="5" w16cid:durableId="486173088">
    <w:abstractNumId w:val="6"/>
  </w:num>
  <w:num w:numId="6" w16cid:durableId="710114981">
    <w:abstractNumId w:val="6"/>
  </w:num>
  <w:num w:numId="7" w16cid:durableId="250088582">
    <w:abstractNumId w:val="5"/>
  </w:num>
  <w:num w:numId="8" w16cid:durableId="939069110">
    <w:abstractNumId w:val="5"/>
  </w:num>
  <w:num w:numId="9" w16cid:durableId="483467798">
    <w:abstractNumId w:val="4"/>
  </w:num>
  <w:num w:numId="10" w16cid:durableId="326441420">
    <w:abstractNumId w:val="4"/>
  </w:num>
  <w:num w:numId="11" w16cid:durableId="1462265397">
    <w:abstractNumId w:val="8"/>
  </w:num>
  <w:num w:numId="12" w16cid:durableId="1636909658">
    <w:abstractNumId w:val="8"/>
  </w:num>
  <w:num w:numId="13" w16cid:durableId="626933381">
    <w:abstractNumId w:val="3"/>
  </w:num>
  <w:num w:numId="14" w16cid:durableId="998115198">
    <w:abstractNumId w:val="3"/>
  </w:num>
  <w:num w:numId="15" w16cid:durableId="815755287">
    <w:abstractNumId w:val="2"/>
  </w:num>
  <w:num w:numId="16" w16cid:durableId="1598168936">
    <w:abstractNumId w:val="2"/>
  </w:num>
  <w:num w:numId="17" w16cid:durableId="1520966197">
    <w:abstractNumId w:val="1"/>
  </w:num>
  <w:num w:numId="18" w16cid:durableId="1991053253">
    <w:abstractNumId w:val="1"/>
  </w:num>
  <w:num w:numId="19" w16cid:durableId="1743945334">
    <w:abstractNumId w:val="0"/>
  </w:num>
  <w:num w:numId="20" w16cid:durableId="440297558">
    <w:abstractNumId w:val="0"/>
  </w:num>
  <w:num w:numId="21" w16cid:durableId="496766943">
    <w:abstractNumId w:val="9"/>
  </w:num>
  <w:num w:numId="22" w16cid:durableId="1356037074">
    <w:abstractNumId w:val="7"/>
  </w:num>
  <w:num w:numId="23" w16cid:durableId="1304391683">
    <w:abstractNumId w:val="6"/>
  </w:num>
  <w:num w:numId="24" w16cid:durableId="990332118">
    <w:abstractNumId w:val="5"/>
  </w:num>
  <w:num w:numId="25" w16cid:durableId="880480356">
    <w:abstractNumId w:val="4"/>
  </w:num>
  <w:num w:numId="26" w16cid:durableId="1798334018">
    <w:abstractNumId w:val="8"/>
  </w:num>
  <w:num w:numId="27" w16cid:durableId="1839929785">
    <w:abstractNumId w:val="3"/>
  </w:num>
  <w:num w:numId="28" w16cid:durableId="378407179">
    <w:abstractNumId w:val="2"/>
  </w:num>
  <w:num w:numId="29" w16cid:durableId="1799376099">
    <w:abstractNumId w:val="1"/>
  </w:num>
  <w:num w:numId="30" w16cid:durableId="1503542880">
    <w:abstractNumId w:val="0"/>
  </w:num>
  <w:num w:numId="31" w16cid:durableId="1884173295">
    <w:abstractNumId w:val="9"/>
  </w:num>
  <w:num w:numId="32" w16cid:durableId="973370930">
    <w:abstractNumId w:val="7"/>
  </w:num>
  <w:num w:numId="33" w16cid:durableId="584539127">
    <w:abstractNumId w:val="6"/>
  </w:num>
  <w:num w:numId="34" w16cid:durableId="1647275208">
    <w:abstractNumId w:val="5"/>
  </w:num>
  <w:num w:numId="35" w16cid:durableId="1556357713">
    <w:abstractNumId w:val="4"/>
  </w:num>
  <w:num w:numId="36" w16cid:durableId="1439522984">
    <w:abstractNumId w:val="8"/>
  </w:num>
  <w:num w:numId="37" w16cid:durableId="321083602">
    <w:abstractNumId w:val="3"/>
  </w:num>
  <w:num w:numId="38" w16cid:durableId="1086144810">
    <w:abstractNumId w:val="2"/>
  </w:num>
  <w:num w:numId="39" w16cid:durableId="1789009767">
    <w:abstractNumId w:val="1"/>
  </w:num>
  <w:num w:numId="40" w16cid:durableId="371927629">
    <w:abstractNumId w:val="0"/>
  </w:num>
  <w:num w:numId="41" w16cid:durableId="345210022">
    <w:abstractNumId w:val="10"/>
  </w:num>
  <w:num w:numId="42" w16cid:durableId="1194077747">
    <w:abstractNumId w:val="10"/>
  </w:num>
  <w:num w:numId="43" w16cid:durableId="1253734879">
    <w:abstractNumId w:val="10"/>
  </w:num>
  <w:num w:numId="44" w16cid:durableId="1037465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DA"/>
    <w:docVar w:name="dvnumam" w:val="0"/>
    <w:docVar w:name="dvpe" w:val="778.275"/>
    <w:docVar w:name="dvrapporteur" w:val="Ordfører: "/>
    <w:docVar w:name="dvtitre" w:val="Europa-Parlamentets lovgivningsmæssige beslutning af xx. november 2025 om ændring af den europæiske valgakt for at give medlemmerne mulighed for at stemme ved fuldmagt på plenarmødet under graviditet og efter at have født(2025/2195(INL) – 2025/0900(APP))"/>
  </w:docVars>
  <w:rsids>
    <w:rsidRoot w:val="00006F03"/>
    <w:rsid w:val="00002272"/>
    <w:rsid w:val="00006F03"/>
    <w:rsid w:val="000276A6"/>
    <w:rsid w:val="00064002"/>
    <w:rsid w:val="000677B9"/>
    <w:rsid w:val="000831BA"/>
    <w:rsid w:val="00096A54"/>
    <w:rsid w:val="000A42CC"/>
    <w:rsid w:val="000E7DD9"/>
    <w:rsid w:val="0010095E"/>
    <w:rsid w:val="00125B37"/>
    <w:rsid w:val="001645F8"/>
    <w:rsid w:val="00187494"/>
    <w:rsid w:val="001E0A5C"/>
    <w:rsid w:val="001F10E7"/>
    <w:rsid w:val="001F32AE"/>
    <w:rsid w:val="00200810"/>
    <w:rsid w:val="002767FF"/>
    <w:rsid w:val="002B091A"/>
    <w:rsid w:val="002B18FE"/>
    <w:rsid w:val="002B5493"/>
    <w:rsid w:val="002E2332"/>
    <w:rsid w:val="00343214"/>
    <w:rsid w:val="00361C00"/>
    <w:rsid w:val="00395FA1"/>
    <w:rsid w:val="003E15D4"/>
    <w:rsid w:val="00411CCE"/>
    <w:rsid w:val="0041666E"/>
    <w:rsid w:val="00421060"/>
    <w:rsid w:val="00471C19"/>
    <w:rsid w:val="004867E3"/>
    <w:rsid w:val="00494A28"/>
    <w:rsid w:val="004A16C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DD5"/>
    <w:rsid w:val="00817416"/>
    <w:rsid w:val="00842779"/>
    <w:rsid w:val="00865F67"/>
    <w:rsid w:val="008733D9"/>
    <w:rsid w:val="00881A7B"/>
    <w:rsid w:val="008840E5"/>
    <w:rsid w:val="00887B3E"/>
    <w:rsid w:val="008C2AC6"/>
    <w:rsid w:val="008D02B3"/>
    <w:rsid w:val="009042A2"/>
    <w:rsid w:val="00930C23"/>
    <w:rsid w:val="0093193B"/>
    <w:rsid w:val="009509D8"/>
    <w:rsid w:val="00950B64"/>
    <w:rsid w:val="00981893"/>
    <w:rsid w:val="009A3103"/>
    <w:rsid w:val="00A1687D"/>
    <w:rsid w:val="00A43E52"/>
    <w:rsid w:val="00A4678D"/>
    <w:rsid w:val="00A778C7"/>
    <w:rsid w:val="00AB441E"/>
    <w:rsid w:val="00AB6293"/>
    <w:rsid w:val="00AE0928"/>
    <w:rsid w:val="00AF3B82"/>
    <w:rsid w:val="00B12E95"/>
    <w:rsid w:val="00B22876"/>
    <w:rsid w:val="00B558F0"/>
    <w:rsid w:val="00B734F6"/>
    <w:rsid w:val="00BB18B4"/>
    <w:rsid w:val="00BD42B3"/>
    <w:rsid w:val="00BD48FE"/>
    <w:rsid w:val="00BD7BD8"/>
    <w:rsid w:val="00BE6ADC"/>
    <w:rsid w:val="00C05BFE"/>
    <w:rsid w:val="00C23CD4"/>
    <w:rsid w:val="00C31715"/>
    <w:rsid w:val="00C53C6B"/>
    <w:rsid w:val="00C61C0C"/>
    <w:rsid w:val="00C941CB"/>
    <w:rsid w:val="00CC2357"/>
    <w:rsid w:val="00CF071A"/>
    <w:rsid w:val="00D058B8"/>
    <w:rsid w:val="00D56C11"/>
    <w:rsid w:val="00D60CAD"/>
    <w:rsid w:val="00D834A0"/>
    <w:rsid w:val="00D872DF"/>
    <w:rsid w:val="00D91E21"/>
    <w:rsid w:val="00DA7FCD"/>
    <w:rsid w:val="00E365E1"/>
    <w:rsid w:val="00E820A4"/>
    <w:rsid w:val="00EB006A"/>
    <w:rsid w:val="00EB1A6C"/>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4993F"/>
  <w15:chartTrackingRefBased/>
  <w15:docId w15:val="{32451C92-AD79-491F-96AF-D5B273AFD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45F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645F8"/>
    <w:pPr>
      <w:spacing w:after="240"/>
    </w:pPr>
  </w:style>
  <w:style w:type="paragraph" w:customStyle="1" w:styleId="PageHeading">
    <w:name w:val="PageHeading"/>
    <w:basedOn w:val="Normal"/>
    <w:rsid w:val="001645F8"/>
    <w:pPr>
      <w:keepNext/>
      <w:spacing w:after="480"/>
      <w:jc w:val="center"/>
    </w:pPr>
    <w:rPr>
      <w:rFonts w:ascii="Arial" w:hAnsi="Arial" w:cs="Arial"/>
      <w:b/>
    </w:rPr>
  </w:style>
  <w:style w:type="paragraph" w:customStyle="1" w:styleId="NormalHanging12a">
    <w:name w:val="NormalHanging12a"/>
    <w:basedOn w:val="Normal"/>
    <w:rsid w:val="001645F8"/>
    <w:pPr>
      <w:spacing w:after="240"/>
      <w:ind w:left="567" w:hanging="567"/>
    </w:pPr>
  </w:style>
  <w:style w:type="paragraph" w:customStyle="1" w:styleId="NormalCenter24a">
    <w:name w:val="NormalCenter24a"/>
    <w:basedOn w:val="Normal"/>
    <w:rsid w:val="001645F8"/>
    <w:pPr>
      <w:spacing w:after="480"/>
      <w:jc w:val="center"/>
    </w:pPr>
  </w:style>
  <w:style w:type="paragraph" w:styleId="Header">
    <w:name w:val="header"/>
    <w:basedOn w:val="Normal"/>
    <w:link w:val="HeaderChar"/>
    <w:rsid w:val="001645F8"/>
    <w:pPr>
      <w:tabs>
        <w:tab w:val="center" w:pos="4513"/>
        <w:tab w:val="right" w:pos="9026"/>
      </w:tabs>
    </w:pPr>
  </w:style>
  <w:style w:type="character" w:customStyle="1" w:styleId="HeaderChar">
    <w:name w:val="Header Char"/>
    <w:basedOn w:val="DefaultParagraphFont"/>
    <w:link w:val="Header"/>
    <w:rsid w:val="001645F8"/>
    <w:rPr>
      <w:sz w:val="24"/>
      <w:lang w:val="da-DK"/>
    </w:rPr>
  </w:style>
  <w:style w:type="paragraph" w:customStyle="1" w:styleId="EPFooter">
    <w:name w:val="EPFooter"/>
    <w:basedOn w:val="Normal"/>
    <w:rsid w:val="001645F8"/>
    <w:pPr>
      <w:tabs>
        <w:tab w:val="center" w:pos="4535"/>
        <w:tab w:val="right" w:pos="9071"/>
      </w:tabs>
      <w:spacing w:before="240" w:after="240"/>
    </w:pPr>
    <w:rPr>
      <w:color w:val="010000"/>
      <w:sz w:val="22"/>
    </w:rPr>
  </w:style>
  <w:style w:type="paragraph" w:customStyle="1" w:styleId="EPComma">
    <w:name w:val="EPComma"/>
    <w:basedOn w:val="Normal"/>
    <w:rsid w:val="001645F8"/>
    <w:pPr>
      <w:spacing w:before="480" w:after="240"/>
    </w:pPr>
  </w:style>
  <w:style w:type="paragraph" w:styleId="CommentText">
    <w:name w:val="annotation text"/>
    <w:basedOn w:val="Normal"/>
    <w:link w:val="CommentTextChar"/>
    <w:unhideWhenUsed/>
    <w:rsid w:val="001645F8"/>
    <w:rPr>
      <w:sz w:val="20"/>
    </w:rPr>
  </w:style>
  <w:style w:type="character" w:customStyle="1" w:styleId="CommentTextChar">
    <w:name w:val="Comment Text Char"/>
    <w:basedOn w:val="DefaultParagraphFont"/>
    <w:link w:val="CommentText"/>
    <w:rsid w:val="001645F8"/>
    <w:rPr>
      <w:lang w:val="da-DK"/>
    </w:rPr>
  </w:style>
  <w:style w:type="paragraph" w:styleId="NoSpacing">
    <w:name w:val="No Spacing"/>
    <w:uiPriority w:val="1"/>
    <w:qFormat/>
    <w:rsid w:val="001645F8"/>
    <w:rPr>
      <w:rFonts w:asciiTheme="minorHAnsi" w:eastAsiaTheme="minorHAnsi" w:hAnsiTheme="minorHAnsi" w:cstheme="minorBidi"/>
      <w:sz w:val="22"/>
      <w:szCs w:val="22"/>
      <w:lang w:val="da-DK" w:eastAsia="en-US"/>
    </w:rPr>
  </w:style>
  <w:style w:type="paragraph" w:customStyle="1" w:styleId="Normal12Hanging">
    <w:name w:val="Normal12Hanging"/>
    <w:basedOn w:val="Normal"/>
    <w:rsid w:val="001645F8"/>
    <w:pPr>
      <w:spacing w:after="240"/>
      <w:ind w:left="567" w:hanging="567"/>
    </w:pPr>
  </w:style>
  <w:style w:type="paragraph" w:styleId="ListParagraph">
    <w:name w:val="List Paragraph"/>
    <w:basedOn w:val="Normal"/>
    <w:uiPriority w:val="34"/>
    <w:qFormat/>
    <w:rsid w:val="001645F8"/>
    <w:pPr>
      <w:ind w:left="720"/>
      <w:contextualSpacing/>
    </w:pPr>
  </w:style>
  <w:style w:type="character" w:styleId="Hyperlink">
    <w:name w:val="Hyperlink"/>
    <w:basedOn w:val="DefaultParagraphFont"/>
    <w:rsid w:val="001645F8"/>
    <w:rPr>
      <w:color w:val="0563C1" w:themeColor="hyperlink"/>
      <w:u w:val="single"/>
    </w:rPr>
  </w:style>
  <w:style w:type="paragraph" w:styleId="Footer">
    <w:name w:val="footer"/>
    <w:basedOn w:val="Normal"/>
    <w:link w:val="FooterChar"/>
    <w:rsid w:val="000276A6"/>
    <w:pPr>
      <w:tabs>
        <w:tab w:val="center" w:pos="4513"/>
        <w:tab w:val="right" w:pos="9026"/>
      </w:tabs>
    </w:pPr>
  </w:style>
  <w:style w:type="character" w:customStyle="1" w:styleId="FooterChar">
    <w:name w:val="Footer Char"/>
    <w:basedOn w:val="DefaultParagraphFont"/>
    <w:link w:val="Footer"/>
    <w:rsid w:val="000276A6"/>
    <w:rPr>
      <w:sz w:val="24"/>
      <w:lang w:val="da-DK"/>
    </w:rPr>
  </w:style>
  <w:style w:type="paragraph" w:styleId="Revision">
    <w:name w:val="Revision"/>
    <w:hidden/>
    <w:uiPriority w:val="99"/>
    <w:semiHidden/>
    <w:rsid w:val="000276A6"/>
    <w:rPr>
      <w:sz w:val="24"/>
      <w:lang w:val="da-DK"/>
    </w:rPr>
  </w:style>
  <w:style w:type="character" w:styleId="CommentReference">
    <w:name w:val="annotation reference"/>
    <w:basedOn w:val="DefaultParagraphFont"/>
    <w:rsid w:val="00C53C6B"/>
    <w:rPr>
      <w:sz w:val="16"/>
      <w:szCs w:val="16"/>
    </w:rPr>
  </w:style>
  <w:style w:type="paragraph" w:styleId="CommentSubject">
    <w:name w:val="annotation subject"/>
    <w:basedOn w:val="CommentText"/>
    <w:next w:val="CommentText"/>
    <w:link w:val="CommentSubjectChar"/>
    <w:rsid w:val="00C53C6B"/>
    <w:rPr>
      <w:b/>
      <w:bCs/>
    </w:rPr>
  </w:style>
  <w:style w:type="character" w:customStyle="1" w:styleId="CommentSubjectChar">
    <w:name w:val="Comment Subject Char"/>
    <w:basedOn w:val="CommentTextChar"/>
    <w:link w:val="CommentSubject"/>
    <w:rsid w:val="00C53C6B"/>
    <w:rPr>
      <w:b/>
      <w:bCs/>
      <w:lang w:val="da-DK"/>
    </w:rPr>
  </w:style>
  <w:style w:type="character" w:styleId="FollowedHyperlink">
    <w:name w:val="FollowedHyperlink"/>
    <w:basedOn w:val="DefaultParagraphFont"/>
    <w:rsid w:val="007F1DD5"/>
    <w:rPr>
      <w:color w:val="954F72" w:themeColor="followedHyperlink"/>
      <w:u w:val="single"/>
    </w:rPr>
  </w:style>
  <w:style w:type="character" w:styleId="UnresolvedMention">
    <w:name w:val="Unresolved Mention"/>
    <w:basedOn w:val="DefaultParagraphFont"/>
    <w:uiPriority w:val="99"/>
    <w:semiHidden/>
    <w:unhideWhenUsed/>
    <w:rsid w:val="00EB1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ILLY_D</cp:lastModifiedBy>
  <cp:revision>2</cp:revision>
  <cp:lastPrinted>2004-11-19T15:42:00Z</cp:lastPrinted>
  <dcterms:created xsi:type="dcterms:W3CDTF">2025-11-13T14:42:00Z</dcterms:created>
  <dcterms:modified xsi:type="dcterms:W3CDTF">2025-11-13T14:42:00Z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A10-0214/2025</vt:lpwstr>
  </property>
  <property fmtid="{D5CDD505-2E9C-101B-9397-08002B2CF9AE}" pid="4" name="&lt;Type&gt;">
    <vt:lpwstr>RR</vt:lpwstr>
  </property>
</Properties>
</file>