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5D92" w14:paraId="07C85AEA" w14:textId="77777777" w:rsidTr="0010095E">
        <w:trPr>
          <w:trHeight w:hRule="exact" w:val="1418"/>
        </w:trPr>
        <w:tc>
          <w:tcPr>
            <w:tcW w:w="6804" w:type="dxa"/>
            <w:shd w:val="clear" w:color="auto" w:fill="auto"/>
            <w:vAlign w:val="center"/>
          </w:tcPr>
          <w:p w14:paraId="310FBD4C" w14:textId="77777777" w:rsidR="00751A4A" w:rsidRPr="00F95D92" w:rsidRDefault="004F5BF2" w:rsidP="0010095E">
            <w:pPr>
              <w:pStyle w:val="EPName"/>
            </w:pPr>
            <w:r w:rsidRPr="00F95D92">
              <w:t>Parlamento Europeo</w:t>
            </w:r>
          </w:p>
          <w:p w14:paraId="43DDD6DD" w14:textId="77777777" w:rsidR="00751A4A" w:rsidRPr="00F95D92" w:rsidRDefault="005F1B17" w:rsidP="005F1B17">
            <w:pPr>
              <w:pStyle w:val="EPTerm"/>
              <w:rPr>
                <w:rStyle w:val="HideTWBExt"/>
                <w:noProof w:val="0"/>
                <w:vanish w:val="0"/>
                <w:color w:val="auto"/>
              </w:rPr>
            </w:pPr>
            <w:r w:rsidRPr="00F95D92">
              <w:t>2024</w:t>
            </w:r>
            <w:r w:rsidR="00817416" w:rsidRPr="00F95D92">
              <w:t>-202</w:t>
            </w:r>
            <w:r w:rsidRPr="00F95D92">
              <w:t>9</w:t>
            </w:r>
          </w:p>
        </w:tc>
        <w:tc>
          <w:tcPr>
            <w:tcW w:w="2268" w:type="dxa"/>
            <w:shd w:val="clear" w:color="auto" w:fill="auto"/>
          </w:tcPr>
          <w:p w14:paraId="3088B65A" w14:textId="77777777" w:rsidR="00751A4A" w:rsidRPr="00F95D92" w:rsidRDefault="00187494" w:rsidP="0010095E">
            <w:pPr>
              <w:pStyle w:val="EPLogo"/>
            </w:pPr>
            <w:r w:rsidRPr="00F95D92">
              <w:rPr>
                <w:noProof/>
                <w:lang w:eastAsia="ja-JP"/>
              </w:rPr>
              <w:drawing>
                <wp:inline distT="0" distB="0" distL="0" distR="0" wp14:anchorId="02CA9ADB" wp14:editId="31A381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5469AC" w14:textId="77777777" w:rsidR="00D058B8" w:rsidRPr="00F95D92" w:rsidRDefault="00D058B8" w:rsidP="004C5D52">
      <w:pPr>
        <w:pStyle w:val="LineTop"/>
      </w:pPr>
    </w:p>
    <w:p w14:paraId="3D66BAD5" w14:textId="77777777" w:rsidR="00680577" w:rsidRPr="00F95D92" w:rsidRDefault="004F5BF2" w:rsidP="00680577">
      <w:pPr>
        <w:pStyle w:val="EPBodyTA1"/>
      </w:pPr>
      <w:r w:rsidRPr="00F95D92">
        <w:t>TEXTOS APROBADOS</w:t>
      </w:r>
    </w:p>
    <w:p w14:paraId="291A64EE" w14:textId="77777777" w:rsidR="00D058B8" w:rsidRPr="00F95D92" w:rsidRDefault="00D058B8" w:rsidP="00D058B8">
      <w:pPr>
        <w:pStyle w:val="LineBottom"/>
      </w:pPr>
    </w:p>
    <w:p w14:paraId="749ED959" w14:textId="091B8817" w:rsidR="004F5BF2" w:rsidRPr="00F95D92" w:rsidRDefault="004F5BF2" w:rsidP="004F5BF2">
      <w:pPr>
        <w:pStyle w:val="ATHeading1"/>
      </w:pPr>
      <w:bookmarkStart w:id="0" w:name="TANumber"/>
      <w:r w:rsidRPr="00F95D92">
        <w:t>P10_TA(2025)0</w:t>
      </w:r>
      <w:r w:rsidR="0010180B" w:rsidRPr="00F95D92">
        <w:t>257</w:t>
      </w:r>
      <w:bookmarkEnd w:id="0"/>
    </w:p>
    <w:p w14:paraId="0D0511D6" w14:textId="74E233F9" w:rsidR="004F5BF2" w:rsidRPr="00F95D92" w:rsidRDefault="004F5BF2" w:rsidP="004F5BF2">
      <w:pPr>
        <w:pStyle w:val="ATHeading2"/>
      </w:pPr>
      <w:bookmarkStart w:id="1" w:name="title"/>
      <w:r w:rsidRPr="00F95D92">
        <w:t>Vot</w:t>
      </w:r>
      <w:r w:rsidR="00E44CB9" w:rsidRPr="00F95D92">
        <w:t>o</w:t>
      </w:r>
      <w:r w:rsidRPr="00F95D92">
        <w:t xml:space="preserve"> por delegación en el Pleno para las diputadas durante el embarazo y después del parto</w:t>
      </w:r>
      <w:bookmarkEnd w:id="1"/>
    </w:p>
    <w:p w14:paraId="168A04CE" w14:textId="77777777" w:rsidR="004F5BF2" w:rsidRPr="00F95D92" w:rsidRDefault="004F5BF2" w:rsidP="004F5BF2">
      <w:pPr>
        <w:rPr>
          <w:i/>
          <w:vanish/>
        </w:rPr>
      </w:pPr>
      <w:r w:rsidRPr="00F95D92">
        <w:rPr>
          <w:i/>
        </w:rPr>
        <w:fldChar w:fldCharType="begin"/>
      </w:r>
      <w:r w:rsidRPr="00F95D92">
        <w:rPr>
          <w:i/>
        </w:rPr>
        <w:instrText xml:space="preserve"> TC"(</w:instrText>
      </w:r>
      <w:bookmarkStart w:id="2" w:name="DocNumber"/>
      <w:r w:rsidRPr="00F95D92">
        <w:rPr>
          <w:i/>
        </w:rPr>
        <w:instrText>A10-0214/2025</w:instrText>
      </w:r>
      <w:bookmarkEnd w:id="2"/>
      <w:r w:rsidRPr="00F95D92">
        <w:rPr>
          <w:i/>
        </w:rPr>
        <w:instrText xml:space="preserve"> - Ponente: Juan Fernando López Aguilar)"\l3 \n&gt; \* MERGEFORMAT </w:instrText>
      </w:r>
      <w:r w:rsidRPr="00F95D92">
        <w:rPr>
          <w:i/>
        </w:rPr>
        <w:fldChar w:fldCharType="end"/>
      </w:r>
    </w:p>
    <w:p w14:paraId="47E6FFF1" w14:textId="77777777" w:rsidR="004F5BF2" w:rsidRPr="00F95D92" w:rsidRDefault="004F5BF2" w:rsidP="004F5BF2">
      <w:pPr>
        <w:rPr>
          <w:vanish/>
        </w:rPr>
      </w:pPr>
      <w:bookmarkStart w:id="3" w:name="Commission"/>
      <w:r w:rsidRPr="00F95D92">
        <w:rPr>
          <w:vanish/>
        </w:rPr>
        <w:t>Comisión de Asuntos Constitucionales</w:t>
      </w:r>
      <w:bookmarkEnd w:id="3"/>
    </w:p>
    <w:p w14:paraId="03F5A7BB" w14:textId="77777777" w:rsidR="004F5BF2" w:rsidRPr="00F95D92" w:rsidRDefault="004F5BF2" w:rsidP="004F5BF2">
      <w:pPr>
        <w:rPr>
          <w:vanish/>
        </w:rPr>
      </w:pPr>
      <w:bookmarkStart w:id="4" w:name="PE"/>
      <w:r w:rsidRPr="00F95D92">
        <w:rPr>
          <w:vanish/>
        </w:rPr>
        <w:t>PE778.275</w:t>
      </w:r>
      <w:bookmarkEnd w:id="4"/>
    </w:p>
    <w:p w14:paraId="023068FC" w14:textId="1C71A9AC" w:rsidR="004F5BF2" w:rsidRPr="00F95D92" w:rsidRDefault="004F5BF2" w:rsidP="004F5BF2">
      <w:pPr>
        <w:pStyle w:val="ATHeading3"/>
      </w:pPr>
      <w:bookmarkStart w:id="5" w:name="Sujet"/>
      <w:r w:rsidRPr="00F95D92">
        <w:t xml:space="preserve">Resolución </w:t>
      </w:r>
      <w:r w:rsidR="00060B70">
        <w:t xml:space="preserve">legislativa </w:t>
      </w:r>
      <w:r w:rsidRPr="00F95D92">
        <w:t>del Parlamento Europeo, de 13 de noviembre de 2025, sobre</w:t>
      </w:r>
      <w:r w:rsidR="00245734" w:rsidRPr="00F95D92">
        <w:t xml:space="preserve"> </w:t>
      </w:r>
      <w:r w:rsidRPr="00F95D92">
        <w:t>la modificación del Acta Electoral Europea por la que se permite a las diputadas votar en el Pleno por delegación durante el embarazo y después del parto</w:t>
      </w:r>
      <w:bookmarkEnd w:id="5"/>
      <w:r w:rsidRPr="00F95D92">
        <w:t xml:space="preserve"> </w:t>
      </w:r>
      <w:bookmarkStart w:id="6" w:name="References"/>
      <w:r w:rsidRPr="00F95D92">
        <w:t>(2025/2195(INL) – 2025/0900(APP))</w:t>
      </w:r>
      <w:bookmarkEnd w:id="6"/>
    </w:p>
    <w:p w14:paraId="25B5F562" w14:textId="77777777" w:rsidR="00E85B06" w:rsidRPr="00F95D92" w:rsidRDefault="00E85B06" w:rsidP="00E85B06">
      <w:pPr>
        <w:pStyle w:val="EPComma"/>
      </w:pPr>
      <w:r w:rsidRPr="00F95D92">
        <w:rPr>
          <w:i/>
        </w:rPr>
        <w:t>El Parlamento Europeo</w:t>
      </w:r>
      <w:r w:rsidRPr="00F95D92">
        <w:t>,</w:t>
      </w:r>
    </w:p>
    <w:p w14:paraId="50937875" w14:textId="77777777" w:rsidR="00E85B06" w:rsidRPr="00F95D92" w:rsidRDefault="00E85B06" w:rsidP="009C797F">
      <w:pPr>
        <w:pStyle w:val="NormalHanging12a"/>
      </w:pPr>
      <w:r w:rsidRPr="00F95D92">
        <w:t>–</w:t>
      </w:r>
      <w:r w:rsidRPr="00F95D92">
        <w:tab/>
        <w:t>Vistos los Tratados, y en particular los artículos 9, 10 y 14 y el artículo 17, apartado 7, del Tratado de la Unión Europea (TUE), y los artículos 20 y 22, el artículo 223, apartado 1, y el artículo 225 del Tratado de Funcionamiento de la Unión Europea (TFUE), así como el artículo 2 del Protocolo n.º 1 sobre el cometido de los Parlamentos nacionales en la Unión Europea,</w:t>
      </w:r>
    </w:p>
    <w:p w14:paraId="448101C3" w14:textId="77777777" w:rsidR="00E85B06" w:rsidRPr="00F95D92" w:rsidRDefault="00E85B06" w:rsidP="00E85B06">
      <w:pPr>
        <w:tabs>
          <w:tab w:val="left" w:pos="567"/>
        </w:tabs>
        <w:spacing w:after="240" w:line="276" w:lineRule="auto"/>
        <w:ind w:left="567" w:hanging="567"/>
      </w:pPr>
      <w:r w:rsidRPr="00F95D92">
        <w:t>–</w:t>
      </w:r>
      <w:r w:rsidRPr="00F95D92">
        <w:tab/>
        <w:t>Visto el artículo 106 </w:t>
      </w:r>
      <w:r w:rsidRPr="00F95D92">
        <w:rPr>
          <w:i/>
        </w:rPr>
        <w:t>bis</w:t>
      </w:r>
      <w:r w:rsidRPr="00F95D92">
        <w:t>, apartado 1, del Tratado constitutivo de la Comunidad Europea de la Energía Atómica,</w:t>
      </w:r>
    </w:p>
    <w:p w14:paraId="242D66D7" w14:textId="399E333C" w:rsidR="00E85B06" w:rsidRPr="00F95D92" w:rsidRDefault="00E85B06" w:rsidP="00E85B06">
      <w:pPr>
        <w:pStyle w:val="NormalHanging12a"/>
      </w:pPr>
      <w:r w:rsidRPr="00F95D92">
        <w:t>–</w:t>
      </w:r>
      <w:r w:rsidRPr="00F95D92">
        <w:tab/>
        <w:t>Vist</w:t>
      </w:r>
      <w:r w:rsidR="00E44CB9" w:rsidRPr="00F95D92">
        <w:t>a</w:t>
      </w:r>
      <w:r w:rsidRPr="00F95D92">
        <w:t xml:space="preserve"> el Acta relativa a la elección de los diputados al Parlamento Europeo por sufragio universal directo (en lo sucesivo, «Acta electoral») aneja a la Decisión 76/787/CECA, CEE, Euratom del Consejo, de 20 de septiembre de 1976, en su versión modificada, y, en particular, su artículo 6,</w:t>
      </w:r>
    </w:p>
    <w:p w14:paraId="7CCF0724" w14:textId="77777777" w:rsidR="00E85B06" w:rsidRPr="00F95D92" w:rsidRDefault="00E85B06" w:rsidP="00E85B06">
      <w:pPr>
        <w:pStyle w:val="NormalHanging12a"/>
      </w:pPr>
      <w:r w:rsidRPr="00F95D92">
        <w:t>–</w:t>
      </w:r>
      <w:r w:rsidRPr="00F95D92">
        <w:tab/>
        <w:t>Visto el artículo 5 de la Decisión del Parlamento Europeo, de 28 de septiembre de 2005, sobre la adopción del Estatuto de los diputados al Parlamento Europeo</w:t>
      </w:r>
      <w:r w:rsidRPr="00F95D92">
        <w:rPr>
          <w:rStyle w:val="FootnoteReference"/>
        </w:rPr>
        <w:footnoteReference w:id="1"/>
      </w:r>
      <w:r w:rsidRPr="00F95D92">
        <w:t>,</w:t>
      </w:r>
    </w:p>
    <w:p w14:paraId="2D51E365" w14:textId="526AA004" w:rsidR="00E85B06" w:rsidRPr="00F95D92" w:rsidRDefault="00E85B06" w:rsidP="00BA560A">
      <w:pPr>
        <w:pStyle w:val="NoSpacing"/>
        <w:spacing w:before="120" w:after="240"/>
        <w:ind w:left="567" w:hanging="567"/>
        <w:rPr>
          <w:rFonts w:ascii="Times New Roman" w:eastAsia="Times New Roman" w:hAnsi="Times New Roman" w:cs="Times New Roman"/>
          <w:sz w:val="24"/>
          <w:szCs w:val="20"/>
          <w:lang w:val="es-ES_tradnl"/>
        </w:rPr>
      </w:pPr>
      <w:r w:rsidRPr="00F95D92">
        <w:rPr>
          <w:rFonts w:ascii="Times New Roman" w:hAnsi="Times New Roman"/>
          <w:sz w:val="24"/>
          <w:lang w:val="es-ES_tradnl"/>
        </w:rPr>
        <w:t>–</w:t>
      </w:r>
      <w:r w:rsidRPr="00F95D92">
        <w:rPr>
          <w:rFonts w:ascii="Times New Roman" w:hAnsi="Times New Roman"/>
          <w:sz w:val="24"/>
          <w:lang w:val="es-ES_tradnl"/>
        </w:rPr>
        <w:tab/>
        <w:t>Vistas sus anteriores Resoluciones sobre el procedimiento electoral del Parlamento Europeo, en particular la de 15 de julio de 1998 sobre la elaboración de un proyecto de procedimiento electoral fundado en principios comunes para la elección de los diputados al Parlamento Europeo</w:t>
      </w:r>
      <w:r w:rsidRPr="00F95D92">
        <w:rPr>
          <w:rStyle w:val="FootnoteReference"/>
          <w:rFonts w:ascii="Times New Roman" w:eastAsia="Times New Roman" w:hAnsi="Times New Roman" w:cs="Times New Roman"/>
          <w:sz w:val="24"/>
          <w:szCs w:val="20"/>
          <w:lang w:val="es-ES_tradnl" w:eastAsia="en-GB"/>
        </w:rPr>
        <w:footnoteReference w:id="2"/>
      </w:r>
      <w:r w:rsidRPr="00F95D92">
        <w:rPr>
          <w:rFonts w:ascii="Times New Roman" w:hAnsi="Times New Roman"/>
          <w:sz w:val="24"/>
          <w:lang w:val="es-ES_tradnl"/>
        </w:rPr>
        <w:t>, la de 22 de noviembre de 2012 sobre las elecciones al Parlamento Europeo en 2014</w:t>
      </w:r>
      <w:r w:rsidRPr="00F95D92">
        <w:rPr>
          <w:rStyle w:val="FootnoteReference"/>
          <w:rFonts w:ascii="Times New Roman" w:eastAsia="Times New Roman" w:hAnsi="Times New Roman" w:cs="Times New Roman"/>
          <w:sz w:val="24"/>
          <w:szCs w:val="20"/>
          <w:lang w:val="es-ES_tradnl" w:eastAsia="en-GB"/>
        </w:rPr>
        <w:footnoteReference w:id="3"/>
      </w:r>
      <w:r w:rsidRPr="00F95D92">
        <w:rPr>
          <w:rFonts w:ascii="Times New Roman" w:hAnsi="Times New Roman"/>
          <w:sz w:val="24"/>
          <w:lang w:val="es-ES_tradnl"/>
        </w:rPr>
        <w:t xml:space="preserve">, la de 4 de julio de 2013 sobre la mejora de las </w:t>
      </w:r>
      <w:r w:rsidRPr="00F95D92">
        <w:rPr>
          <w:rFonts w:ascii="Times New Roman" w:hAnsi="Times New Roman"/>
          <w:sz w:val="24"/>
          <w:lang w:val="es-ES_tradnl"/>
        </w:rPr>
        <w:lastRenderedPageBreak/>
        <w:t>disposiciones prácticas para la celebración de las elecciones al Parlamento Europeo de 2014</w:t>
      </w:r>
      <w:r w:rsidRPr="00F95D92">
        <w:rPr>
          <w:rStyle w:val="FootnoteReference"/>
          <w:rFonts w:ascii="Times New Roman" w:eastAsia="Times New Roman" w:hAnsi="Times New Roman" w:cs="Times New Roman"/>
          <w:sz w:val="24"/>
          <w:szCs w:val="20"/>
          <w:lang w:val="es-ES_tradnl" w:eastAsia="en-GB"/>
        </w:rPr>
        <w:footnoteReference w:id="4"/>
      </w:r>
      <w:r w:rsidRPr="00F95D92">
        <w:rPr>
          <w:rFonts w:ascii="Times New Roman" w:hAnsi="Times New Roman"/>
          <w:sz w:val="24"/>
          <w:lang w:val="es-ES_tradnl"/>
        </w:rPr>
        <w:t>, la de 11 de noviembre de 2015 sobre la reforma de la ley electoral de la Unión Europea</w:t>
      </w:r>
      <w:r w:rsidRPr="00F95D92">
        <w:rPr>
          <w:rStyle w:val="FootnoteReference"/>
          <w:rFonts w:ascii="Times New Roman" w:eastAsia="Times New Roman" w:hAnsi="Times New Roman" w:cs="Times New Roman"/>
          <w:sz w:val="24"/>
          <w:szCs w:val="20"/>
          <w:lang w:val="es-ES_tradnl" w:eastAsia="en-GB"/>
        </w:rPr>
        <w:footnoteReference w:id="5"/>
      </w:r>
      <w:r w:rsidRPr="00F95D92">
        <w:rPr>
          <w:rFonts w:ascii="Times New Roman" w:hAnsi="Times New Roman"/>
          <w:sz w:val="24"/>
          <w:lang w:val="es-ES_tradnl"/>
        </w:rPr>
        <w:t xml:space="preserve"> y la de 3 de mayo de 2022 sobre </w:t>
      </w:r>
      <w:r w:rsidR="00BA560A" w:rsidRPr="00F95D92">
        <w:rPr>
          <w:rFonts w:ascii="Times New Roman" w:hAnsi="Times New Roman"/>
          <w:sz w:val="24"/>
          <w:lang w:val="es-ES_tradnl"/>
        </w:rPr>
        <w:t>la propuesta de Reglamento del Consejo relativo a la elección de los diputados al Parlamento Europeo por sufragio universal directo por el que se deroga la Decisión (76/787/CECA, CEE, Euratom) del Consejo y el Acta relativa a la elección de los diputados al Parlamento Europeo por sufragio universal directo, aneja a dicha Decisión</w:t>
      </w:r>
      <w:r w:rsidRPr="00F95D92">
        <w:rPr>
          <w:rStyle w:val="FootnoteReference"/>
          <w:rFonts w:ascii="Times New Roman" w:eastAsia="Times New Roman" w:hAnsi="Times New Roman" w:cs="Times New Roman"/>
          <w:sz w:val="24"/>
          <w:szCs w:val="20"/>
          <w:lang w:val="es-ES_tradnl" w:eastAsia="en-GB"/>
        </w:rPr>
        <w:footnoteReference w:id="6"/>
      </w:r>
      <w:r w:rsidRPr="00F95D92">
        <w:rPr>
          <w:rFonts w:ascii="Times New Roman" w:hAnsi="Times New Roman"/>
          <w:sz w:val="24"/>
          <w:lang w:val="es-ES_tradnl"/>
        </w:rPr>
        <w:t>,</w:t>
      </w:r>
    </w:p>
    <w:p w14:paraId="398D6226" w14:textId="77777777" w:rsidR="00E85B06" w:rsidRPr="00F95D92" w:rsidRDefault="00E85B06" w:rsidP="00E85B06">
      <w:pPr>
        <w:pStyle w:val="NormalHanging12a"/>
      </w:pPr>
      <w:r w:rsidRPr="00F95D92">
        <w:t>–</w:t>
      </w:r>
      <w:r w:rsidRPr="00F95D92">
        <w:tab/>
        <w:t>Visto el Acuerdo marco, de 20 de octubre de 2010, sobre las relaciones entre el Parlamento Europeo y la Comisión Europea, en su versión modificada de 17 de febrero de 2018</w:t>
      </w:r>
      <w:r w:rsidRPr="00F95D92">
        <w:rPr>
          <w:rStyle w:val="FootnoteReference"/>
        </w:rPr>
        <w:footnoteReference w:id="7"/>
      </w:r>
      <w:r w:rsidRPr="00F95D92">
        <w:t>,</w:t>
      </w:r>
    </w:p>
    <w:p w14:paraId="7FFB1814" w14:textId="77777777" w:rsidR="00E85B06" w:rsidRPr="00F95D92" w:rsidRDefault="00E85B06" w:rsidP="00E85B06">
      <w:pPr>
        <w:pStyle w:val="NormalHanging12a"/>
      </w:pPr>
      <w:r w:rsidRPr="00F95D92">
        <w:t>–</w:t>
      </w:r>
      <w:r w:rsidRPr="00F95D92">
        <w:tab/>
        <w:t>Vista la Carta de los Derechos Fundamentales de la Unión Europea, y en particular su artículo 33,</w:t>
      </w:r>
    </w:p>
    <w:p w14:paraId="5ED7B405" w14:textId="77777777" w:rsidR="00E85B06" w:rsidRPr="00F95D92" w:rsidRDefault="00E85B06" w:rsidP="00E85B06">
      <w:pPr>
        <w:pStyle w:val="NormalHanging12a"/>
      </w:pPr>
      <w:r w:rsidRPr="00F95D92">
        <w:t>–</w:t>
      </w:r>
      <w:r w:rsidRPr="00F95D92">
        <w:tab/>
        <w:t>Vistos los artículos 46 y 55 de su Reglamento interno,</w:t>
      </w:r>
    </w:p>
    <w:p w14:paraId="14220E4B" w14:textId="77777777" w:rsidR="00E85B06" w:rsidRPr="00F95D92" w:rsidRDefault="00E85B06" w:rsidP="00E85B06">
      <w:pPr>
        <w:pStyle w:val="NormalHanging12a"/>
      </w:pPr>
      <w:r w:rsidRPr="00F95D92">
        <w:t>–</w:t>
      </w:r>
      <w:r w:rsidRPr="00F95D92">
        <w:tab/>
        <w:t>Visto el informe de la Comisión de Asuntos Constitucionales (A10-0214/2025),</w:t>
      </w:r>
    </w:p>
    <w:p w14:paraId="798B0AFD" w14:textId="5F89898D" w:rsidR="00E85B06" w:rsidRPr="00F95D92" w:rsidRDefault="00E85B06" w:rsidP="00E85B06">
      <w:pPr>
        <w:pStyle w:val="Normal12Hanging"/>
        <w:rPr>
          <w:lang w:val="es-ES_tradnl"/>
        </w:rPr>
      </w:pPr>
      <w:r w:rsidRPr="00F95D92">
        <w:rPr>
          <w:lang w:val="es-ES_tradnl"/>
        </w:rPr>
        <w:t>A.</w:t>
      </w:r>
      <w:r w:rsidRPr="00F95D92">
        <w:rPr>
          <w:lang w:val="es-ES_tradnl"/>
        </w:rPr>
        <w:tab/>
        <w:t>Considerando que el Parlamento Europeo tiene derecho a emprender la reforma de su propio procedimiento electoral y a dar</w:t>
      </w:r>
      <w:r w:rsidR="00E44CB9" w:rsidRPr="00F95D92">
        <w:rPr>
          <w:lang w:val="es-ES_tradnl"/>
        </w:rPr>
        <w:t>le</w:t>
      </w:r>
      <w:r w:rsidRPr="00F95D92">
        <w:rPr>
          <w:lang w:val="es-ES_tradnl"/>
        </w:rPr>
        <w:t xml:space="preserve"> su aprobación;</w:t>
      </w:r>
    </w:p>
    <w:p w14:paraId="66319181" w14:textId="77777777" w:rsidR="00E85B06" w:rsidRPr="00F95D92" w:rsidRDefault="00E85B06" w:rsidP="00E85B06">
      <w:pPr>
        <w:pStyle w:val="Normal12Hanging"/>
        <w:rPr>
          <w:lang w:val="es-ES_tradnl"/>
        </w:rPr>
      </w:pPr>
      <w:r w:rsidRPr="00F95D92">
        <w:rPr>
          <w:lang w:val="es-ES_tradnl"/>
        </w:rPr>
        <w:t>B.</w:t>
      </w:r>
      <w:r w:rsidRPr="00F95D92">
        <w:rPr>
          <w:lang w:val="es-ES_tradnl"/>
        </w:rPr>
        <w:tab/>
        <w:t>Considerando que la posibilidad de desarrollar un procedimiento electoral uniforme basado en el sufragio universal directo está prevista en los Tratados desde 1957;</w:t>
      </w:r>
    </w:p>
    <w:p w14:paraId="16A7FCF9" w14:textId="3A6EC6BB" w:rsidR="00E85B06" w:rsidRPr="00F95D92" w:rsidRDefault="00E85B06" w:rsidP="00E85B06">
      <w:pPr>
        <w:pStyle w:val="Normal12Hanging"/>
        <w:rPr>
          <w:lang w:val="es-ES_tradnl"/>
        </w:rPr>
      </w:pPr>
      <w:r w:rsidRPr="00F95D92">
        <w:rPr>
          <w:lang w:val="es-ES_tradnl"/>
        </w:rPr>
        <w:t>C.</w:t>
      </w:r>
      <w:r w:rsidRPr="00F95D92">
        <w:rPr>
          <w:lang w:val="es-ES_tradnl"/>
        </w:rPr>
        <w:tab/>
        <w:t xml:space="preserve">Considerando que la reforma del procedimiento electoral del Parlamento Europeo debe tener por objeto reforzar la dimensión democrática de las elecciones europeas, mejorar el funcionamiento del Parlamento Europeo y la gobernanza de la Unión, aumentar la legitimidad y la eficiencia del trabajo del Parlamento Europeo y </w:t>
      </w:r>
      <w:r w:rsidR="0011539C" w:rsidRPr="00F95D92">
        <w:rPr>
          <w:lang w:val="es-ES_tradnl"/>
        </w:rPr>
        <w:t xml:space="preserve">establecer </w:t>
      </w:r>
      <w:r w:rsidRPr="00F95D92">
        <w:rPr>
          <w:lang w:val="es-ES_tradnl"/>
        </w:rPr>
        <w:t>una mayor igualdad electoral para los ciudadanos de la Unión;</w:t>
      </w:r>
    </w:p>
    <w:p w14:paraId="45A0A0A4" w14:textId="77777777" w:rsidR="00E85B06" w:rsidRPr="00F95D92" w:rsidRDefault="00E85B06" w:rsidP="00E85B06">
      <w:pPr>
        <w:pStyle w:val="Normal12Hanging"/>
        <w:rPr>
          <w:lang w:val="es-ES_tradnl"/>
        </w:rPr>
      </w:pPr>
      <w:r w:rsidRPr="00F95D92">
        <w:rPr>
          <w:lang w:val="es-ES_tradnl"/>
        </w:rPr>
        <w:t>D.</w:t>
      </w:r>
      <w:r w:rsidRPr="00F95D92">
        <w:rPr>
          <w:lang w:val="es-ES_tradnl"/>
        </w:rPr>
        <w:tab/>
        <w:t>Considerando que las políticas de conciliación de la vida laboral y privada deben contribuir a la consecución de la igualdad de género mediante la promoción de la participación de las madres en la política;</w:t>
      </w:r>
    </w:p>
    <w:p w14:paraId="3E3F98A8" w14:textId="77777777" w:rsidR="00E85B06" w:rsidRPr="00F95D92" w:rsidRDefault="00E85B06" w:rsidP="00E85B06">
      <w:pPr>
        <w:pStyle w:val="Normal12Hanging"/>
        <w:rPr>
          <w:lang w:val="es-ES_tradnl"/>
        </w:rPr>
      </w:pPr>
      <w:r w:rsidRPr="00F95D92">
        <w:rPr>
          <w:lang w:val="es-ES_tradnl"/>
        </w:rPr>
        <w:t>E.</w:t>
      </w:r>
      <w:r w:rsidRPr="00F95D92">
        <w:rPr>
          <w:lang w:val="es-ES_tradnl"/>
        </w:rPr>
        <w:tab/>
        <w:t>Considerando que la reforma del procedimiento electoral debe respetar los principios de subsidiariedad y proporcionalidad;</w:t>
      </w:r>
    </w:p>
    <w:p w14:paraId="28D04025" w14:textId="77777777" w:rsidR="00E85B06" w:rsidRPr="00F95D92" w:rsidRDefault="00E85B06" w:rsidP="00E85B06">
      <w:pPr>
        <w:pStyle w:val="NormalHanging12a"/>
      </w:pPr>
      <w:r w:rsidRPr="00F95D92">
        <w:t>1.</w:t>
      </w:r>
      <w:r w:rsidRPr="00F95D92">
        <w:tab/>
        <w:t>Decide reforzar las normas en materia de maternidad para las diputadas al Parlamento Europeo que deseen seguir desempeñando sus funciones parlamentarias;</w:t>
      </w:r>
    </w:p>
    <w:p w14:paraId="5839A07C" w14:textId="77777777" w:rsidR="00E85B06" w:rsidRPr="00F95D92" w:rsidRDefault="00E85B06" w:rsidP="00E85B06">
      <w:pPr>
        <w:pStyle w:val="NormalHanging12a"/>
      </w:pPr>
      <w:r w:rsidRPr="00F95D92">
        <w:t>2.</w:t>
      </w:r>
      <w:r w:rsidRPr="00F95D92">
        <w:tab/>
        <w:t>Propone una revisión en este sentido del Acta Electoral Europea que permita a las diputadas delegar su voto en el Pleno en otro diputado de su elección durante el embarazo y después del parto;</w:t>
      </w:r>
    </w:p>
    <w:p w14:paraId="35CE951B" w14:textId="1962AF48" w:rsidR="00E85B06" w:rsidRPr="00F95D92" w:rsidRDefault="00E85B06" w:rsidP="00E85B06">
      <w:pPr>
        <w:pStyle w:val="NormalHanging12a"/>
      </w:pPr>
      <w:r w:rsidRPr="00F95D92">
        <w:t>3.</w:t>
      </w:r>
      <w:r w:rsidRPr="00F95D92">
        <w:tab/>
        <w:t xml:space="preserve">Considera que esta reforma permitirá a las diputadas ejercer plenamente sus mandatos en los períodos inmediatamente anteriores y posteriores a ser madres, mejorando la </w:t>
      </w:r>
      <w:r w:rsidRPr="00F95D92">
        <w:lastRenderedPageBreak/>
        <w:t>equidad institucional y la inclusión en el Parlamento Europeo;</w:t>
      </w:r>
    </w:p>
    <w:p w14:paraId="513B0167" w14:textId="46CACBF9" w:rsidR="00E85B06" w:rsidRPr="00F95D92" w:rsidRDefault="00E85B06" w:rsidP="00E85B06">
      <w:pPr>
        <w:pStyle w:val="NormalHanging12a"/>
      </w:pPr>
      <w:r w:rsidRPr="00F95D92">
        <w:t>4.</w:t>
      </w:r>
      <w:r w:rsidRPr="00F95D92">
        <w:tab/>
        <w:t xml:space="preserve">Aprueba la propuesta que figura en anexo y la </w:t>
      </w:r>
      <w:r w:rsidR="00E44CB9" w:rsidRPr="00F95D92">
        <w:t>somete</w:t>
      </w:r>
      <w:r w:rsidRPr="00F95D92">
        <w:t xml:space="preserve"> al Consejo;</w:t>
      </w:r>
    </w:p>
    <w:p w14:paraId="17CE3D34" w14:textId="77777777" w:rsidR="00E85B06" w:rsidRDefault="00E85B06" w:rsidP="00E85B06">
      <w:pPr>
        <w:pStyle w:val="NormalHanging12a"/>
      </w:pPr>
      <w:r w:rsidRPr="00F95D92">
        <w:t>5.</w:t>
      </w:r>
      <w:r w:rsidRPr="00F95D92">
        <w:tab/>
        <w:t>Encarga a su presidenta que transmita la presente Resolución legislativa, así como la propuesta que figura en anexo, al Consejo Europeo, al Consejo y a la Comisión, así como a los Parlamentos y Gobiernos de los Estados miembros.</w:t>
      </w:r>
    </w:p>
    <w:p w14:paraId="5FB1A907" w14:textId="77777777" w:rsidR="00B04B02" w:rsidRPr="00F95D92" w:rsidRDefault="00B04B02" w:rsidP="00E85B06">
      <w:pPr>
        <w:pStyle w:val="NormalHanging12a"/>
        <w:sectPr w:rsidR="00B04B02" w:rsidRPr="00F95D92" w:rsidSect="00BB407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AE5EDD" w14:textId="6CFFF9B4" w:rsidR="00E85B06" w:rsidRPr="00B04B02" w:rsidRDefault="00E85B06" w:rsidP="00B04B02">
      <w:pPr>
        <w:pStyle w:val="PageHeading"/>
        <w:jc w:val="right"/>
        <w:rPr>
          <w:rFonts w:ascii="Times New Roman" w:hAnsi="Times New Roman" w:cs="Times New Roman"/>
          <w:b w:val="0"/>
          <w:bCs/>
        </w:rPr>
      </w:pPr>
      <w:bookmarkStart w:id="7" w:name="_Toc213315900"/>
      <w:r w:rsidRPr="00B04B02">
        <w:rPr>
          <w:rFonts w:ascii="Times New Roman" w:hAnsi="Times New Roman" w:cs="Times New Roman"/>
          <w:b w:val="0"/>
          <w:bCs/>
        </w:rPr>
        <w:lastRenderedPageBreak/>
        <w:t>ANEXO A LA RESOLUCIÓN LEGISLATIVA</w:t>
      </w:r>
      <w:bookmarkEnd w:id="7"/>
    </w:p>
    <w:p w14:paraId="657A1EA6" w14:textId="77777777" w:rsidR="00E85B06" w:rsidRPr="00F95D92" w:rsidRDefault="00E85B06" w:rsidP="00E85B06">
      <w:pPr>
        <w:pStyle w:val="NormalCenter24a"/>
        <w:rPr>
          <w:b/>
          <w:bCs/>
        </w:rPr>
      </w:pPr>
      <w:r w:rsidRPr="00F95D92">
        <w:rPr>
          <w:b/>
        </w:rPr>
        <w:t>PROPUESTA DE DECISIÓN DEL CONSEJO</w:t>
      </w:r>
    </w:p>
    <w:p w14:paraId="18F6A265" w14:textId="77777777" w:rsidR="00E85B06" w:rsidRPr="00F95D92" w:rsidRDefault="00E85B06" w:rsidP="00E85B06">
      <w:pPr>
        <w:widowControl/>
        <w:rPr>
          <w:szCs w:val="24"/>
        </w:rPr>
      </w:pPr>
      <w:r w:rsidRPr="00F95D92">
        <w:rPr>
          <w:b/>
        </w:rPr>
        <w:t>por la que se adoptan las disposiciones por las que se modifica el Acta relativa a la elección de los diputados al Parlamento Europeo por sufragio universal directo</w:t>
      </w:r>
      <w:r w:rsidRPr="00F95D92">
        <w:t xml:space="preserve"> </w:t>
      </w:r>
    </w:p>
    <w:p w14:paraId="48C0B93C" w14:textId="77777777" w:rsidR="00E85B06" w:rsidRPr="00F95D92" w:rsidRDefault="00E85B06" w:rsidP="00E85B06"/>
    <w:p w14:paraId="248F03A6" w14:textId="77777777" w:rsidR="00E85B06" w:rsidRPr="00F95D92" w:rsidRDefault="00E85B06" w:rsidP="00E85B06">
      <w:r w:rsidRPr="00F95D92">
        <w:t>EL CONSEJO DE LA UNIÓN EUROPEA,</w:t>
      </w:r>
    </w:p>
    <w:p w14:paraId="1D8BAA69" w14:textId="77777777" w:rsidR="00E85B06" w:rsidRPr="00F95D92" w:rsidRDefault="00E85B06" w:rsidP="00E85B06"/>
    <w:p w14:paraId="12152CFA" w14:textId="77777777" w:rsidR="00E85B06" w:rsidRPr="00F95D92" w:rsidRDefault="00E85B06" w:rsidP="00E85B06">
      <w:r w:rsidRPr="00F95D92">
        <w:t>Visto el Tratado de Funcionamiento de la Unión Europea, y en particular su artículo 223, apartado 1,</w:t>
      </w:r>
    </w:p>
    <w:p w14:paraId="516B3A73" w14:textId="77777777" w:rsidR="00E85B06" w:rsidRPr="00F95D92" w:rsidRDefault="00E85B06" w:rsidP="00E85B06"/>
    <w:p w14:paraId="19AE407F" w14:textId="77777777" w:rsidR="00E85B06" w:rsidRPr="00F95D92" w:rsidRDefault="00E85B06" w:rsidP="00E85B06">
      <w:r w:rsidRPr="00F95D92">
        <w:t>Visto el Tratado constitutivo de la Comunidad Europea de la Energía Atómica, y en particular su artículo 106 </w:t>
      </w:r>
      <w:r w:rsidRPr="00F95D92">
        <w:rPr>
          <w:i/>
        </w:rPr>
        <w:t>bis</w:t>
      </w:r>
      <w:r w:rsidRPr="00F95D92">
        <w:t>, apartado 1,</w:t>
      </w:r>
    </w:p>
    <w:p w14:paraId="4CECFF22" w14:textId="77777777" w:rsidR="00E85B06" w:rsidRPr="00F95D92" w:rsidRDefault="00E85B06" w:rsidP="00E85B06"/>
    <w:p w14:paraId="3B04A1A1" w14:textId="77777777" w:rsidR="00E85B06" w:rsidRPr="00F95D92" w:rsidRDefault="00E85B06" w:rsidP="00E85B06">
      <w:r w:rsidRPr="00F95D92">
        <w:t>Visto el proyecto del Parlamento Europeo,</w:t>
      </w:r>
    </w:p>
    <w:p w14:paraId="3BB97501" w14:textId="77777777" w:rsidR="00E85B06" w:rsidRPr="00F95D92" w:rsidRDefault="00E85B06" w:rsidP="00E85B06"/>
    <w:p w14:paraId="54CA8732" w14:textId="77777777" w:rsidR="00E85B06" w:rsidRPr="00F95D92" w:rsidRDefault="00E85B06" w:rsidP="00E85B06">
      <w:r w:rsidRPr="00F95D92">
        <w:t>Previa transmisión del proyecto de acto legislativo a los Parlamentos nacionales,</w:t>
      </w:r>
    </w:p>
    <w:p w14:paraId="78B16F37" w14:textId="77777777" w:rsidR="00E85B06" w:rsidRPr="00F95D92" w:rsidRDefault="00E85B06" w:rsidP="00E85B06"/>
    <w:p w14:paraId="4A0479F4" w14:textId="77777777" w:rsidR="00E85B06" w:rsidRPr="00F95D92" w:rsidRDefault="00E85B06" w:rsidP="00E85B06">
      <w:pPr>
        <w:rPr>
          <w:i/>
        </w:rPr>
      </w:pPr>
      <w:r w:rsidRPr="00F95D92">
        <w:t>Vista la aprobación del Parlamento Europeo,</w:t>
      </w:r>
    </w:p>
    <w:p w14:paraId="28C771EA" w14:textId="77777777" w:rsidR="00E85B06" w:rsidRPr="00F95D92" w:rsidRDefault="00E85B06" w:rsidP="00E85B06"/>
    <w:p w14:paraId="0669E38C" w14:textId="77777777" w:rsidR="00E85B06" w:rsidRPr="00F95D92" w:rsidRDefault="00E85B06" w:rsidP="00E85B06">
      <w:r w:rsidRPr="00F95D92">
        <w:t>Pronunciándose de conformidad con un procedimiento legislativo especial,</w:t>
      </w:r>
    </w:p>
    <w:p w14:paraId="274B148E" w14:textId="77777777" w:rsidR="00E85B06" w:rsidRPr="00F95D92" w:rsidRDefault="00E85B06" w:rsidP="00E85B06"/>
    <w:p w14:paraId="066042E3" w14:textId="77777777" w:rsidR="00E85B06" w:rsidRPr="00F95D92" w:rsidRDefault="00E85B06" w:rsidP="00E85B06">
      <w:r w:rsidRPr="00F95D92">
        <w:t>Considerando lo siguiente:</w:t>
      </w:r>
    </w:p>
    <w:p w14:paraId="35F2B3E4" w14:textId="77777777" w:rsidR="00E85B06" w:rsidRPr="00F95D92" w:rsidRDefault="00E85B06" w:rsidP="00E85B06"/>
    <w:p w14:paraId="3AEBF8DC" w14:textId="77777777" w:rsidR="00E85B06" w:rsidRPr="00F95D92" w:rsidRDefault="00E85B06" w:rsidP="00E85B06">
      <w:r w:rsidRPr="00F95D92">
        <w:t>(1)</w:t>
      </w:r>
      <w:r w:rsidRPr="00F95D92">
        <w:tab/>
        <w:t>Las políticas de conciliación de la vida laboral y privada deben contribuir a la consecución de la igualdad de género mediante la promoción de la participación de las madres en la política;</w:t>
      </w:r>
    </w:p>
    <w:p w14:paraId="09B6F142" w14:textId="77777777" w:rsidR="00E85B06" w:rsidRPr="00F95D92" w:rsidRDefault="00E85B06" w:rsidP="00E85B06">
      <w:pPr>
        <w:pStyle w:val="ListParagraph"/>
        <w:ind w:left="0"/>
      </w:pPr>
    </w:p>
    <w:p w14:paraId="4A522294" w14:textId="12AF1AE0" w:rsidR="00E85B06" w:rsidRPr="00F95D92" w:rsidRDefault="00E85B06" w:rsidP="00E85B06">
      <w:r w:rsidRPr="00F95D92">
        <w:t>(2)</w:t>
      </w:r>
      <w:r w:rsidRPr="00F95D92">
        <w:tab/>
        <w:t>La introducción de un sistema de voto por delegación en el Pleno permitirá a las diputadas ejercer plenamente sus mandatos en los períodos inmediatamente anteriores y posteriores a ser madres.</w:t>
      </w:r>
    </w:p>
    <w:p w14:paraId="4C056B0C" w14:textId="77777777" w:rsidR="00E85B06" w:rsidRPr="00F95D92" w:rsidRDefault="00E85B06" w:rsidP="00E85B06">
      <w:pPr>
        <w:pStyle w:val="ListParagraph"/>
        <w:ind w:left="0"/>
      </w:pPr>
    </w:p>
    <w:p w14:paraId="06E878B0" w14:textId="77777777" w:rsidR="00E85B06" w:rsidRPr="00F95D92" w:rsidRDefault="00E85B06" w:rsidP="00E85B06"/>
    <w:p w14:paraId="1F6ABCCD" w14:textId="77777777" w:rsidR="00E85B06" w:rsidRPr="00F95D92" w:rsidRDefault="00E85B06" w:rsidP="00E85B06"/>
    <w:p w14:paraId="5CD9B52D" w14:textId="77777777" w:rsidR="00E85B06" w:rsidRPr="00F95D92" w:rsidRDefault="00E85B06" w:rsidP="00E85B06">
      <w:r w:rsidRPr="00F95D92">
        <w:t xml:space="preserve">HA ADOPTADO LA PRESENTE DECISIÓN: </w:t>
      </w:r>
    </w:p>
    <w:p w14:paraId="27085BBC" w14:textId="77777777" w:rsidR="00E85B06" w:rsidRPr="00F95D92" w:rsidRDefault="00E85B06" w:rsidP="00E85B06"/>
    <w:p w14:paraId="06B413B7" w14:textId="77777777" w:rsidR="00E85B06" w:rsidRPr="00F95D92" w:rsidRDefault="00E85B06" w:rsidP="00E85B06"/>
    <w:p w14:paraId="456513D8" w14:textId="77777777" w:rsidR="00E85B06" w:rsidRPr="00F95D92" w:rsidRDefault="00E85B06" w:rsidP="00E85B06">
      <w:pPr>
        <w:jc w:val="center"/>
        <w:rPr>
          <w:i/>
        </w:rPr>
      </w:pPr>
      <w:r w:rsidRPr="00F95D92">
        <w:rPr>
          <w:i/>
        </w:rPr>
        <w:t>Artículo 1</w:t>
      </w:r>
    </w:p>
    <w:p w14:paraId="51B7206E" w14:textId="77777777" w:rsidR="00E85B06" w:rsidRPr="00F95D92" w:rsidRDefault="00E85B06" w:rsidP="00E85B06"/>
    <w:p w14:paraId="7964096E" w14:textId="77777777" w:rsidR="00E85B06" w:rsidRPr="00F95D92" w:rsidRDefault="00E85B06" w:rsidP="00E85B06">
      <w:r w:rsidRPr="00F95D92">
        <w:t>En el artículo 6, apartado 1, del Acta relativa a la elección de los diputados al Parlamento Europeo por sufragio universal directo, aneja a la Decisión 76/787/CECA, CEE, Euratom del Consejo</w:t>
      </w:r>
      <w:r w:rsidRPr="00F95D92">
        <w:rPr>
          <w:rStyle w:val="FootnoteReference"/>
        </w:rPr>
        <w:footnoteReference w:id="8"/>
      </w:r>
      <w:r w:rsidRPr="00F95D92">
        <w:t xml:space="preserve"> se añade el párrafo siguiente:</w:t>
      </w:r>
    </w:p>
    <w:p w14:paraId="0DCAA944" w14:textId="77777777" w:rsidR="00E85B06" w:rsidRPr="00F95D92" w:rsidRDefault="00E85B06" w:rsidP="00E85B06"/>
    <w:p w14:paraId="32CC4330" w14:textId="1E59A321" w:rsidR="00E85B06" w:rsidRPr="00F95D92" w:rsidRDefault="00E85B06" w:rsidP="00E85B06">
      <w:r w:rsidRPr="00F95D92">
        <w:t xml:space="preserve">«No obstante lo dispuesto en el párrafo primero, la diputada embarazada o que haya dado a luz podrá delegar su voto en otro diputado durante un período máximo de tres meses antes de la fecha estimada de nacimiento del hijo y </w:t>
      </w:r>
      <w:r w:rsidR="0011539C" w:rsidRPr="00F95D92">
        <w:t xml:space="preserve">durante un período máximo </w:t>
      </w:r>
      <w:r w:rsidRPr="00F95D92">
        <w:t xml:space="preserve">de seis meses después del </w:t>
      </w:r>
      <w:r w:rsidR="0024293F" w:rsidRPr="00F95D92">
        <w:t>nacimiento</w:t>
      </w:r>
      <w:r w:rsidRPr="00F95D92">
        <w:t>.»</w:t>
      </w:r>
      <w:r w:rsidR="00104317" w:rsidRPr="00F95D92">
        <w:t>.</w:t>
      </w:r>
    </w:p>
    <w:p w14:paraId="613A45BA" w14:textId="77777777" w:rsidR="00E85B06" w:rsidRPr="00F95D92" w:rsidRDefault="00E85B06" w:rsidP="00E85B06">
      <w:pPr>
        <w:jc w:val="both"/>
      </w:pPr>
    </w:p>
    <w:p w14:paraId="1391E0BE" w14:textId="77777777" w:rsidR="00E85B06" w:rsidRPr="00F95D92" w:rsidRDefault="00E85B06" w:rsidP="00E85B06"/>
    <w:p w14:paraId="5E678947" w14:textId="77777777" w:rsidR="00E85B06" w:rsidRPr="00F95D92" w:rsidRDefault="00E85B06" w:rsidP="00E85B06">
      <w:pPr>
        <w:keepNext/>
        <w:jc w:val="center"/>
        <w:rPr>
          <w:i/>
        </w:rPr>
      </w:pPr>
      <w:r w:rsidRPr="00F95D92">
        <w:rPr>
          <w:i/>
        </w:rPr>
        <w:t>Artículo 2</w:t>
      </w:r>
    </w:p>
    <w:p w14:paraId="450A41BC" w14:textId="77777777" w:rsidR="00E85B06" w:rsidRPr="00F95D92" w:rsidRDefault="00E85B06" w:rsidP="00E85B06">
      <w:pPr>
        <w:keepNext/>
      </w:pPr>
    </w:p>
    <w:p w14:paraId="35889414" w14:textId="77777777" w:rsidR="00E85B06" w:rsidRPr="00F95D92" w:rsidRDefault="00E85B06" w:rsidP="00E85B06">
      <w:pPr>
        <w:pStyle w:val="CommentText"/>
        <w:rPr>
          <w:color w:val="000000" w:themeColor="text1"/>
        </w:rPr>
      </w:pPr>
      <w:r w:rsidRPr="00F95D92">
        <w:rPr>
          <w:color w:val="333333"/>
          <w:sz w:val="24"/>
        </w:rPr>
        <w:t>1</w:t>
      </w:r>
      <w:r w:rsidRPr="00F95D92">
        <w:rPr>
          <w:sz w:val="24"/>
        </w:rPr>
        <w:t>.</w:t>
      </w:r>
      <w:r w:rsidRPr="00F95D92">
        <w:rPr>
          <w:sz w:val="24"/>
        </w:rPr>
        <w:tab/>
        <w:t>La presente Decisión queda sujeta a la aprobación por los Estados miembros de conformidad con sus respectivas normas constitucionales.</w:t>
      </w:r>
      <w:r w:rsidRPr="00F95D92">
        <w:rPr>
          <w:color w:val="000000" w:themeColor="text1"/>
          <w:sz w:val="24"/>
        </w:rPr>
        <w:t> Los Estados miembros notificarán a la Secretaría General del Consejo la terminación de los procedimientos necesarios a tal fin.</w:t>
      </w:r>
    </w:p>
    <w:p w14:paraId="53A58161" w14:textId="77777777" w:rsidR="00E85B06" w:rsidRPr="00F95D92" w:rsidRDefault="00E85B06" w:rsidP="00E85B06">
      <w:pPr>
        <w:pStyle w:val="CommentText"/>
        <w:rPr>
          <w:color w:val="000000" w:themeColor="text1"/>
        </w:rPr>
      </w:pPr>
    </w:p>
    <w:p w14:paraId="0F615656" w14:textId="77777777" w:rsidR="00E85B06" w:rsidRPr="00F95D92" w:rsidRDefault="00E85B06" w:rsidP="00E85B06">
      <w:pPr>
        <w:keepNext/>
        <w:rPr>
          <w:color w:val="000000" w:themeColor="text1"/>
        </w:rPr>
      </w:pPr>
      <w:r w:rsidRPr="00F95D92">
        <w:rPr>
          <w:color w:val="000000" w:themeColor="text1"/>
        </w:rPr>
        <w:t>2.</w:t>
      </w:r>
      <w:r w:rsidRPr="00F95D92">
        <w:rPr>
          <w:color w:val="000000" w:themeColor="text1"/>
        </w:rPr>
        <w:tab/>
        <w:t xml:space="preserve">La presente Decisión entrará en vigor el primer día siguiente al de la recepción de la última notificación a que se refiere el apartado 1. </w:t>
      </w:r>
    </w:p>
    <w:p w14:paraId="2439CA88" w14:textId="77777777" w:rsidR="00E85B06" w:rsidRPr="00F95D92" w:rsidRDefault="00E85B06" w:rsidP="00E85B06">
      <w:pPr>
        <w:rPr>
          <w:rFonts w:eastAsia="Calibri"/>
          <w:b/>
          <w:szCs w:val="24"/>
          <w:lang w:eastAsia="en-US"/>
        </w:rPr>
      </w:pPr>
    </w:p>
    <w:p w14:paraId="581B7A1A" w14:textId="77777777" w:rsidR="00E85B06" w:rsidRPr="00F95D92" w:rsidRDefault="00E85B06" w:rsidP="00E85B06">
      <w:pPr>
        <w:rPr>
          <w:rFonts w:eastAsia="Calibri"/>
          <w:b/>
          <w:szCs w:val="24"/>
          <w:lang w:eastAsia="en-US"/>
        </w:rPr>
      </w:pPr>
    </w:p>
    <w:p w14:paraId="31282837" w14:textId="77777777" w:rsidR="00E85B06" w:rsidRPr="00F95D92" w:rsidRDefault="00E85B06" w:rsidP="00E85B06">
      <w:pPr>
        <w:jc w:val="center"/>
        <w:rPr>
          <w:i/>
        </w:rPr>
      </w:pPr>
      <w:r w:rsidRPr="00F95D92">
        <w:rPr>
          <w:i/>
        </w:rPr>
        <w:t>Artículo 3</w:t>
      </w:r>
    </w:p>
    <w:p w14:paraId="6C9B879E" w14:textId="77777777" w:rsidR="00E85B06" w:rsidRPr="00F95D92" w:rsidRDefault="00E85B06" w:rsidP="00E85B06">
      <w:pPr>
        <w:rPr>
          <w:rFonts w:eastAsia="Calibri"/>
          <w:b/>
          <w:szCs w:val="24"/>
          <w:lang w:eastAsia="en-US"/>
        </w:rPr>
      </w:pPr>
    </w:p>
    <w:p w14:paraId="25AE96BC" w14:textId="77777777" w:rsidR="00E85B06" w:rsidRPr="00F95D92" w:rsidRDefault="00E85B06" w:rsidP="00E85B06">
      <w:pPr>
        <w:jc w:val="both"/>
      </w:pPr>
      <w:r w:rsidRPr="00F95D92">
        <w:t xml:space="preserve">La presente Decisión se publicará en el </w:t>
      </w:r>
      <w:r w:rsidRPr="00F95D92">
        <w:rPr>
          <w:i/>
        </w:rPr>
        <w:t>Diario Oficial de la Unión Europea</w:t>
      </w:r>
      <w:r w:rsidRPr="00F95D92">
        <w:t>.</w:t>
      </w:r>
    </w:p>
    <w:p w14:paraId="35D97826" w14:textId="77777777" w:rsidR="00E85B06" w:rsidRPr="00F95D92" w:rsidRDefault="00E85B06" w:rsidP="00E85B06">
      <w:pPr>
        <w:rPr>
          <w:rFonts w:eastAsia="Calibri"/>
          <w:b/>
          <w:szCs w:val="24"/>
          <w:lang w:eastAsia="en-US"/>
        </w:rPr>
      </w:pPr>
    </w:p>
    <w:p w14:paraId="72E31913" w14:textId="77777777" w:rsidR="00E85B06" w:rsidRPr="00F95D92" w:rsidRDefault="00E85B06" w:rsidP="00E85B06"/>
    <w:p w14:paraId="0D45F4DA" w14:textId="77777777" w:rsidR="00E85B06" w:rsidRPr="00F95D92" w:rsidRDefault="00E85B06" w:rsidP="00E85B06"/>
    <w:p w14:paraId="4FCF07EA" w14:textId="77777777" w:rsidR="00E85B06" w:rsidRPr="00F95D92" w:rsidRDefault="00E85B06" w:rsidP="00E85B06">
      <w:r w:rsidRPr="00F95D92">
        <w:t>Hecho en Bruselas.</w:t>
      </w:r>
    </w:p>
    <w:p w14:paraId="546F891A" w14:textId="77777777" w:rsidR="00E85B06" w:rsidRPr="00F95D92" w:rsidRDefault="00E85B06" w:rsidP="00E85B06"/>
    <w:p w14:paraId="2A53815A" w14:textId="77777777" w:rsidR="006D5A1D" w:rsidRPr="00F95D92" w:rsidRDefault="006D5A1D" w:rsidP="00E85B06"/>
    <w:p w14:paraId="37DE1B4D" w14:textId="77777777" w:rsidR="006D5A1D" w:rsidRPr="00F95D92" w:rsidRDefault="006D5A1D" w:rsidP="00E85B06"/>
    <w:p w14:paraId="55EB9644" w14:textId="77777777" w:rsidR="00E85B06" w:rsidRPr="00F95D92" w:rsidRDefault="00E85B06" w:rsidP="00E85B06">
      <w:pPr>
        <w:ind w:left="4962"/>
        <w:rPr>
          <w:i/>
        </w:rPr>
      </w:pPr>
    </w:p>
    <w:p w14:paraId="49F09727" w14:textId="77777777" w:rsidR="00E85B06" w:rsidRPr="00F95D92" w:rsidRDefault="00E85B06" w:rsidP="0010180B">
      <w:pPr>
        <w:rPr>
          <w:i/>
        </w:rPr>
      </w:pPr>
      <w:r w:rsidRPr="00F95D92">
        <w:rPr>
          <w:i/>
        </w:rPr>
        <w:t>Por el Consejo</w:t>
      </w:r>
    </w:p>
    <w:p w14:paraId="2DE394F3" w14:textId="004D5E16" w:rsidR="00BB4073" w:rsidRPr="00F95D92" w:rsidRDefault="00E85B06" w:rsidP="0010180B">
      <w:pPr>
        <w:pStyle w:val="Normal12a"/>
      </w:pPr>
      <w:r w:rsidRPr="00F95D92">
        <w:rPr>
          <w:i/>
        </w:rPr>
        <w:t xml:space="preserve">[La </w:t>
      </w:r>
      <w:proofErr w:type="gramStart"/>
      <w:r w:rsidRPr="00F95D92">
        <w:rPr>
          <w:i/>
        </w:rPr>
        <w:t>Presidenta</w:t>
      </w:r>
      <w:proofErr w:type="gramEnd"/>
      <w:r w:rsidRPr="00F95D92">
        <w:rPr>
          <w:i/>
        </w:rPr>
        <w:t> / El Presidente]</w:t>
      </w:r>
    </w:p>
    <w:p w14:paraId="274B6D06" w14:textId="6020E6A9" w:rsidR="00E365E1" w:rsidRPr="00F95D92" w:rsidRDefault="00E365E1" w:rsidP="00E85B06"/>
    <w:sectPr w:rsidR="00E365E1" w:rsidRPr="00F95D92" w:rsidSect="00BB407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2D458" w14:textId="77777777" w:rsidR="004F5BF2" w:rsidRPr="00BB4073" w:rsidRDefault="004F5BF2">
      <w:r w:rsidRPr="00BB4073">
        <w:separator/>
      </w:r>
    </w:p>
  </w:endnote>
  <w:endnote w:type="continuationSeparator" w:id="0">
    <w:p w14:paraId="28D31FCC" w14:textId="77777777" w:rsidR="004F5BF2" w:rsidRPr="00BB4073" w:rsidRDefault="004F5BF2">
      <w:r w:rsidRPr="00BB40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A792" w14:textId="77777777" w:rsidR="00E85B06" w:rsidRPr="00BB4073" w:rsidRDefault="00E85B06" w:rsidP="007D5332">
    <w:pPr>
      <w:pStyle w:val="EPFooter"/>
    </w:pPr>
    <w:r w:rsidRPr="00BB4073">
      <w:t>PE</w:t>
    </w:r>
    <w:r w:rsidRPr="00BB4073">
      <w:rPr>
        <w:rStyle w:val="HideTWBExt"/>
      </w:rPr>
      <w:t>&lt;</w:t>
    </w:r>
    <w:proofErr w:type="spellStart"/>
    <w:r w:rsidRPr="00BB4073">
      <w:rPr>
        <w:rStyle w:val="HideTWBExt"/>
      </w:rPr>
      <w:t>NoPE</w:t>
    </w:r>
    <w:proofErr w:type="spellEnd"/>
    <w:r w:rsidRPr="00BB4073">
      <w:rPr>
        <w:rStyle w:val="HideTWBExt"/>
      </w:rPr>
      <w:t>&gt;</w:t>
    </w:r>
    <w:r w:rsidRPr="00BB4073">
      <w:t>778.275</w:t>
    </w:r>
    <w:r w:rsidRPr="00BB4073">
      <w:rPr>
        <w:rStyle w:val="HideTWBExt"/>
      </w:rPr>
      <w:t>&lt;/</w:t>
    </w:r>
    <w:proofErr w:type="spellStart"/>
    <w:r w:rsidRPr="00BB4073">
      <w:rPr>
        <w:rStyle w:val="HideTWBExt"/>
      </w:rPr>
      <w:t>NoPE</w:t>
    </w:r>
    <w:proofErr w:type="spellEnd"/>
    <w:r w:rsidRPr="00BB4073">
      <w:rPr>
        <w:rStyle w:val="HideTWBExt"/>
      </w:rPr>
      <w:t>&gt;&lt;Version&gt;</w:t>
    </w:r>
    <w:r w:rsidRPr="00BB4073">
      <w:t>v02-00</w:t>
    </w:r>
    <w:r w:rsidRPr="00BB4073">
      <w:rPr>
        <w:rStyle w:val="HideTWBExt"/>
      </w:rPr>
      <w:t>&lt;/</w:t>
    </w:r>
    <w:proofErr w:type="spellStart"/>
    <w:r w:rsidRPr="00BB4073">
      <w:rPr>
        <w:rStyle w:val="HideTWBExt"/>
      </w:rPr>
      <w:t>Version</w:t>
    </w:r>
    <w:proofErr w:type="spellEnd"/>
    <w:r w:rsidRPr="00BB4073">
      <w:rPr>
        <w:rStyle w:val="HideTWBExt"/>
      </w:rPr>
      <w:t>&gt;</w:t>
    </w:r>
    <w:r w:rsidRPr="00BB4073">
      <w:tab/>
    </w:r>
    <w:r w:rsidRPr="00BB4073">
      <w:fldChar w:fldCharType="begin"/>
    </w:r>
    <w:r w:rsidRPr="00BB4073">
      <w:instrText xml:space="preserve"> PAGE  \* MERGEFORMAT </w:instrText>
    </w:r>
    <w:r w:rsidRPr="00BB4073">
      <w:fldChar w:fldCharType="separate"/>
    </w:r>
    <w:r w:rsidRPr="00BB4073">
      <w:rPr>
        <w:noProof/>
      </w:rPr>
      <w:t>10</w:t>
    </w:r>
    <w:r w:rsidRPr="00BB4073">
      <w:fldChar w:fldCharType="end"/>
    </w:r>
    <w:r w:rsidRPr="00BB4073">
      <w:t>/</w:t>
    </w:r>
    <w:r w:rsidR="00B04B02">
      <w:fldChar w:fldCharType="begin"/>
    </w:r>
    <w:r w:rsidR="00B04B02">
      <w:instrText xml:space="preserve"> NUMPAGES  \* MERGEFORMAT </w:instrText>
    </w:r>
    <w:r w:rsidR="00B04B02">
      <w:fldChar w:fldCharType="separate"/>
    </w:r>
    <w:r w:rsidRPr="00BB4073">
      <w:rPr>
        <w:noProof/>
      </w:rPr>
      <w:t>1</w:t>
    </w:r>
    <w:r w:rsidR="00B04B02">
      <w:rPr>
        <w:noProof/>
      </w:rPr>
      <w:fldChar w:fldCharType="end"/>
    </w:r>
    <w:r w:rsidRPr="00BB4073">
      <w:tab/>
    </w:r>
    <w:r w:rsidRPr="00BB4073">
      <w:rPr>
        <w:rStyle w:val="HideTWBExt"/>
      </w:rPr>
      <w:t>&lt;PathFdR&gt;</w:t>
    </w:r>
    <w:r w:rsidRPr="00BB4073">
      <w:t>RR\1331433ES.docx</w:t>
    </w:r>
    <w:r w:rsidRPr="00BB4073">
      <w:rPr>
        <w:rStyle w:val="HideTWBExt"/>
      </w:rPr>
      <w:t>&lt;/</w:t>
    </w:r>
    <w:proofErr w:type="spellStart"/>
    <w:r w:rsidRPr="00BB4073">
      <w:rPr>
        <w:rStyle w:val="HideTWBExt"/>
      </w:rPr>
      <w:t>PathFdR</w:t>
    </w:r>
    <w:proofErr w:type="spellEnd"/>
    <w:r w:rsidRPr="00BB4073">
      <w:rPr>
        <w:rStyle w:val="HideTWBExt"/>
      </w:rPr>
      <w:t>&gt;</w:t>
    </w:r>
  </w:p>
  <w:p w14:paraId="505A5BD6" w14:textId="77777777" w:rsidR="00E85B06" w:rsidRPr="00BB4073" w:rsidRDefault="00E85B06" w:rsidP="007D5332">
    <w:pPr>
      <w:pStyle w:val="EPFooter2"/>
    </w:pPr>
    <w:r w:rsidRPr="00BB407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6742C" w14:textId="77777777" w:rsidR="00E85B06" w:rsidRPr="00BB4073" w:rsidRDefault="00E85B06" w:rsidP="007D5332">
    <w:pPr>
      <w:pStyle w:val="EPFooter"/>
    </w:pPr>
    <w:r w:rsidRPr="00BB4073">
      <w:rPr>
        <w:rStyle w:val="HideTWBExt"/>
      </w:rPr>
      <w:t>&lt;PathFdR&gt;</w:t>
    </w:r>
    <w:r w:rsidRPr="00BB4073">
      <w:t>RR\1331433ES.docx</w:t>
    </w:r>
    <w:r w:rsidRPr="00BB4073">
      <w:rPr>
        <w:rStyle w:val="HideTWBExt"/>
      </w:rPr>
      <w:t>&lt;/</w:t>
    </w:r>
    <w:proofErr w:type="spellStart"/>
    <w:r w:rsidRPr="00BB4073">
      <w:rPr>
        <w:rStyle w:val="HideTWBExt"/>
      </w:rPr>
      <w:t>PathFdR</w:t>
    </w:r>
    <w:proofErr w:type="spellEnd"/>
    <w:r w:rsidRPr="00BB4073">
      <w:rPr>
        <w:rStyle w:val="HideTWBExt"/>
      </w:rPr>
      <w:t>&gt;</w:t>
    </w:r>
    <w:r w:rsidRPr="00BB4073">
      <w:tab/>
    </w:r>
    <w:r w:rsidRPr="00BB4073">
      <w:tab/>
      <w:t>PE</w:t>
    </w:r>
    <w:r w:rsidRPr="00BB4073">
      <w:rPr>
        <w:rStyle w:val="HideTWBExt"/>
      </w:rPr>
      <w:t>&lt;</w:t>
    </w:r>
    <w:proofErr w:type="spellStart"/>
    <w:r w:rsidRPr="00BB4073">
      <w:rPr>
        <w:rStyle w:val="HideTWBExt"/>
      </w:rPr>
      <w:t>NoPE</w:t>
    </w:r>
    <w:proofErr w:type="spellEnd"/>
    <w:r w:rsidRPr="00BB4073">
      <w:rPr>
        <w:rStyle w:val="HideTWBExt"/>
      </w:rPr>
      <w:t>&gt;</w:t>
    </w:r>
    <w:r w:rsidRPr="00BB4073">
      <w:t>778.275</w:t>
    </w:r>
    <w:r w:rsidRPr="00BB4073">
      <w:rPr>
        <w:rStyle w:val="HideTWBExt"/>
      </w:rPr>
      <w:t>&lt;/</w:t>
    </w:r>
    <w:proofErr w:type="spellStart"/>
    <w:r w:rsidRPr="00BB4073">
      <w:rPr>
        <w:rStyle w:val="HideTWBExt"/>
      </w:rPr>
      <w:t>NoPE</w:t>
    </w:r>
    <w:proofErr w:type="spellEnd"/>
    <w:r w:rsidRPr="00BB4073">
      <w:rPr>
        <w:rStyle w:val="HideTWBExt"/>
      </w:rPr>
      <w:t>&gt;&lt;Version&gt;</w:t>
    </w:r>
    <w:r w:rsidRPr="00BB4073">
      <w:t>v02-00</w:t>
    </w:r>
    <w:r w:rsidRPr="00BB4073">
      <w:rPr>
        <w:rStyle w:val="HideTWBExt"/>
      </w:rPr>
      <w:t>&lt;/</w:t>
    </w:r>
    <w:proofErr w:type="spellStart"/>
    <w:r w:rsidRPr="00BB4073">
      <w:rPr>
        <w:rStyle w:val="HideTWBExt"/>
      </w:rPr>
      <w:t>Version</w:t>
    </w:r>
    <w:proofErr w:type="spellEnd"/>
    <w:r w:rsidRPr="00BB4073">
      <w:rPr>
        <w:rStyle w:val="HideTWBExt"/>
      </w:rPr>
      <w:t>&gt;</w:t>
    </w:r>
  </w:p>
  <w:p w14:paraId="26736605" w14:textId="77777777" w:rsidR="00E85B06" w:rsidRPr="00BB4073" w:rsidRDefault="00E85B06" w:rsidP="007D5332">
    <w:pPr>
      <w:pStyle w:val="EPFooter2"/>
    </w:pPr>
    <w:r w:rsidRPr="00BB4073">
      <w:t>ES</w:t>
    </w:r>
    <w:r w:rsidRPr="00BB4073">
      <w:tab/>
    </w:r>
    <w:r w:rsidRPr="00BB4073">
      <w:rPr>
        <w:b w:val="0"/>
        <w:i/>
        <w:color w:val="C0C0C0"/>
        <w:sz w:val="22"/>
      </w:rPr>
      <w:t>Unida en la diversidad</w:t>
    </w:r>
    <w:r w:rsidRPr="00BB407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07AC" w14:textId="77777777" w:rsidR="00064002" w:rsidRPr="00BB407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8485" w14:textId="77777777" w:rsidR="00064002" w:rsidRPr="00BB407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8325" w14:textId="77777777" w:rsidR="00064002" w:rsidRPr="00BB40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47B6B" w14:textId="77777777" w:rsidR="004F5BF2" w:rsidRPr="00BB4073" w:rsidRDefault="004F5BF2">
      <w:r w:rsidRPr="00BB4073">
        <w:separator/>
      </w:r>
    </w:p>
  </w:footnote>
  <w:footnote w:type="continuationSeparator" w:id="0">
    <w:p w14:paraId="14F58EE1" w14:textId="77777777" w:rsidR="004F5BF2" w:rsidRPr="00BB4073" w:rsidRDefault="004F5BF2">
      <w:r w:rsidRPr="00BB4073">
        <w:continuationSeparator/>
      </w:r>
    </w:p>
  </w:footnote>
  <w:footnote w:id="1">
    <w:p w14:paraId="3007C222" w14:textId="03E3B2DE" w:rsidR="00E85B06" w:rsidRPr="006D1843" w:rsidRDefault="00E85B06" w:rsidP="00BB4073">
      <w:pPr>
        <w:pStyle w:val="FootnoteText"/>
        <w:ind w:left="567" w:hanging="567"/>
        <w:rPr>
          <w:sz w:val="24"/>
          <w:szCs w:val="24"/>
          <w:lang w:val="pt-PT"/>
        </w:rPr>
      </w:pPr>
      <w:r w:rsidRPr="006D1843">
        <w:rPr>
          <w:rStyle w:val="FootnoteReference"/>
          <w:sz w:val="24"/>
          <w:szCs w:val="24"/>
          <w:lang w:val="es-ES_tradnl"/>
        </w:rPr>
        <w:footnoteRef/>
      </w:r>
      <w:r w:rsidR="00BB4073" w:rsidRPr="006D1843">
        <w:rPr>
          <w:sz w:val="24"/>
          <w:szCs w:val="24"/>
          <w:lang w:val="pt-PT"/>
        </w:rPr>
        <w:t xml:space="preserve"> </w:t>
      </w:r>
      <w:r w:rsidR="00BB4073" w:rsidRPr="006D1843">
        <w:rPr>
          <w:sz w:val="24"/>
          <w:szCs w:val="24"/>
          <w:lang w:val="pt-PT"/>
        </w:rPr>
        <w:tab/>
      </w:r>
      <w:r w:rsidRPr="006D1843">
        <w:rPr>
          <w:sz w:val="24"/>
          <w:szCs w:val="24"/>
          <w:lang w:val="pt-PT"/>
        </w:rPr>
        <w:t xml:space="preserve">DO L 262 de 7.10.2005, p. 1, ELI: </w:t>
      </w:r>
      <w:hyperlink r:id="rId1" w:history="1">
        <w:r w:rsidRPr="006D1843">
          <w:rPr>
            <w:rStyle w:val="Hyperlink"/>
            <w:sz w:val="24"/>
            <w:szCs w:val="24"/>
            <w:lang w:val="pt-PT"/>
          </w:rPr>
          <w:t>http://data.europa.eu/eli/dec/2005/684/oj</w:t>
        </w:r>
      </w:hyperlink>
      <w:r w:rsidRPr="006D1843">
        <w:rPr>
          <w:rStyle w:val="Hyperlink"/>
          <w:sz w:val="24"/>
          <w:szCs w:val="24"/>
          <w:lang w:val="pt-PT"/>
        </w:rPr>
        <w:t>.</w:t>
      </w:r>
    </w:p>
  </w:footnote>
  <w:footnote w:id="2">
    <w:p w14:paraId="34AF6872" w14:textId="1BF66CAE" w:rsidR="00E85B06" w:rsidRPr="006D1843" w:rsidRDefault="00E85B06" w:rsidP="00BB4073">
      <w:pPr>
        <w:pStyle w:val="FootnoteText"/>
        <w:ind w:left="567" w:hanging="567"/>
        <w:rPr>
          <w:sz w:val="24"/>
          <w:szCs w:val="24"/>
          <w:lang w:val="pt-PT"/>
        </w:rPr>
      </w:pPr>
      <w:r w:rsidRPr="006D1843">
        <w:rPr>
          <w:rStyle w:val="FootnoteReference"/>
          <w:sz w:val="24"/>
          <w:szCs w:val="24"/>
          <w:lang w:val="es-ES_tradnl"/>
        </w:rPr>
        <w:footnoteRef/>
      </w:r>
      <w:r w:rsidR="00BB4073" w:rsidRPr="006D1843">
        <w:rPr>
          <w:sz w:val="24"/>
          <w:szCs w:val="24"/>
          <w:lang w:val="pt-PT"/>
        </w:rPr>
        <w:t xml:space="preserve"> </w:t>
      </w:r>
      <w:r w:rsidR="00BB4073" w:rsidRPr="006D1843">
        <w:rPr>
          <w:sz w:val="24"/>
          <w:szCs w:val="24"/>
          <w:lang w:val="pt-PT"/>
        </w:rPr>
        <w:tab/>
      </w:r>
      <w:r w:rsidRPr="006D1843">
        <w:rPr>
          <w:sz w:val="24"/>
          <w:szCs w:val="24"/>
          <w:lang w:val="pt-PT"/>
        </w:rPr>
        <w:t>DO C 292 de 21.9.1998, p. 66.</w:t>
      </w:r>
    </w:p>
  </w:footnote>
  <w:footnote w:id="3">
    <w:p w14:paraId="4846ABF0" w14:textId="347B1633" w:rsidR="00E85B06" w:rsidRPr="006D1843" w:rsidRDefault="00E85B06" w:rsidP="00BB4073">
      <w:pPr>
        <w:ind w:left="567" w:hanging="567"/>
        <w:rPr>
          <w:szCs w:val="24"/>
          <w:lang w:val="pt-PT"/>
        </w:rPr>
      </w:pPr>
      <w:r w:rsidRPr="006D1843">
        <w:rPr>
          <w:rStyle w:val="FootnoteReference"/>
          <w:szCs w:val="24"/>
        </w:rPr>
        <w:footnoteRef/>
      </w:r>
      <w:r w:rsidR="00BB4073" w:rsidRPr="006D1843">
        <w:rPr>
          <w:szCs w:val="24"/>
          <w:lang w:val="pt-PT"/>
        </w:rPr>
        <w:t xml:space="preserve"> </w:t>
      </w:r>
      <w:r w:rsidR="00BB4073" w:rsidRPr="006D1843">
        <w:rPr>
          <w:szCs w:val="24"/>
          <w:lang w:val="pt-PT"/>
        </w:rPr>
        <w:tab/>
      </w:r>
      <w:r w:rsidRPr="006D1843">
        <w:rPr>
          <w:szCs w:val="24"/>
          <w:lang w:val="pt-PT"/>
        </w:rPr>
        <w:t>DO C 419 de 16.12.2015, p. 185.</w:t>
      </w:r>
    </w:p>
  </w:footnote>
  <w:footnote w:id="4">
    <w:p w14:paraId="5A3EFDD0" w14:textId="77F82CC7" w:rsidR="00E85B06" w:rsidRPr="006D1843" w:rsidRDefault="00E85B06" w:rsidP="00BB4073">
      <w:pPr>
        <w:ind w:left="567" w:hanging="567"/>
        <w:rPr>
          <w:szCs w:val="24"/>
          <w:lang w:val="pt-PT"/>
        </w:rPr>
      </w:pPr>
      <w:r w:rsidRPr="006D1843">
        <w:rPr>
          <w:rStyle w:val="FootnoteReference"/>
          <w:szCs w:val="24"/>
        </w:rPr>
        <w:footnoteRef/>
      </w:r>
      <w:r w:rsidR="00BB4073" w:rsidRPr="006D1843">
        <w:rPr>
          <w:szCs w:val="24"/>
          <w:lang w:val="pt-PT"/>
        </w:rPr>
        <w:t xml:space="preserve"> </w:t>
      </w:r>
      <w:r w:rsidR="00BB4073" w:rsidRPr="006D1843">
        <w:rPr>
          <w:szCs w:val="24"/>
          <w:lang w:val="pt-PT"/>
        </w:rPr>
        <w:tab/>
      </w:r>
      <w:r w:rsidRPr="006D1843">
        <w:rPr>
          <w:szCs w:val="24"/>
          <w:lang w:val="pt-PT"/>
        </w:rPr>
        <w:t>DO C 75 de 26.2.2016, p. 109.</w:t>
      </w:r>
    </w:p>
  </w:footnote>
  <w:footnote w:id="5">
    <w:p w14:paraId="3D9BF66B" w14:textId="11988240" w:rsidR="00E85B06" w:rsidRPr="006D1843" w:rsidRDefault="00E85B06" w:rsidP="00BB4073">
      <w:pPr>
        <w:ind w:left="567" w:hanging="567"/>
        <w:rPr>
          <w:szCs w:val="24"/>
          <w:lang w:val="pt-PT"/>
        </w:rPr>
      </w:pPr>
      <w:r w:rsidRPr="006D1843">
        <w:rPr>
          <w:rStyle w:val="FootnoteReference"/>
          <w:szCs w:val="24"/>
        </w:rPr>
        <w:footnoteRef/>
      </w:r>
      <w:r w:rsidR="00BB4073" w:rsidRPr="006D1843">
        <w:rPr>
          <w:szCs w:val="24"/>
          <w:lang w:val="pt-PT"/>
        </w:rPr>
        <w:t xml:space="preserve"> </w:t>
      </w:r>
      <w:r w:rsidR="00BB4073" w:rsidRPr="006D1843">
        <w:rPr>
          <w:szCs w:val="24"/>
          <w:lang w:val="pt-PT"/>
        </w:rPr>
        <w:tab/>
      </w:r>
      <w:r w:rsidRPr="006D1843">
        <w:rPr>
          <w:szCs w:val="24"/>
          <w:lang w:val="pt-PT"/>
        </w:rPr>
        <w:t>DO C 366 de 27.10.2017, p. 7.</w:t>
      </w:r>
    </w:p>
  </w:footnote>
  <w:footnote w:id="6">
    <w:p w14:paraId="23494941" w14:textId="2A65692E" w:rsidR="00E85B06" w:rsidRPr="006D1843" w:rsidRDefault="00E85B06" w:rsidP="00BB4073">
      <w:pPr>
        <w:pStyle w:val="FootnoteText"/>
        <w:ind w:left="567" w:hanging="567"/>
        <w:rPr>
          <w:sz w:val="24"/>
          <w:szCs w:val="24"/>
          <w:lang w:val="pt-PT"/>
        </w:rPr>
      </w:pPr>
      <w:r w:rsidRPr="006D1843">
        <w:rPr>
          <w:rStyle w:val="FootnoteReference"/>
          <w:sz w:val="24"/>
          <w:szCs w:val="24"/>
          <w:lang w:val="es-ES_tradnl"/>
        </w:rPr>
        <w:footnoteRef/>
      </w:r>
      <w:r w:rsidR="00BB4073" w:rsidRPr="006D1843">
        <w:rPr>
          <w:sz w:val="24"/>
          <w:szCs w:val="24"/>
          <w:lang w:val="pt-PT"/>
        </w:rPr>
        <w:t xml:space="preserve"> </w:t>
      </w:r>
      <w:r w:rsidR="00BB4073" w:rsidRPr="006D1843">
        <w:rPr>
          <w:sz w:val="24"/>
          <w:szCs w:val="24"/>
          <w:lang w:val="pt-PT"/>
        </w:rPr>
        <w:tab/>
      </w:r>
      <w:r w:rsidRPr="006D1843">
        <w:rPr>
          <w:sz w:val="24"/>
          <w:szCs w:val="24"/>
          <w:lang w:val="pt-PT"/>
        </w:rPr>
        <w:t>DO C 465 de 6.12.2022, p. 171.</w:t>
      </w:r>
    </w:p>
  </w:footnote>
  <w:footnote w:id="7">
    <w:p w14:paraId="4D8C090C" w14:textId="5151A2CC" w:rsidR="00E85B06" w:rsidRPr="006D1843" w:rsidRDefault="00E85B06" w:rsidP="00BB4073">
      <w:pPr>
        <w:pStyle w:val="FootnoteText"/>
        <w:ind w:left="567" w:hanging="567"/>
        <w:rPr>
          <w:sz w:val="24"/>
          <w:szCs w:val="24"/>
          <w:lang w:val="pt-PT"/>
        </w:rPr>
      </w:pPr>
      <w:r w:rsidRPr="006D1843">
        <w:rPr>
          <w:rStyle w:val="FootnoteReference"/>
          <w:sz w:val="24"/>
          <w:szCs w:val="24"/>
          <w:lang w:val="es-ES_tradnl"/>
        </w:rPr>
        <w:footnoteRef/>
      </w:r>
      <w:r w:rsidR="00BB4073" w:rsidRPr="006D1843">
        <w:rPr>
          <w:sz w:val="24"/>
          <w:szCs w:val="24"/>
          <w:lang w:val="pt-PT"/>
        </w:rPr>
        <w:t xml:space="preserve"> </w:t>
      </w:r>
      <w:r w:rsidR="00BB4073" w:rsidRPr="006D1843">
        <w:rPr>
          <w:sz w:val="24"/>
          <w:szCs w:val="24"/>
          <w:lang w:val="pt-PT"/>
        </w:rPr>
        <w:tab/>
      </w:r>
      <w:r w:rsidRPr="006D1843">
        <w:rPr>
          <w:sz w:val="24"/>
          <w:szCs w:val="24"/>
          <w:lang w:val="pt-PT"/>
        </w:rPr>
        <w:t xml:space="preserve">DO L 45 de 17.2.2018, p. 46, ELI: </w:t>
      </w:r>
      <w:r w:rsidR="00B04B02">
        <w:fldChar w:fldCharType="begin"/>
      </w:r>
      <w:r w:rsidR="00B04B02" w:rsidRPr="00B04B02">
        <w:rPr>
          <w:lang w:val="pt-PT"/>
        </w:rPr>
        <w:instrText>HYPERLINK "http://data.europa.eu/eli/agree_interinstit/2018/217/oj" \o "Gives access to this document through its ELI URI."</w:instrText>
      </w:r>
      <w:r w:rsidR="00B04B02">
        <w:fldChar w:fldCharType="separate"/>
      </w:r>
      <w:r w:rsidR="00BE48D2" w:rsidRPr="006D1843">
        <w:rPr>
          <w:rStyle w:val="Hyperlink"/>
          <w:sz w:val="24"/>
          <w:szCs w:val="24"/>
          <w:lang w:val="pt-PT"/>
        </w:rPr>
        <w:t>http://data.europa.eu/eli/agree_interinstit/2018/217/oj</w:t>
      </w:r>
      <w:r w:rsidR="00B04B02">
        <w:rPr>
          <w:rStyle w:val="Hyperlink"/>
          <w:sz w:val="24"/>
          <w:szCs w:val="24"/>
          <w:lang w:val="pt-PT"/>
        </w:rPr>
        <w:fldChar w:fldCharType="end"/>
      </w:r>
      <w:r w:rsidRPr="006D1843">
        <w:rPr>
          <w:sz w:val="24"/>
          <w:szCs w:val="24"/>
          <w:lang w:val="pt-PT"/>
        </w:rPr>
        <w:t>.</w:t>
      </w:r>
    </w:p>
  </w:footnote>
  <w:footnote w:id="8">
    <w:p w14:paraId="1043E150" w14:textId="43DF5622" w:rsidR="00E85B06" w:rsidRPr="006D1843" w:rsidRDefault="00E85B06" w:rsidP="00BB4073">
      <w:pPr>
        <w:pStyle w:val="FootnoteText"/>
        <w:ind w:left="567" w:hanging="567"/>
        <w:rPr>
          <w:sz w:val="24"/>
          <w:szCs w:val="24"/>
          <w:lang w:val="es-ES_tradnl"/>
        </w:rPr>
      </w:pPr>
      <w:r w:rsidRPr="006D1843">
        <w:rPr>
          <w:rStyle w:val="FootnoteReference"/>
          <w:sz w:val="24"/>
          <w:szCs w:val="24"/>
          <w:lang w:val="es-ES_tradnl"/>
        </w:rPr>
        <w:footnoteRef/>
      </w:r>
      <w:r w:rsidR="00BB4073" w:rsidRPr="006D1843">
        <w:rPr>
          <w:sz w:val="24"/>
          <w:szCs w:val="24"/>
          <w:lang w:val="es-ES_tradnl"/>
        </w:rPr>
        <w:tab/>
      </w:r>
      <w:r w:rsidRPr="006D1843">
        <w:rPr>
          <w:sz w:val="24"/>
          <w:szCs w:val="24"/>
          <w:lang w:val="es-ES_tradnl"/>
        </w:rPr>
        <w:t xml:space="preserve">Decisión 76/787/CECA, CEE, Euratom del Consejo, de 20 de septiembre de 1976, de los representantes de los Estados miembros reunidos en el Consejo relativo al Acta relativa a la elección de los diputados al Parlamento Europeo por sufragio universal directo (DO L 278 de 8.10.1976, p. 1, ELI: </w:t>
      </w:r>
      <w:r w:rsidR="00B04B02">
        <w:fldChar w:fldCharType="begin"/>
      </w:r>
      <w:r w:rsidR="00B04B02" w:rsidRPr="00B04B02">
        <w:rPr>
          <w:lang w:val="es-ES"/>
        </w:rPr>
        <w:instrText>HYPERLINK "http://data.europa.eu/eli/dec/1976/787(1)/oj" \o "Da acceso a este documento a través de su URI ELI."</w:instrText>
      </w:r>
      <w:r w:rsidR="00B04B02">
        <w:fldChar w:fldCharType="separate"/>
      </w:r>
      <w:r w:rsidRPr="006D1843">
        <w:rPr>
          <w:rStyle w:val="Hyperlink"/>
          <w:sz w:val="24"/>
          <w:szCs w:val="24"/>
          <w:lang w:val="es-ES_tradnl"/>
        </w:rPr>
        <w:t>http://data.europa.eu/eli/dec/1976/787(1)/oj</w:t>
      </w:r>
      <w:r w:rsidR="00B04B02">
        <w:rPr>
          <w:rStyle w:val="Hyperlink"/>
          <w:sz w:val="24"/>
          <w:szCs w:val="24"/>
          <w:lang w:val="es-ES_tradnl"/>
        </w:rPr>
        <w:fldChar w:fldCharType="end"/>
      </w:r>
      <w:r w:rsidRPr="006D1843">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79B55" w14:textId="77777777" w:rsidR="00064002" w:rsidRPr="00BB40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63D8A" w14:textId="77777777" w:rsidR="00064002" w:rsidRPr="00BB40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33FF" w14:textId="77777777" w:rsidR="00064002" w:rsidRPr="00BB40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6164542">
    <w:abstractNumId w:val="9"/>
  </w:num>
  <w:num w:numId="2" w16cid:durableId="1283611294">
    <w:abstractNumId w:val="9"/>
  </w:num>
  <w:num w:numId="3" w16cid:durableId="188493841">
    <w:abstractNumId w:val="7"/>
  </w:num>
  <w:num w:numId="4" w16cid:durableId="1981810015">
    <w:abstractNumId w:val="7"/>
  </w:num>
  <w:num w:numId="5" w16cid:durableId="1505822140">
    <w:abstractNumId w:val="6"/>
  </w:num>
  <w:num w:numId="6" w16cid:durableId="400176827">
    <w:abstractNumId w:val="6"/>
  </w:num>
  <w:num w:numId="7" w16cid:durableId="1835409108">
    <w:abstractNumId w:val="5"/>
  </w:num>
  <w:num w:numId="8" w16cid:durableId="1453475012">
    <w:abstractNumId w:val="5"/>
  </w:num>
  <w:num w:numId="9" w16cid:durableId="210069941">
    <w:abstractNumId w:val="4"/>
  </w:num>
  <w:num w:numId="10" w16cid:durableId="1309632491">
    <w:abstractNumId w:val="4"/>
  </w:num>
  <w:num w:numId="11" w16cid:durableId="625157614">
    <w:abstractNumId w:val="8"/>
  </w:num>
  <w:num w:numId="12" w16cid:durableId="2011789315">
    <w:abstractNumId w:val="8"/>
  </w:num>
  <w:num w:numId="13" w16cid:durableId="929117534">
    <w:abstractNumId w:val="3"/>
  </w:num>
  <w:num w:numId="14" w16cid:durableId="148448370">
    <w:abstractNumId w:val="3"/>
  </w:num>
  <w:num w:numId="15" w16cid:durableId="244539537">
    <w:abstractNumId w:val="2"/>
  </w:num>
  <w:num w:numId="16" w16cid:durableId="294532100">
    <w:abstractNumId w:val="2"/>
  </w:num>
  <w:num w:numId="17" w16cid:durableId="1135832631">
    <w:abstractNumId w:val="1"/>
  </w:num>
  <w:num w:numId="18" w16cid:durableId="1031610175">
    <w:abstractNumId w:val="1"/>
  </w:num>
  <w:num w:numId="19" w16cid:durableId="1598907864">
    <w:abstractNumId w:val="0"/>
  </w:num>
  <w:num w:numId="20" w16cid:durableId="1572230634">
    <w:abstractNumId w:val="0"/>
  </w:num>
  <w:num w:numId="21" w16cid:durableId="747730302">
    <w:abstractNumId w:val="9"/>
  </w:num>
  <w:num w:numId="22" w16cid:durableId="696810432">
    <w:abstractNumId w:val="7"/>
  </w:num>
  <w:num w:numId="23" w16cid:durableId="1597979401">
    <w:abstractNumId w:val="6"/>
  </w:num>
  <w:num w:numId="24" w16cid:durableId="254049388">
    <w:abstractNumId w:val="5"/>
  </w:num>
  <w:num w:numId="25" w16cid:durableId="629819738">
    <w:abstractNumId w:val="4"/>
  </w:num>
  <w:num w:numId="26" w16cid:durableId="247619935">
    <w:abstractNumId w:val="8"/>
  </w:num>
  <w:num w:numId="27" w16cid:durableId="316688929">
    <w:abstractNumId w:val="3"/>
  </w:num>
  <w:num w:numId="28" w16cid:durableId="622614742">
    <w:abstractNumId w:val="2"/>
  </w:num>
  <w:num w:numId="29" w16cid:durableId="650250255">
    <w:abstractNumId w:val="1"/>
  </w:num>
  <w:num w:numId="30" w16cid:durableId="790788603">
    <w:abstractNumId w:val="0"/>
  </w:num>
  <w:num w:numId="31" w16cid:durableId="510803018">
    <w:abstractNumId w:val="9"/>
  </w:num>
  <w:num w:numId="32" w16cid:durableId="1530601824">
    <w:abstractNumId w:val="7"/>
  </w:num>
  <w:num w:numId="33" w16cid:durableId="1488668017">
    <w:abstractNumId w:val="6"/>
  </w:num>
  <w:num w:numId="34" w16cid:durableId="978993671">
    <w:abstractNumId w:val="5"/>
  </w:num>
  <w:num w:numId="35" w16cid:durableId="757554851">
    <w:abstractNumId w:val="4"/>
  </w:num>
  <w:num w:numId="36" w16cid:durableId="1865098211">
    <w:abstractNumId w:val="8"/>
  </w:num>
  <w:num w:numId="37" w16cid:durableId="469834719">
    <w:abstractNumId w:val="3"/>
  </w:num>
  <w:num w:numId="38" w16cid:durableId="2044549039">
    <w:abstractNumId w:val="2"/>
  </w:num>
  <w:num w:numId="39" w16cid:durableId="1699309169">
    <w:abstractNumId w:val="1"/>
  </w:num>
  <w:num w:numId="40" w16cid:durableId="1845122883">
    <w:abstractNumId w:val="0"/>
  </w:num>
  <w:num w:numId="41" w16cid:durableId="1232739167">
    <w:abstractNumId w:val="10"/>
  </w:num>
  <w:num w:numId="42" w16cid:durableId="1700667331">
    <w:abstractNumId w:val="10"/>
  </w:num>
  <w:num w:numId="43" w16cid:durableId="187646051">
    <w:abstractNumId w:val="10"/>
  </w:num>
  <w:num w:numId="44" w16cid:durableId="854002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ES"/>
    <w:docVar w:name="dvnumam" w:val="0"/>
    <w:docVar w:name="dvpe" w:val="778.275"/>
    <w:docVar w:name="dvrapporteur" w:val="Ponente: "/>
    <w:docVar w:name="dvtitre" w:val="Resolución del Parlamento Europeo, de 13 de noviembre de 2025, sobre la modificación del Acta Electoral Europea por la que se permite a las diputadas votar en el Pleno por delegación durante el embarazo y después del parto(2025/2195(INL) – 2025/0900(APP))"/>
  </w:docVars>
  <w:rsids>
    <w:rsidRoot w:val="004F5BF2"/>
    <w:rsid w:val="00002272"/>
    <w:rsid w:val="00060B70"/>
    <w:rsid w:val="00064002"/>
    <w:rsid w:val="000677B9"/>
    <w:rsid w:val="000831BA"/>
    <w:rsid w:val="000A42CC"/>
    <w:rsid w:val="000E7DD9"/>
    <w:rsid w:val="0010095E"/>
    <w:rsid w:val="0010180B"/>
    <w:rsid w:val="00104317"/>
    <w:rsid w:val="0011539C"/>
    <w:rsid w:val="00125B37"/>
    <w:rsid w:val="00155AC1"/>
    <w:rsid w:val="00187494"/>
    <w:rsid w:val="001F32AE"/>
    <w:rsid w:val="0024293F"/>
    <w:rsid w:val="00245734"/>
    <w:rsid w:val="00275093"/>
    <w:rsid w:val="002767FF"/>
    <w:rsid w:val="002965D6"/>
    <w:rsid w:val="002B18FE"/>
    <w:rsid w:val="002B5493"/>
    <w:rsid w:val="00343214"/>
    <w:rsid w:val="00361C00"/>
    <w:rsid w:val="00377379"/>
    <w:rsid w:val="00395FA1"/>
    <w:rsid w:val="003B0269"/>
    <w:rsid w:val="003E15D4"/>
    <w:rsid w:val="00411CCE"/>
    <w:rsid w:val="0041666E"/>
    <w:rsid w:val="00421060"/>
    <w:rsid w:val="00431CBD"/>
    <w:rsid w:val="00471C19"/>
    <w:rsid w:val="004867E3"/>
    <w:rsid w:val="00494A28"/>
    <w:rsid w:val="004A16CB"/>
    <w:rsid w:val="004C0004"/>
    <w:rsid w:val="004C5D52"/>
    <w:rsid w:val="004F5BF2"/>
    <w:rsid w:val="0050519A"/>
    <w:rsid w:val="005072A1"/>
    <w:rsid w:val="00514517"/>
    <w:rsid w:val="00514B14"/>
    <w:rsid w:val="00545827"/>
    <w:rsid w:val="00560270"/>
    <w:rsid w:val="00583F7C"/>
    <w:rsid w:val="005C2568"/>
    <w:rsid w:val="005F1B17"/>
    <w:rsid w:val="006037C0"/>
    <w:rsid w:val="006631B6"/>
    <w:rsid w:val="00680577"/>
    <w:rsid w:val="006A53BB"/>
    <w:rsid w:val="006D1843"/>
    <w:rsid w:val="006D5A1D"/>
    <w:rsid w:val="006F5306"/>
    <w:rsid w:val="006F74FA"/>
    <w:rsid w:val="00731ADD"/>
    <w:rsid w:val="00734777"/>
    <w:rsid w:val="00747932"/>
    <w:rsid w:val="00751A4A"/>
    <w:rsid w:val="00752A29"/>
    <w:rsid w:val="00756632"/>
    <w:rsid w:val="00762C74"/>
    <w:rsid w:val="00786EC0"/>
    <w:rsid w:val="007D1690"/>
    <w:rsid w:val="007E22AD"/>
    <w:rsid w:val="00817416"/>
    <w:rsid w:val="00842779"/>
    <w:rsid w:val="00865F67"/>
    <w:rsid w:val="00881A7B"/>
    <w:rsid w:val="008840E5"/>
    <w:rsid w:val="00887B3E"/>
    <w:rsid w:val="008C2AC6"/>
    <w:rsid w:val="008E2E2E"/>
    <w:rsid w:val="00930C23"/>
    <w:rsid w:val="0093193B"/>
    <w:rsid w:val="00932337"/>
    <w:rsid w:val="00944E64"/>
    <w:rsid w:val="009509D8"/>
    <w:rsid w:val="00950B64"/>
    <w:rsid w:val="00981893"/>
    <w:rsid w:val="009A5DF2"/>
    <w:rsid w:val="009B0063"/>
    <w:rsid w:val="009C797F"/>
    <w:rsid w:val="009D3D3F"/>
    <w:rsid w:val="00A1687D"/>
    <w:rsid w:val="00A23CCE"/>
    <w:rsid w:val="00A35759"/>
    <w:rsid w:val="00A43E52"/>
    <w:rsid w:val="00A4678D"/>
    <w:rsid w:val="00A778C7"/>
    <w:rsid w:val="00AB441E"/>
    <w:rsid w:val="00AB6293"/>
    <w:rsid w:val="00AE0928"/>
    <w:rsid w:val="00AF3B82"/>
    <w:rsid w:val="00B04B02"/>
    <w:rsid w:val="00B12E95"/>
    <w:rsid w:val="00B22876"/>
    <w:rsid w:val="00B558F0"/>
    <w:rsid w:val="00BA560A"/>
    <w:rsid w:val="00BB4073"/>
    <w:rsid w:val="00BD48FE"/>
    <w:rsid w:val="00BD7BD8"/>
    <w:rsid w:val="00BE48D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CB9"/>
    <w:rsid w:val="00E715A1"/>
    <w:rsid w:val="00E820A4"/>
    <w:rsid w:val="00E85B06"/>
    <w:rsid w:val="00EB006A"/>
    <w:rsid w:val="00EB4772"/>
    <w:rsid w:val="00ED169E"/>
    <w:rsid w:val="00ED4235"/>
    <w:rsid w:val="00F04346"/>
    <w:rsid w:val="00F075DC"/>
    <w:rsid w:val="00F149E9"/>
    <w:rsid w:val="00F5134D"/>
    <w:rsid w:val="00F74202"/>
    <w:rsid w:val="00F87713"/>
    <w:rsid w:val="00F95D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15BBA"/>
  <w15:chartTrackingRefBased/>
  <w15:docId w15:val="{65F03951-8D87-4A38-AA5E-0E30EDA4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5B0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85B06"/>
    <w:pPr>
      <w:spacing w:after="240"/>
    </w:pPr>
  </w:style>
  <w:style w:type="paragraph" w:customStyle="1" w:styleId="PageHeading">
    <w:name w:val="PageHeading"/>
    <w:basedOn w:val="Normal"/>
    <w:rsid w:val="00E85B06"/>
    <w:pPr>
      <w:keepNext/>
      <w:spacing w:after="480"/>
      <w:jc w:val="center"/>
    </w:pPr>
    <w:rPr>
      <w:rFonts w:ascii="Arial" w:hAnsi="Arial" w:cs="Arial"/>
      <w:b/>
    </w:rPr>
  </w:style>
  <w:style w:type="paragraph" w:customStyle="1" w:styleId="NormalHanging12a">
    <w:name w:val="NormalHanging12a"/>
    <w:basedOn w:val="Normal"/>
    <w:rsid w:val="00E85B06"/>
    <w:pPr>
      <w:spacing w:after="240"/>
      <w:ind w:left="567" w:hanging="567"/>
    </w:pPr>
  </w:style>
  <w:style w:type="paragraph" w:customStyle="1" w:styleId="NormalCenter24a">
    <w:name w:val="NormalCenter24a"/>
    <w:basedOn w:val="Normal"/>
    <w:rsid w:val="00E85B06"/>
    <w:pPr>
      <w:spacing w:after="480"/>
      <w:jc w:val="center"/>
    </w:pPr>
  </w:style>
  <w:style w:type="paragraph" w:styleId="Header">
    <w:name w:val="header"/>
    <w:basedOn w:val="Normal"/>
    <w:link w:val="HeaderChar"/>
    <w:rsid w:val="00E85B06"/>
    <w:pPr>
      <w:tabs>
        <w:tab w:val="center" w:pos="4513"/>
        <w:tab w:val="right" w:pos="9026"/>
      </w:tabs>
    </w:pPr>
  </w:style>
  <w:style w:type="character" w:customStyle="1" w:styleId="HeaderChar">
    <w:name w:val="Header Char"/>
    <w:basedOn w:val="DefaultParagraphFont"/>
    <w:link w:val="Header"/>
    <w:rsid w:val="00E85B06"/>
    <w:rPr>
      <w:sz w:val="24"/>
      <w:lang w:val="es-ES_tradnl"/>
    </w:rPr>
  </w:style>
  <w:style w:type="paragraph" w:customStyle="1" w:styleId="EPFooter">
    <w:name w:val="EPFooter"/>
    <w:basedOn w:val="Normal"/>
    <w:rsid w:val="00E85B06"/>
    <w:pPr>
      <w:tabs>
        <w:tab w:val="center" w:pos="4535"/>
        <w:tab w:val="right" w:pos="9071"/>
      </w:tabs>
      <w:spacing w:before="240" w:after="240"/>
    </w:pPr>
    <w:rPr>
      <w:color w:val="010000"/>
      <w:sz w:val="22"/>
    </w:rPr>
  </w:style>
  <w:style w:type="paragraph" w:customStyle="1" w:styleId="EPComma">
    <w:name w:val="EPComma"/>
    <w:basedOn w:val="Normal"/>
    <w:rsid w:val="00E85B06"/>
    <w:pPr>
      <w:spacing w:before="480" w:after="240"/>
    </w:pPr>
  </w:style>
  <w:style w:type="paragraph" w:styleId="CommentText">
    <w:name w:val="annotation text"/>
    <w:basedOn w:val="Normal"/>
    <w:link w:val="CommentTextChar"/>
    <w:unhideWhenUsed/>
    <w:rsid w:val="00E85B06"/>
    <w:rPr>
      <w:sz w:val="20"/>
    </w:rPr>
  </w:style>
  <w:style w:type="character" w:customStyle="1" w:styleId="CommentTextChar">
    <w:name w:val="Comment Text Char"/>
    <w:basedOn w:val="DefaultParagraphFont"/>
    <w:link w:val="CommentText"/>
    <w:rsid w:val="00E85B06"/>
    <w:rPr>
      <w:lang w:val="es-ES_tradnl"/>
    </w:rPr>
  </w:style>
  <w:style w:type="paragraph" w:styleId="NoSpacing">
    <w:name w:val="No Spacing"/>
    <w:uiPriority w:val="1"/>
    <w:qFormat/>
    <w:rsid w:val="00E85B06"/>
    <w:rPr>
      <w:rFonts w:asciiTheme="minorHAnsi" w:eastAsiaTheme="minorHAnsi" w:hAnsiTheme="minorHAnsi" w:cstheme="minorBidi"/>
      <w:sz w:val="22"/>
      <w:szCs w:val="22"/>
      <w:lang w:val="es-ES" w:eastAsia="en-US"/>
    </w:rPr>
  </w:style>
  <w:style w:type="paragraph" w:customStyle="1" w:styleId="Normal12Hanging">
    <w:name w:val="Normal12Hanging"/>
    <w:basedOn w:val="Normal"/>
    <w:rsid w:val="00E85B06"/>
    <w:pPr>
      <w:spacing w:after="240"/>
      <w:ind w:left="567" w:hanging="567"/>
    </w:pPr>
    <w:rPr>
      <w:lang w:val="es-ES"/>
    </w:rPr>
  </w:style>
  <w:style w:type="paragraph" w:styleId="ListParagraph">
    <w:name w:val="List Paragraph"/>
    <w:basedOn w:val="Normal"/>
    <w:uiPriority w:val="34"/>
    <w:qFormat/>
    <w:rsid w:val="00E85B06"/>
    <w:pPr>
      <w:ind w:left="720"/>
      <w:contextualSpacing/>
    </w:pPr>
  </w:style>
  <w:style w:type="character" w:styleId="Hyperlink">
    <w:name w:val="Hyperlink"/>
    <w:basedOn w:val="DefaultParagraphFont"/>
    <w:rsid w:val="00E85B06"/>
    <w:rPr>
      <w:color w:val="0563C1" w:themeColor="hyperlink"/>
      <w:u w:val="single"/>
    </w:rPr>
  </w:style>
  <w:style w:type="paragraph" w:styleId="Revision">
    <w:name w:val="Revision"/>
    <w:hidden/>
    <w:uiPriority w:val="99"/>
    <w:semiHidden/>
    <w:rsid w:val="00245734"/>
    <w:rPr>
      <w:sz w:val="24"/>
      <w:lang w:val="es-ES_tradnl"/>
    </w:rPr>
  </w:style>
  <w:style w:type="character" w:styleId="CommentReference">
    <w:name w:val="annotation reference"/>
    <w:basedOn w:val="DefaultParagraphFont"/>
    <w:rsid w:val="00245734"/>
    <w:rPr>
      <w:sz w:val="16"/>
      <w:szCs w:val="16"/>
    </w:rPr>
  </w:style>
  <w:style w:type="paragraph" w:styleId="CommentSubject">
    <w:name w:val="annotation subject"/>
    <w:basedOn w:val="CommentText"/>
    <w:next w:val="CommentText"/>
    <w:link w:val="CommentSubjectChar"/>
    <w:rsid w:val="00245734"/>
    <w:rPr>
      <w:b/>
      <w:bCs/>
    </w:rPr>
  </w:style>
  <w:style w:type="character" w:customStyle="1" w:styleId="CommentSubjectChar">
    <w:name w:val="Comment Subject Char"/>
    <w:basedOn w:val="CommentTextChar"/>
    <w:link w:val="CommentSubject"/>
    <w:rsid w:val="00245734"/>
    <w:rPr>
      <w:b/>
      <w:bCs/>
      <w:lang w:val="es-ES_tradnl"/>
    </w:rPr>
  </w:style>
  <w:style w:type="character" w:styleId="FollowedHyperlink">
    <w:name w:val="FollowedHyperlink"/>
    <w:basedOn w:val="DefaultParagraphFont"/>
    <w:rsid w:val="00245734"/>
    <w:rPr>
      <w:color w:val="954F72" w:themeColor="followedHyperlink"/>
      <w:u w:val="single"/>
    </w:rPr>
  </w:style>
  <w:style w:type="character" w:styleId="UnresolvedMention">
    <w:name w:val="Unresolved Mention"/>
    <w:basedOn w:val="DefaultParagraphFont"/>
    <w:uiPriority w:val="99"/>
    <w:semiHidden/>
    <w:unhideWhenUsed/>
    <w:rsid w:val="00E44CB9"/>
    <w:rPr>
      <w:color w:val="605E5C"/>
      <w:shd w:val="clear" w:color="auto" w:fill="E1DFDD"/>
    </w:rPr>
  </w:style>
  <w:style w:type="paragraph" w:styleId="Footer">
    <w:name w:val="footer"/>
    <w:basedOn w:val="Normal"/>
    <w:link w:val="FooterChar"/>
    <w:rsid w:val="00932337"/>
    <w:pPr>
      <w:tabs>
        <w:tab w:val="center" w:pos="4513"/>
        <w:tab w:val="right" w:pos="9026"/>
      </w:tabs>
    </w:pPr>
  </w:style>
  <w:style w:type="character" w:customStyle="1" w:styleId="FooterChar">
    <w:name w:val="Footer Char"/>
    <w:basedOn w:val="DefaultParagraphFont"/>
    <w:link w:val="Footer"/>
    <w:rsid w:val="0093233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ILLY_D</cp:lastModifiedBy>
  <cp:revision>2</cp:revision>
  <cp:lastPrinted>2004-11-19T15:42:00Z</cp:lastPrinted>
  <dcterms:created xsi:type="dcterms:W3CDTF">2025-11-13T14:44:00Z</dcterms:created>
  <dcterms:modified xsi:type="dcterms:W3CDTF">2025-11-13T14:44:00Z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P10_TA(2025)0257_</vt:lpwstr>
  </property>
  <property fmtid="{D5CDD505-2E9C-101B-9397-08002B2CF9AE}" pid="4" name="&lt;Type&gt;">
    <vt:lpwstr>RR</vt:lpwstr>
  </property>
</Properties>
</file>