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1B44" w14:paraId="4C3281BE" w14:textId="77777777" w:rsidTr="0010095E">
        <w:trPr>
          <w:trHeight w:hRule="exact" w:val="1418"/>
        </w:trPr>
        <w:tc>
          <w:tcPr>
            <w:tcW w:w="6804" w:type="dxa"/>
            <w:shd w:val="clear" w:color="auto" w:fill="auto"/>
            <w:vAlign w:val="center"/>
          </w:tcPr>
          <w:p w14:paraId="12C3DDE3" w14:textId="3D2E6701" w:rsidR="00751A4A" w:rsidRPr="00F11B44" w:rsidRDefault="00DB7D01" w:rsidP="0010095E">
            <w:pPr>
              <w:pStyle w:val="EPName"/>
            </w:pPr>
            <w:r w:rsidRPr="00F11B44">
              <w:t>Parlement européen</w:t>
            </w:r>
          </w:p>
          <w:p w14:paraId="7F23F9BE" w14:textId="77777777" w:rsidR="00751A4A" w:rsidRPr="00F11B44" w:rsidRDefault="005F1B17" w:rsidP="005F1B17">
            <w:pPr>
              <w:pStyle w:val="EPTerm"/>
              <w:rPr>
                <w:rStyle w:val="HideTWBExt"/>
                <w:noProof w:val="0"/>
                <w:vanish w:val="0"/>
                <w:color w:val="auto"/>
              </w:rPr>
            </w:pPr>
            <w:r w:rsidRPr="00F11B44">
              <w:t>2024</w:t>
            </w:r>
            <w:r w:rsidR="00817416" w:rsidRPr="00F11B44">
              <w:t>-202</w:t>
            </w:r>
            <w:r w:rsidRPr="00F11B44">
              <w:t>9</w:t>
            </w:r>
          </w:p>
        </w:tc>
        <w:tc>
          <w:tcPr>
            <w:tcW w:w="2268" w:type="dxa"/>
            <w:shd w:val="clear" w:color="auto" w:fill="auto"/>
          </w:tcPr>
          <w:p w14:paraId="2230FBA4" w14:textId="77777777" w:rsidR="00751A4A" w:rsidRPr="00F11B44" w:rsidRDefault="00187494" w:rsidP="0010095E">
            <w:pPr>
              <w:pStyle w:val="EPLogo"/>
            </w:pPr>
            <w:r w:rsidRPr="00F11B44">
              <w:rPr>
                <w:noProof/>
                <w:lang w:eastAsia="ja-JP"/>
              </w:rPr>
              <w:drawing>
                <wp:inline distT="0" distB="0" distL="0" distR="0" wp14:anchorId="42179089" wp14:editId="1D109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A83495" w14:textId="77777777" w:rsidR="00D058B8" w:rsidRPr="00F11B44" w:rsidRDefault="00D058B8" w:rsidP="004C5D52">
      <w:pPr>
        <w:pStyle w:val="LineTop"/>
      </w:pPr>
    </w:p>
    <w:p w14:paraId="77F61ACE" w14:textId="7ECF1803" w:rsidR="00680577" w:rsidRPr="00F11B44" w:rsidRDefault="00DB7D01" w:rsidP="00680577">
      <w:pPr>
        <w:pStyle w:val="EPBodyTA1"/>
      </w:pPr>
      <w:r w:rsidRPr="00F11B44">
        <w:t>TEXTES ADOPTÉS</w:t>
      </w:r>
    </w:p>
    <w:p w14:paraId="376F5982" w14:textId="77777777" w:rsidR="00D058B8" w:rsidRPr="00F11B44" w:rsidRDefault="00D058B8" w:rsidP="00D058B8">
      <w:pPr>
        <w:pStyle w:val="LineBottom"/>
      </w:pPr>
    </w:p>
    <w:p w14:paraId="3D7950C0" w14:textId="2226C4F3" w:rsidR="00DB7D01" w:rsidRPr="00F11B44" w:rsidRDefault="00DB7D01" w:rsidP="00DB7D01">
      <w:pPr>
        <w:pStyle w:val="ATHeading1"/>
      </w:pPr>
      <w:bookmarkStart w:id="0" w:name="TANumber"/>
      <w:r w:rsidRPr="00F11B44">
        <w:t>P10_TA(2025)0</w:t>
      </w:r>
      <w:r w:rsidR="00573DD9">
        <w:t>257</w:t>
      </w:r>
      <w:bookmarkEnd w:id="0"/>
    </w:p>
    <w:p w14:paraId="4F0F1D74" w14:textId="5CB5CE08" w:rsidR="00DB7D01" w:rsidRPr="00F11B44" w:rsidRDefault="00D07DE9" w:rsidP="00DB7D01">
      <w:pPr>
        <w:pStyle w:val="ATHeading2"/>
      </w:pPr>
      <w:bookmarkStart w:id="1" w:name="title"/>
      <w:bookmarkStart w:id="2" w:name="_Hlk213925616"/>
      <w:r w:rsidRPr="00D07DE9">
        <w:rPr>
          <w:bCs/>
        </w:rPr>
        <w:t xml:space="preserve">Vote par procuration en plénière </w:t>
      </w:r>
      <w:r w:rsidR="00295048">
        <w:rPr>
          <w:bCs/>
        </w:rPr>
        <w:t xml:space="preserve">pour les députées </w:t>
      </w:r>
      <w:r w:rsidRPr="00D07DE9">
        <w:rPr>
          <w:bCs/>
        </w:rPr>
        <w:t>pendant la grossesse et après l’accouchement</w:t>
      </w:r>
      <w:bookmarkEnd w:id="1"/>
    </w:p>
    <w:bookmarkEnd w:id="2"/>
    <w:p w14:paraId="7E237940" w14:textId="77777777" w:rsidR="00DB7D01" w:rsidRPr="00F11B44" w:rsidRDefault="00DB7D01" w:rsidP="00DB7D01">
      <w:pPr>
        <w:rPr>
          <w:i/>
          <w:vanish/>
        </w:rPr>
      </w:pPr>
      <w:r w:rsidRPr="00F11B44">
        <w:rPr>
          <w:i/>
        </w:rPr>
        <w:fldChar w:fldCharType="begin"/>
      </w:r>
      <w:r w:rsidRPr="00F11B44">
        <w:rPr>
          <w:i/>
        </w:rPr>
        <w:instrText xml:space="preserve"> TC"(</w:instrText>
      </w:r>
      <w:bookmarkStart w:id="3" w:name="DocNumber"/>
      <w:r w:rsidRPr="00F11B44">
        <w:rPr>
          <w:i/>
        </w:rPr>
        <w:instrText>A10-0214/2025</w:instrText>
      </w:r>
      <w:bookmarkEnd w:id="3"/>
      <w:r w:rsidRPr="00F11B44">
        <w:rPr>
          <w:i/>
        </w:rPr>
        <w:instrText xml:space="preserve"> - Rapporteur: Juan Fernando López Aguilar)"\l3 \n&gt; \* MERGEFORMAT </w:instrText>
      </w:r>
      <w:r w:rsidRPr="00F11B44">
        <w:rPr>
          <w:i/>
        </w:rPr>
        <w:fldChar w:fldCharType="end"/>
      </w:r>
    </w:p>
    <w:p w14:paraId="3AEEB348" w14:textId="77777777" w:rsidR="00DB7D01" w:rsidRPr="00F11B44" w:rsidRDefault="00DB7D01" w:rsidP="00DB7D01">
      <w:pPr>
        <w:rPr>
          <w:vanish/>
        </w:rPr>
      </w:pPr>
      <w:bookmarkStart w:id="4" w:name="Commission"/>
      <w:r w:rsidRPr="00F11B44">
        <w:rPr>
          <w:vanish/>
        </w:rPr>
        <w:t>Commission des affaires constitutionnelles</w:t>
      </w:r>
      <w:bookmarkEnd w:id="4"/>
    </w:p>
    <w:p w14:paraId="2E7C1DB1" w14:textId="77777777" w:rsidR="00DB7D01" w:rsidRPr="00F11B44" w:rsidRDefault="00DB7D01" w:rsidP="00DB7D01">
      <w:pPr>
        <w:rPr>
          <w:vanish/>
        </w:rPr>
      </w:pPr>
      <w:bookmarkStart w:id="5" w:name="PE"/>
      <w:r w:rsidRPr="00F11B44">
        <w:rPr>
          <w:vanish/>
        </w:rPr>
        <w:t>PE778.275</w:t>
      </w:r>
      <w:bookmarkEnd w:id="5"/>
    </w:p>
    <w:p w14:paraId="56D6660A" w14:textId="2D4B3B1B" w:rsidR="00DB7D01" w:rsidRPr="00F11B44" w:rsidRDefault="00DB7D01" w:rsidP="00DB7D01">
      <w:pPr>
        <w:pStyle w:val="ATHeading3"/>
      </w:pPr>
      <w:bookmarkStart w:id="6" w:name="Sujet"/>
      <w:bookmarkStart w:id="7" w:name="_Hlk213925639"/>
      <w:r w:rsidRPr="00F11B44">
        <w:t xml:space="preserve">Résolution législative du Parlement européen du </w:t>
      </w:r>
      <w:r w:rsidR="00DE05F6">
        <w:t>13 novembre</w:t>
      </w:r>
      <w:r w:rsidRPr="00F11B44">
        <w:t xml:space="preserve"> 2025 sur la modification de l’acte électoral européen</w:t>
      </w:r>
      <w:r w:rsidR="00295048">
        <w:t xml:space="preserve"> en vue de permettre</w:t>
      </w:r>
      <w:r w:rsidRPr="00F11B44">
        <w:t xml:space="preserve"> </w:t>
      </w:r>
      <w:r w:rsidR="00295048">
        <w:t>le vote</w:t>
      </w:r>
      <w:r w:rsidRPr="00F11B44">
        <w:t xml:space="preserve"> par procuration </w:t>
      </w:r>
      <w:r w:rsidR="00295048" w:rsidRPr="00F11B44">
        <w:t xml:space="preserve">en plénière </w:t>
      </w:r>
      <w:r w:rsidR="00295048">
        <w:t xml:space="preserve">pour les députées </w:t>
      </w:r>
      <w:r w:rsidRPr="00F11B44">
        <w:t>pendant la grossesse et après l’accouchement</w:t>
      </w:r>
      <w:bookmarkEnd w:id="6"/>
      <w:r w:rsidR="00295048">
        <w:t xml:space="preserve"> </w:t>
      </w:r>
      <w:bookmarkStart w:id="8" w:name="References"/>
      <w:r w:rsidRPr="00F11B44">
        <w:t>(2025/2195(INL) – 2025/0900(APP))</w:t>
      </w:r>
      <w:bookmarkEnd w:id="8"/>
    </w:p>
    <w:bookmarkEnd w:id="7"/>
    <w:p w14:paraId="2B9C5E55" w14:textId="77777777" w:rsidR="000C265F" w:rsidRPr="00F11B44" w:rsidRDefault="000C265F" w:rsidP="000C265F">
      <w:pPr>
        <w:pStyle w:val="EPComma"/>
        <w:widowControl/>
      </w:pPr>
      <w:r w:rsidRPr="00F11B44">
        <w:rPr>
          <w:i/>
        </w:rPr>
        <w:t>Le Parlement européen</w:t>
      </w:r>
      <w:r w:rsidRPr="00F11B44">
        <w:t>,</w:t>
      </w:r>
    </w:p>
    <w:p w14:paraId="28DB9B60" w14:textId="45496C90" w:rsidR="000C265F" w:rsidRPr="00F11B44" w:rsidRDefault="000C265F" w:rsidP="00573DD9">
      <w:pPr>
        <w:pStyle w:val="NormalHanging12a"/>
        <w:widowControl/>
      </w:pPr>
      <w:r w:rsidRPr="00F11B44">
        <w:t>–</w:t>
      </w:r>
      <w:r w:rsidRPr="00F11B44">
        <w:tab/>
        <w:t>vu les traités, et notamment les articles 9, 10 et 14 et l’article 17, paragraphe 7, du traité sur l’Union européenne et l’article 20, l’article 22, l’article 223, paragraphe 1, et l’article 225 du traité sur le fonctionnement de l’Union européenne , ainsi que l’article 2 du protocole n° 1 sur le rôle des parlements nationaux dans l’Union européenne,</w:t>
      </w:r>
    </w:p>
    <w:p w14:paraId="0BE48A12" w14:textId="77777777" w:rsidR="000C265F" w:rsidRPr="00F11B44" w:rsidRDefault="000C265F" w:rsidP="00573DD9">
      <w:pPr>
        <w:widowControl/>
        <w:tabs>
          <w:tab w:val="left" w:pos="567"/>
        </w:tabs>
        <w:spacing w:after="240" w:line="276" w:lineRule="auto"/>
        <w:ind w:left="567" w:hanging="567"/>
      </w:pPr>
      <w:r w:rsidRPr="00F11B44">
        <w:t>–</w:t>
      </w:r>
      <w:r w:rsidRPr="00F11B44">
        <w:tab/>
        <w:t>vu l’article 106 bis, paragraphe 1, du traité instituant la Communauté européenne de l’énergie atomique,</w:t>
      </w:r>
    </w:p>
    <w:p w14:paraId="59917FFF" w14:textId="6867B554" w:rsidR="000C265F" w:rsidRPr="00F11B44" w:rsidRDefault="000C265F" w:rsidP="00573DD9">
      <w:pPr>
        <w:pStyle w:val="NormalHanging12a"/>
        <w:widowControl/>
      </w:pPr>
      <w:r w:rsidRPr="00F11B44">
        <w:t>–</w:t>
      </w:r>
      <w:r w:rsidRPr="00F11B44">
        <w:tab/>
        <w:t>vu l’acte portant élection des membres du Parlement européen au suffrage universel direct (ci-après dénommé «acte électoral») annexé à la décision 76/787/CECA, CEE, Euratom du Conseil du 20 septembre 1976, tel que modifié, et en particulier son article 6,</w:t>
      </w:r>
    </w:p>
    <w:p w14:paraId="3DE840F7" w14:textId="77777777" w:rsidR="000C265F" w:rsidRPr="00F11B44" w:rsidRDefault="000C265F" w:rsidP="00573DD9">
      <w:pPr>
        <w:pStyle w:val="NormalHanging12a"/>
        <w:widowControl/>
      </w:pPr>
      <w:r w:rsidRPr="00F11B44">
        <w:t>–</w:t>
      </w:r>
      <w:r w:rsidRPr="00F11B44">
        <w:tab/>
        <w:t>vu l’article 5 de la décision du Parlement européen du 28 septembre 2005 portant adoption du statut des députés au Parlement européen</w:t>
      </w:r>
      <w:r w:rsidRPr="00F11B44">
        <w:rPr>
          <w:rStyle w:val="FootnoteReference"/>
        </w:rPr>
        <w:footnoteReference w:id="1"/>
      </w:r>
      <w:r w:rsidRPr="00F11B44">
        <w:t>,</w:t>
      </w:r>
    </w:p>
    <w:p w14:paraId="121109B7" w14:textId="36E9A67B" w:rsidR="000C265F" w:rsidRPr="00F11B44" w:rsidRDefault="000C265F" w:rsidP="00573DD9">
      <w:pPr>
        <w:pStyle w:val="NoSpacing"/>
        <w:spacing w:before="120" w:after="240"/>
        <w:ind w:left="567" w:hanging="567"/>
        <w:rPr>
          <w:rFonts w:ascii="Times New Roman" w:eastAsia="Times New Roman" w:hAnsi="Times New Roman" w:cs="Times New Roman"/>
          <w:sz w:val="24"/>
          <w:szCs w:val="20"/>
        </w:rPr>
      </w:pPr>
      <w:r w:rsidRPr="00F11B44">
        <w:rPr>
          <w:rFonts w:ascii="Times New Roman" w:hAnsi="Times New Roman"/>
          <w:sz w:val="24"/>
        </w:rPr>
        <w:t>–</w:t>
      </w:r>
      <w:r w:rsidRPr="00F11B44">
        <w:rPr>
          <w:rFonts w:ascii="Times New Roman" w:hAnsi="Times New Roman"/>
          <w:sz w:val="24"/>
        </w:rPr>
        <w:tab/>
        <w:t>vu ses résolutions antérieures sur la procédure électorale au Parlement européen, et notamment sa résolution du 15 juillet 1998 sur l’élaboration d’un projet de procédure électorale comprenant des principes communs pour l’élection des députés au Parlement européen</w:t>
      </w:r>
      <w:r w:rsidRPr="00F11B44">
        <w:rPr>
          <w:rStyle w:val="FootnoteReference"/>
          <w:rFonts w:ascii="Times New Roman" w:eastAsia="Times New Roman" w:hAnsi="Times New Roman" w:cs="Times New Roman"/>
          <w:sz w:val="24"/>
          <w:szCs w:val="20"/>
          <w:lang w:eastAsia="en-GB"/>
        </w:rPr>
        <w:footnoteReference w:id="2"/>
      </w:r>
      <w:r w:rsidRPr="00F11B44">
        <w:rPr>
          <w:rFonts w:ascii="Times New Roman" w:hAnsi="Times New Roman"/>
          <w:sz w:val="24"/>
        </w:rPr>
        <w:t>, sa résolution du 22 novembre 2012 sur les élections au Parlement européen en 2014</w:t>
      </w:r>
      <w:r w:rsidRPr="00F11B44">
        <w:rPr>
          <w:rStyle w:val="FootnoteReference"/>
          <w:rFonts w:ascii="Times New Roman" w:eastAsia="Times New Roman" w:hAnsi="Times New Roman" w:cs="Times New Roman"/>
          <w:sz w:val="24"/>
          <w:szCs w:val="20"/>
          <w:lang w:eastAsia="en-GB"/>
        </w:rPr>
        <w:footnoteReference w:id="3"/>
      </w:r>
      <w:r w:rsidRPr="00F11B44">
        <w:rPr>
          <w:rFonts w:ascii="Times New Roman" w:hAnsi="Times New Roman"/>
          <w:sz w:val="24"/>
        </w:rPr>
        <w:t xml:space="preserve">, sa résolution du 4 juillet 2013 sur l’amélioration des modalités pratiques </w:t>
      </w:r>
      <w:r w:rsidRPr="00F11B44">
        <w:rPr>
          <w:rFonts w:ascii="Times New Roman" w:hAnsi="Times New Roman"/>
          <w:sz w:val="24"/>
        </w:rPr>
        <w:lastRenderedPageBreak/>
        <w:t>d’organisation des élections européennes de 2014</w:t>
      </w:r>
      <w:r w:rsidRPr="00F11B44">
        <w:rPr>
          <w:rStyle w:val="FootnoteReference"/>
          <w:rFonts w:ascii="Times New Roman" w:eastAsia="Times New Roman" w:hAnsi="Times New Roman" w:cs="Times New Roman"/>
          <w:sz w:val="24"/>
          <w:szCs w:val="20"/>
          <w:lang w:eastAsia="en-GB"/>
        </w:rPr>
        <w:footnoteReference w:id="4"/>
      </w:r>
      <w:r w:rsidRPr="00F11B44">
        <w:rPr>
          <w:rFonts w:ascii="Times New Roman" w:hAnsi="Times New Roman"/>
          <w:sz w:val="24"/>
        </w:rPr>
        <w:t>, sa résolution du 11 novembre 2015 sur la réforme de la loi électorale de l’Union européenne</w:t>
      </w:r>
      <w:r w:rsidRPr="00F11B44">
        <w:rPr>
          <w:rStyle w:val="FootnoteReference"/>
          <w:rFonts w:ascii="Times New Roman" w:eastAsia="Times New Roman" w:hAnsi="Times New Roman" w:cs="Times New Roman"/>
          <w:sz w:val="24"/>
          <w:szCs w:val="20"/>
          <w:lang w:eastAsia="en-GB"/>
        </w:rPr>
        <w:footnoteReference w:id="5"/>
      </w:r>
      <w:r w:rsidRPr="00F11B44">
        <w:rPr>
          <w:rFonts w:ascii="Times New Roman" w:hAnsi="Times New Roman"/>
          <w:sz w:val="24"/>
        </w:rPr>
        <w:t xml:space="preserve"> et sa résolution </w:t>
      </w:r>
      <w:r w:rsidR="00E204CD">
        <w:rPr>
          <w:rFonts w:ascii="Times New Roman" w:hAnsi="Times New Roman"/>
          <w:sz w:val="24"/>
        </w:rPr>
        <w:t xml:space="preserve">législative </w:t>
      </w:r>
      <w:r w:rsidRPr="00F11B44">
        <w:rPr>
          <w:rFonts w:ascii="Times New Roman" w:hAnsi="Times New Roman"/>
          <w:sz w:val="24"/>
        </w:rPr>
        <w:t>du 3 mai 2022 sur</w:t>
      </w:r>
      <w:r w:rsidR="00E204CD" w:rsidRPr="00E204CD">
        <w:rPr>
          <w:rFonts w:ascii="Roboto" w:eastAsia="Times New Roman" w:hAnsi="Roboto" w:cs="Times New Roman"/>
          <w:b/>
          <w:bCs/>
          <w:color w:val="333333"/>
          <w:sz w:val="21"/>
          <w:szCs w:val="21"/>
          <w:shd w:val="clear" w:color="auto" w:fill="FFFFFF"/>
          <w:lang w:eastAsia="en-GB"/>
        </w:rPr>
        <w:t xml:space="preserve"> </w:t>
      </w:r>
      <w:r w:rsidR="00E204CD" w:rsidRPr="00573DD9">
        <w:rPr>
          <w:rFonts w:ascii="Times New Roman" w:hAnsi="Times New Roman"/>
          <w:sz w:val="24"/>
        </w:rPr>
        <w:t>la proposition de règlement du Conseil portant élection des députés au Parlement européen au suffrage universel direct, abrogeant la décision du Conseil (76/787/ECSC, CEE, Euratom) et l’acte portant élection des membres du Parlement européen au suffrage universel direct, annexé à cette décision</w:t>
      </w:r>
      <w:r w:rsidRPr="00F11B44">
        <w:rPr>
          <w:rStyle w:val="FootnoteReference"/>
          <w:rFonts w:ascii="Times New Roman" w:eastAsia="Times New Roman" w:hAnsi="Times New Roman" w:cs="Times New Roman"/>
          <w:sz w:val="24"/>
          <w:szCs w:val="20"/>
          <w:lang w:eastAsia="en-GB"/>
        </w:rPr>
        <w:footnoteReference w:id="6"/>
      </w:r>
      <w:r w:rsidRPr="00F11B44">
        <w:rPr>
          <w:rFonts w:ascii="Times New Roman" w:hAnsi="Times New Roman"/>
          <w:sz w:val="24"/>
        </w:rPr>
        <w:t>,</w:t>
      </w:r>
    </w:p>
    <w:p w14:paraId="32AE7DFC" w14:textId="77777777" w:rsidR="000C265F" w:rsidRPr="00F11B44" w:rsidRDefault="000C265F" w:rsidP="00573DD9">
      <w:pPr>
        <w:pStyle w:val="NormalHanging12a"/>
        <w:widowControl/>
      </w:pPr>
      <w:r w:rsidRPr="00F11B44">
        <w:t>–</w:t>
      </w:r>
      <w:r w:rsidRPr="00F11B44">
        <w:tab/>
        <w:t>vu l’accord-cadre du 20 octobre 2010 sur les relations entre le Parlement européen et la Commission européenne, tel que modifié le 17 février 2018</w:t>
      </w:r>
      <w:r w:rsidRPr="00F11B44">
        <w:rPr>
          <w:rStyle w:val="FootnoteReference"/>
        </w:rPr>
        <w:footnoteReference w:id="7"/>
      </w:r>
      <w:r w:rsidRPr="00F11B44">
        <w:t>,</w:t>
      </w:r>
    </w:p>
    <w:p w14:paraId="6B23F17B" w14:textId="3CA48E35" w:rsidR="000C265F" w:rsidRPr="00F11B44" w:rsidRDefault="000C265F" w:rsidP="00573DD9">
      <w:pPr>
        <w:pStyle w:val="NormalHanging12a"/>
        <w:widowControl/>
      </w:pPr>
      <w:r w:rsidRPr="00F11B44">
        <w:t>–</w:t>
      </w:r>
      <w:r w:rsidRPr="00F11B44">
        <w:tab/>
        <w:t xml:space="preserve">vu la </w:t>
      </w:r>
      <w:r w:rsidR="00E204CD">
        <w:t>C</w:t>
      </w:r>
      <w:r w:rsidRPr="00F11B44">
        <w:t>harte des droits fondamentaux de l’Union européenne et, en particulier, son article 33,</w:t>
      </w:r>
    </w:p>
    <w:p w14:paraId="5CF3D9B8" w14:textId="77777777" w:rsidR="000C265F" w:rsidRPr="00F11B44" w:rsidRDefault="000C265F" w:rsidP="00573DD9">
      <w:pPr>
        <w:pStyle w:val="NormalHanging12a"/>
        <w:widowControl/>
      </w:pPr>
      <w:r w:rsidRPr="00F11B44">
        <w:t>–</w:t>
      </w:r>
      <w:r w:rsidRPr="00F11B44">
        <w:tab/>
        <w:t>vu les articles 46 et 55 de son règlement intérieur,</w:t>
      </w:r>
    </w:p>
    <w:p w14:paraId="11F44030" w14:textId="77777777" w:rsidR="000C265F" w:rsidRPr="00F11B44" w:rsidRDefault="000C265F" w:rsidP="00573DD9">
      <w:pPr>
        <w:pStyle w:val="NormalHanging12a"/>
        <w:widowControl/>
      </w:pPr>
      <w:r w:rsidRPr="00F11B44">
        <w:t>–</w:t>
      </w:r>
      <w:r w:rsidRPr="00F11B44">
        <w:tab/>
        <w:t>vu le rapport de la commission des affaires constitutionnelles (A10-0214/2025),</w:t>
      </w:r>
    </w:p>
    <w:p w14:paraId="624F2AD5" w14:textId="060B3859" w:rsidR="000C265F" w:rsidRPr="00F11B44" w:rsidRDefault="000C265F" w:rsidP="00573DD9">
      <w:pPr>
        <w:pStyle w:val="Normal12Hanging"/>
        <w:widowControl/>
      </w:pPr>
      <w:r w:rsidRPr="00F11B44">
        <w:t>A.</w:t>
      </w:r>
      <w:r w:rsidRPr="00F11B44">
        <w:tab/>
        <w:t xml:space="preserve">considérant que le Parlement européen a le droit d’engager la réforme de sa </w:t>
      </w:r>
      <w:r w:rsidR="00A12CA1">
        <w:t xml:space="preserve">propre </w:t>
      </w:r>
      <w:r w:rsidRPr="00F11B44">
        <w:t>procédure électorale, et d’y donner son approbation;</w:t>
      </w:r>
    </w:p>
    <w:p w14:paraId="122B0C77" w14:textId="77777777" w:rsidR="000C265F" w:rsidRPr="00F11B44" w:rsidRDefault="000C265F" w:rsidP="00573DD9">
      <w:pPr>
        <w:pStyle w:val="Normal12Hanging"/>
        <w:widowControl/>
      </w:pPr>
      <w:r w:rsidRPr="00F11B44">
        <w:t>B.</w:t>
      </w:r>
      <w:r w:rsidRPr="00F11B44">
        <w:tab/>
        <w:t>considérant que la possibilité d’établir une procédure électorale uniforme fondée sur le suffrage universel direct est inscrite dans les traités depuis 1957;</w:t>
      </w:r>
    </w:p>
    <w:p w14:paraId="1889F7F7" w14:textId="0FF052B6" w:rsidR="000C265F" w:rsidRPr="00F11B44" w:rsidRDefault="000C265F" w:rsidP="00573DD9">
      <w:pPr>
        <w:pStyle w:val="Normal12Hanging"/>
        <w:widowControl/>
      </w:pPr>
      <w:r w:rsidRPr="00F11B44">
        <w:t>C.</w:t>
      </w:r>
      <w:r w:rsidRPr="00F11B44">
        <w:tab/>
        <w:t xml:space="preserve">considérant que la réforme de la procédure électorale du Parlement européen devrait viser à renforcer la dimension démocratique des élections européennes, à améliorer le fonctionnement du Parlement </w:t>
      </w:r>
      <w:r w:rsidR="007D60F0">
        <w:t xml:space="preserve">européen </w:t>
      </w:r>
      <w:r w:rsidRPr="00F11B44">
        <w:t xml:space="preserve">et la gouvernance de l’Union, à rendre le travail du Parlement plus légitime et plus efficace, et à </w:t>
      </w:r>
      <w:r w:rsidR="007D60F0">
        <w:t>offrir</w:t>
      </w:r>
      <w:r w:rsidR="007D60F0" w:rsidRPr="00F11B44">
        <w:t xml:space="preserve"> </w:t>
      </w:r>
      <w:r w:rsidRPr="00F11B44">
        <w:t>une plus grande égalité électorale pour les citoyens de l’Union;</w:t>
      </w:r>
    </w:p>
    <w:p w14:paraId="7FFA842F" w14:textId="77777777" w:rsidR="000C265F" w:rsidRPr="00F11B44" w:rsidRDefault="000C265F" w:rsidP="00573DD9">
      <w:pPr>
        <w:pStyle w:val="Normal12Hanging"/>
        <w:widowControl/>
      </w:pPr>
      <w:r w:rsidRPr="00F11B44">
        <w:t>D.</w:t>
      </w:r>
      <w:r w:rsidRPr="00F11B44">
        <w:tab/>
        <w:t>considérant que les politiques en matière d’équilibre entre vie professionnelle et vie privée devraient contribuer à la réalisation de l’égalité entre les hommes et les femmes en promouvant la participation des mères en politique;</w:t>
      </w:r>
    </w:p>
    <w:p w14:paraId="48AE0DE3" w14:textId="77777777" w:rsidR="000C265F" w:rsidRPr="00F11B44" w:rsidRDefault="000C265F" w:rsidP="00573DD9">
      <w:pPr>
        <w:pStyle w:val="Normal12Hanging"/>
        <w:widowControl/>
      </w:pPr>
      <w:r w:rsidRPr="00F11B44">
        <w:t>E.</w:t>
      </w:r>
      <w:r w:rsidRPr="00F11B44">
        <w:tab/>
        <w:t>considérant que la réforme de la procédure électorale doit respecter les principes de subsidiarité et de proportionnalité;</w:t>
      </w:r>
    </w:p>
    <w:p w14:paraId="58579F65" w14:textId="11A1C039" w:rsidR="000C265F" w:rsidRPr="00F11B44" w:rsidRDefault="000C265F" w:rsidP="00573DD9">
      <w:pPr>
        <w:pStyle w:val="NormalHanging12a"/>
        <w:widowControl/>
      </w:pPr>
      <w:r w:rsidRPr="00F11B44">
        <w:t>1.</w:t>
      </w:r>
      <w:r w:rsidRPr="00F11B44">
        <w:tab/>
        <w:t xml:space="preserve">décide de renforcer les règles relatives à la maternité pour les députées </w:t>
      </w:r>
      <w:r w:rsidR="007D60F0">
        <w:t>a</w:t>
      </w:r>
      <w:r w:rsidRPr="00F11B44">
        <w:t>u Parlement européen qui souhaitent continuer à exercer leurs fonctions parlementaires;</w:t>
      </w:r>
    </w:p>
    <w:p w14:paraId="348ACF0B" w14:textId="73D6C44E" w:rsidR="000C265F" w:rsidRPr="00F11B44" w:rsidRDefault="000C265F" w:rsidP="00573DD9">
      <w:pPr>
        <w:pStyle w:val="NormalHanging12a"/>
        <w:widowControl/>
      </w:pPr>
      <w:r w:rsidRPr="00F11B44">
        <w:t>2.</w:t>
      </w:r>
      <w:r w:rsidRPr="00F11B44">
        <w:tab/>
        <w:t>propose une révision ciblée de l’acte électoral européen permettant aux députées de déléguer leur vote en plénière à un autre député de leur choix pendant leur grossesse et après leur accouchement;</w:t>
      </w:r>
    </w:p>
    <w:p w14:paraId="4C359B4F" w14:textId="055815B7" w:rsidR="000C265F" w:rsidRPr="00F11B44" w:rsidRDefault="000C265F" w:rsidP="00573DD9">
      <w:pPr>
        <w:pStyle w:val="NormalHanging12a"/>
        <w:widowControl/>
      </w:pPr>
      <w:bookmarkStart w:id="9" w:name="_Hlk213861820"/>
      <w:r w:rsidRPr="00F11B44">
        <w:t>3.</w:t>
      </w:r>
      <w:r w:rsidRPr="00F11B44">
        <w:tab/>
        <w:t xml:space="preserve">estime que cette réforme permettra aux députées, pendant les périodes précédant et suivant immédiatement </w:t>
      </w:r>
      <w:r w:rsidR="000C0C09">
        <w:t>l’accouchement</w:t>
      </w:r>
      <w:r w:rsidRPr="00F11B44">
        <w:t>, d’exercer pleinement leur mandat, améliorant ainsi l’équité institutionnelle et l’inclusion au sein du Parlement européen;</w:t>
      </w:r>
    </w:p>
    <w:bookmarkEnd w:id="9"/>
    <w:p w14:paraId="3F93F606" w14:textId="77777777" w:rsidR="000C265F" w:rsidRPr="00F11B44" w:rsidRDefault="000C265F" w:rsidP="00573DD9">
      <w:pPr>
        <w:pStyle w:val="NormalHanging12a"/>
        <w:widowControl/>
      </w:pPr>
      <w:r w:rsidRPr="00F11B44">
        <w:lastRenderedPageBreak/>
        <w:t>4.</w:t>
      </w:r>
      <w:r w:rsidRPr="00F11B44">
        <w:tab/>
        <w:t>adopte la proposition figurant en annexe et la soumet au Conseil;</w:t>
      </w:r>
    </w:p>
    <w:p w14:paraId="79217774" w14:textId="77777777" w:rsidR="000C265F" w:rsidRDefault="000C265F" w:rsidP="00573DD9">
      <w:pPr>
        <w:pStyle w:val="NormalHanging12a"/>
        <w:widowControl/>
      </w:pPr>
      <w:r w:rsidRPr="00F11B44">
        <w:t>5.</w:t>
      </w:r>
      <w:r w:rsidRPr="00F11B44">
        <w:tab/>
        <w:t>charge sa Présidente de transmettre la présente résolution législative, ainsi que la proposition qui y est annexée, au Conseil européen, au Conseil et à la Commission, ainsi qu’aux parlements et aux gouvernements des États membres.</w:t>
      </w:r>
    </w:p>
    <w:p w14:paraId="2A52133B" w14:textId="77777777" w:rsidR="002C6244" w:rsidRPr="00F11B44" w:rsidRDefault="002C6244" w:rsidP="00573DD9">
      <w:pPr>
        <w:pStyle w:val="NormalHanging12a"/>
        <w:widowControl/>
        <w:sectPr w:rsidR="002C6244" w:rsidRPr="00F11B44" w:rsidSect="00F11B4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9B88A1D" w14:textId="0085C589" w:rsidR="000C265F" w:rsidRPr="002C6244" w:rsidRDefault="000C265F" w:rsidP="002C6244">
      <w:pPr>
        <w:pStyle w:val="PageHeading"/>
        <w:widowControl/>
        <w:jc w:val="right"/>
        <w:rPr>
          <w:rFonts w:ascii="Times New Roman" w:hAnsi="Times New Roman" w:cs="Times New Roman"/>
          <w:b w:val="0"/>
          <w:bCs/>
        </w:rPr>
      </w:pPr>
      <w:bookmarkStart w:id="10" w:name="_Toc213253314"/>
      <w:bookmarkStart w:id="11" w:name="_Toc213311261"/>
      <w:r w:rsidRPr="002C6244">
        <w:rPr>
          <w:rFonts w:ascii="Times New Roman" w:hAnsi="Times New Roman" w:cs="Times New Roman"/>
          <w:b w:val="0"/>
          <w:bCs/>
        </w:rPr>
        <w:lastRenderedPageBreak/>
        <w:t>ANNEXE À LA RÉSOLUTION LÉGISLATIVE</w:t>
      </w:r>
      <w:bookmarkEnd w:id="10"/>
      <w:bookmarkEnd w:id="11"/>
    </w:p>
    <w:p w14:paraId="27973F8C" w14:textId="1C7BFAC7" w:rsidR="000C265F" w:rsidRPr="00F11B44" w:rsidRDefault="000C265F" w:rsidP="000C265F">
      <w:pPr>
        <w:pStyle w:val="NormalCenter24a"/>
        <w:widowControl/>
        <w:rPr>
          <w:b/>
          <w:bCs/>
        </w:rPr>
      </w:pPr>
      <w:r w:rsidRPr="00F11B44">
        <w:rPr>
          <w:b/>
        </w:rPr>
        <w:t>PROPOSITION DE DÉCISION DU CONSEIL</w:t>
      </w:r>
    </w:p>
    <w:p w14:paraId="706D9C7F" w14:textId="011F41DC" w:rsidR="000C265F" w:rsidRPr="00F11B44" w:rsidRDefault="000C265F" w:rsidP="00573DD9">
      <w:pPr>
        <w:widowControl/>
        <w:jc w:val="center"/>
        <w:rPr>
          <w:szCs w:val="24"/>
        </w:rPr>
      </w:pPr>
      <w:r w:rsidRPr="00F11B44">
        <w:rPr>
          <w:b/>
        </w:rPr>
        <w:t>adoptant les dispositions modifiant l’acte portant élection des membres du Parlement européen au suffrage universel direct</w:t>
      </w:r>
    </w:p>
    <w:p w14:paraId="3819AEA5" w14:textId="77777777" w:rsidR="000C265F" w:rsidRPr="00F11B44" w:rsidRDefault="000C265F" w:rsidP="000C265F">
      <w:pPr>
        <w:widowControl/>
      </w:pPr>
    </w:p>
    <w:p w14:paraId="4C4DC92E" w14:textId="77777777" w:rsidR="000C265F" w:rsidRPr="00F11B44" w:rsidRDefault="000C265F" w:rsidP="001213ED">
      <w:pPr>
        <w:widowControl/>
      </w:pPr>
      <w:r w:rsidRPr="00F11B44">
        <w:t>LE CONSEIL DE L’UNION EUROPÉENNE,</w:t>
      </w:r>
    </w:p>
    <w:p w14:paraId="5F2BD05C" w14:textId="77777777" w:rsidR="000C265F" w:rsidRPr="00F11B44" w:rsidRDefault="000C265F" w:rsidP="001213ED">
      <w:pPr>
        <w:widowControl/>
      </w:pPr>
    </w:p>
    <w:p w14:paraId="2EE553C8" w14:textId="77777777" w:rsidR="000C265F" w:rsidRPr="00F11B44" w:rsidRDefault="000C265F" w:rsidP="001213ED">
      <w:pPr>
        <w:widowControl/>
      </w:pPr>
      <w:r w:rsidRPr="00F11B44">
        <w:t>vu le traité sur le fonctionnement de l’Union européenne, et notamment son article 223, paragraphe 1,</w:t>
      </w:r>
    </w:p>
    <w:p w14:paraId="2ECBEAE3" w14:textId="77777777" w:rsidR="000C265F" w:rsidRPr="00F11B44" w:rsidRDefault="000C265F" w:rsidP="001213ED">
      <w:pPr>
        <w:widowControl/>
      </w:pPr>
    </w:p>
    <w:p w14:paraId="5FFEC807" w14:textId="77777777" w:rsidR="000C265F" w:rsidRPr="00F11B44" w:rsidRDefault="000C265F" w:rsidP="001213ED">
      <w:pPr>
        <w:widowControl/>
      </w:pPr>
      <w:r w:rsidRPr="00F11B44">
        <w:t>vu le traité instituant la Communauté européenne de l’énergie atomique, et notamment son article 106 bis, paragraphe 1,</w:t>
      </w:r>
    </w:p>
    <w:p w14:paraId="4C4C8BE9" w14:textId="77777777" w:rsidR="000C265F" w:rsidRPr="00F11B44" w:rsidRDefault="000C265F" w:rsidP="001213ED">
      <w:pPr>
        <w:widowControl/>
      </w:pPr>
    </w:p>
    <w:p w14:paraId="2FA03B8B" w14:textId="5EFF7E85" w:rsidR="000C265F" w:rsidRPr="00F11B44" w:rsidRDefault="000C265F" w:rsidP="001213ED">
      <w:pPr>
        <w:widowControl/>
      </w:pPr>
      <w:r w:rsidRPr="00F11B44">
        <w:t xml:space="preserve">vu </w:t>
      </w:r>
      <w:r w:rsidRPr="00094904">
        <w:t>la proposition</w:t>
      </w:r>
      <w:r w:rsidRPr="00F11B44">
        <w:t xml:space="preserve"> du Parlement européen,</w:t>
      </w:r>
    </w:p>
    <w:p w14:paraId="31190B6E" w14:textId="77777777" w:rsidR="000C265F" w:rsidRPr="00F11B44" w:rsidRDefault="000C265F" w:rsidP="001213ED">
      <w:pPr>
        <w:widowControl/>
      </w:pPr>
    </w:p>
    <w:p w14:paraId="28D83CD3" w14:textId="77777777" w:rsidR="000C265F" w:rsidRPr="00F11B44" w:rsidRDefault="000C265F" w:rsidP="001213ED">
      <w:pPr>
        <w:widowControl/>
      </w:pPr>
      <w:r w:rsidRPr="00F11B44">
        <w:t>après transmission du projet d’acte législatif aux parlements nationaux,</w:t>
      </w:r>
    </w:p>
    <w:p w14:paraId="0AA23788" w14:textId="77777777" w:rsidR="000C265F" w:rsidRPr="00F11B44" w:rsidRDefault="000C265F" w:rsidP="001213ED">
      <w:pPr>
        <w:widowControl/>
      </w:pPr>
    </w:p>
    <w:p w14:paraId="0C391DD2" w14:textId="77777777" w:rsidR="000C265F" w:rsidRPr="00F11B44" w:rsidRDefault="000C265F" w:rsidP="001213ED">
      <w:pPr>
        <w:widowControl/>
        <w:rPr>
          <w:i/>
        </w:rPr>
      </w:pPr>
      <w:r w:rsidRPr="00F11B44">
        <w:t>vu l’approbation du Parlement européen,</w:t>
      </w:r>
    </w:p>
    <w:p w14:paraId="0639CAB9" w14:textId="77777777" w:rsidR="000C265F" w:rsidRPr="00F11B44" w:rsidRDefault="000C265F" w:rsidP="001213ED">
      <w:pPr>
        <w:widowControl/>
      </w:pPr>
    </w:p>
    <w:p w14:paraId="7222CEFB" w14:textId="77777777" w:rsidR="000C265F" w:rsidRPr="00F11B44" w:rsidRDefault="000C265F" w:rsidP="001213ED">
      <w:pPr>
        <w:widowControl/>
      </w:pPr>
      <w:r w:rsidRPr="00F11B44">
        <w:t>statuant conformément à une procédure législative spéciale,</w:t>
      </w:r>
    </w:p>
    <w:p w14:paraId="3C6B60BB" w14:textId="77777777" w:rsidR="000C265F" w:rsidRPr="00F11B44" w:rsidRDefault="000C265F" w:rsidP="001213ED">
      <w:pPr>
        <w:widowControl/>
      </w:pPr>
    </w:p>
    <w:p w14:paraId="7E6AAEFC" w14:textId="77777777" w:rsidR="000C265F" w:rsidRPr="00F11B44" w:rsidRDefault="000C265F" w:rsidP="001213ED">
      <w:pPr>
        <w:widowControl/>
      </w:pPr>
      <w:r w:rsidRPr="00F11B44">
        <w:t>considérant ce qui suit:</w:t>
      </w:r>
    </w:p>
    <w:p w14:paraId="5DC7FD92" w14:textId="77777777" w:rsidR="000C265F" w:rsidRPr="00F11B44" w:rsidRDefault="000C265F" w:rsidP="001213ED">
      <w:pPr>
        <w:widowControl/>
      </w:pPr>
    </w:p>
    <w:p w14:paraId="5C57A5FA" w14:textId="16173178" w:rsidR="000C265F" w:rsidRPr="00F11B44" w:rsidRDefault="000C265F" w:rsidP="001213ED">
      <w:pPr>
        <w:widowControl/>
      </w:pPr>
      <w:r w:rsidRPr="00F11B44">
        <w:t xml:space="preserve">(1) </w:t>
      </w:r>
      <w:r w:rsidR="007D60F0">
        <w:t>L</w:t>
      </w:r>
      <w:r w:rsidRPr="00F11B44">
        <w:t>es politiques en matière d’équilibre entre vie professionnelle et vie privée devraient contribuer à parvenir à l’égalité entre les hommes et les femmes en promouvant la participation des femmes en politique</w:t>
      </w:r>
      <w:r w:rsidR="007D60F0">
        <w:t>.</w:t>
      </w:r>
    </w:p>
    <w:p w14:paraId="29873CCA" w14:textId="77777777" w:rsidR="000C265F" w:rsidRPr="00F11B44" w:rsidRDefault="000C265F" w:rsidP="001213ED">
      <w:pPr>
        <w:pStyle w:val="ListParagraph"/>
        <w:widowControl/>
        <w:ind w:left="0"/>
      </w:pPr>
    </w:p>
    <w:p w14:paraId="4433EA79" w14:textId="74912F15" w:rsidR="000C265F" w:rsidRPr="00F11B44" w:rsidRDefault="000C265F" w:rsidP="001213ED">
      <w:pPr>
        <w:widowControl/>
      </w:pPr>
      <w:r w:rsidRPr="00F11B44">
        <w:t xml:space="preserve">(2) </w:t>
      </w:r>
      <w:r w:rsidR="007D60F0">
        <w:t>L</w:t>
      </w:r>
      <w:r w:rsidRPr="00F11B44">
        <w:t xml:space="preserve">a mise en place d’un système de vote par procuration lors des </w:t>
      </w:r>
      <w:r w:rsidRPr="00E25D9A">
        <w:t>sessions p</w:t>
      </w:r>
      <w:r w:rsidRPr="00F11B44">
        <w:t xml:space="preserve">lénières permettra aux députées, pendant les périodes précédant et suivant immédiatement </w:t>
      </w:r>
      <w:r w:rsidR="004F4774">
        <w:t>l’</w:t>
      </w:r>
      <w:r w:rsidR="007D60F0">
        <w:t>accouchement</w:t>
      </w:r>
      <w:r w:rsidRPr="00F11B44">
        <w:t>, d’exercer pleinement leur mandat</w:t>
      </w:r>
      <w:r w:rsidR="007D60F0">
        <w:t>,</w:t>
      </w:r>
    </w:p>
    <w:p w14:paraId="16B6FCAD" w14:textId="77777777" w:rsidR="000C265F" w:rsidRPr="00F11B44" w:rsidRDefault="000C265F" w:rsidP="001213ED">
      <w:pPr>
        <w:pStyle w:val="ListParagraph"/>
        <w:widowControl/>
        <w:ind w:left="0"/>
      </w:pPr>
    </w:p>
    <w:p w14:paraId="25F539B0" w14:textId="77777777" w:rsidR="000C265F" w:rsidRPr="00F11B44" w:rsidRDefault="000C265F" w:rsidP="001213ED">
      <w:pPr>
        <w:widowControl/>
      </w:pPr>
    </w:p>
    <w:p w14:paraId="4BB2DD8B" w14:textId="77777777" w:rsidR="000C265F" w:rsidRPr="00F11B44" w:rsidRDefault="000C265F" w:rsidP="001213ED">
      <w:pPr>
        <w:widowControl/>
      </w:pPr>
      <w:r w:rsidRPr="00F11B44">
        <w:t xml:space="preserve">A ADOPTÉ LA PRÉSENTE DÉCISION </w:t>
      </w:r>
    </w:p>
    <w:p w14:paraId="27E9F7B6" w14:textId="77777777" w:rsidR="000C265F" w:rsidRDefault="000C265F" w:rsidP="000C265F">
      <w:pPr>
        <w:widowControl/>
      </w:pPr>
    </w:p>
    <w:p w14:paraId="55D0CF44" w14:textId="77777777" w:rsidR="000C265F" w:rsidRPr="00F11B44" w:rsidRDefault="000C265F" w:rsidP="000C265F">
      <w:pPr>
        <w:widowControl/>
      </w:pPr>
    </w:p>
    <w:p w14:paraId="46AC4EDA" w14:textId="77777777" w:rsidR="000C265F" w:rsidRPr="00F11B44" w:rsidRDefault="000C265F" w:rsidP="00573DD9">
      <w:pPr>
        <w:widowControl/>
        <w:spacing w:after="240"/>
        <w:jc w:val="center"/>
        <w:rPr>
          <w:i/>
        </w:rPr>
      </w:pPr>
      <w:r w:rsidRPr="00F11B44">
        <w:rPr>
          <w:i/>
        </w:rPr>
        <w:t>Article premier</w:t>
      </w:r>
    </w:p>
    <w:p w14:paraId="1FBF0AC2" w14:textId="77777777" w:rsidR="000C265F" w:rsidRPr="00F11B44" w:rsidRDefault="000C265F" w:rsidP="001213ED">
      <w:pPr>
        <w:widowControl/>
      </w:pPr>
      <w:r w:rsidRPr="00F11B44">
        <w:t>À l’article 6, paragraphe 1, de l’acte portant élection des membres du Parlement européen au suffrage universel direct, annexé à la décision 76/787/CECA, CEE, Euratom du Conseil</w:t>
      </w:r>
      <w:r w:rsidRPr="00F11B44">
        <w:rPr>
          <w:rStyle w:val="FootnoteReference"/>
        </w:rPr>
        <w:footnoteReference w:id="8"/>
      </w:r>
      <w:r w:rsidRPr="00F11B44">
        <w:t>, l’alinéa suivant est ajouté:</w:t>
      </w:r>
    </w:p>
    <w:p w14:paraId="7F0C6627" w14:textId="77777777" w:rsidR="000C265F" w:rsidRPr="00F11B44" w:rsidRDefault="000C265F" w:rsidP="000C265F">
      <w:pPr>
        <w:widowControl/>
      </w:pPr>
    </w:p>
    <w:p w14:paraId="19B7D06B" w14:textId="433D9101" w:rsidR="000C265F" w:rsidRPr="00F11B44" w:rsidRDefault="000C265F" w:rsidP="001213ED">
      <w:pPr>
        <w:widowControl/>
      </w:pPr>
      <w:bookmarkStart w:id="12" w:name="_Hlk213861883"/>
      <w:r w:rsidRPr="00F11B44">
        <w:lastRenderedPageBreak/>
        <w:t xml:space="preserve">«Par dérogation au premier alinéa, une députée </w:t>
      </w:r>
      <w:r w:rsidR="00F37F2B">
        <w:t xml:space="preserve">qui est </w:t>
      </w:r>
      <w:r w:rsidRPr="00F11B44">
        <w:t xml:space="preserve">enceinte ou </w:t>
      </w:r>
      <w:r w:rsidR="00FE44CB">
        <w:t xml:space="preserve">qui a </w:t>
      </w:r>
      <w:r w:rsidRPr="00F11B44">
        <w:t xml:space="preserve">accouché peut </w:t>
      </w:r>
      <w:bookmarkEnd w:id="12"/>
      <w:r w:rsidR="006A7F1D">
        <w:t>voter par l’intermédiaire</w:t>
      </w:r>
      <w:r w:rsidRPr="00F11B44">
        <w:t xml:space="preserve"> </w:t>
      </w:r>
      <w:r w:rsidR="006A7F1D">
        <w:t>d’</w:t>
      </w:r>
      <w:r w:rsidRPr="00F11B44">
        <w:t xml:space="preserve">un autre député </w:t>
      </w:r>
      <w:r w:rsidR="006A7F1D">
        <w:t>qui agi</w:t>
      </w:r>
      <w:r w:rsidR="00666520">
        <w:t>t</w:t>
      </w:r>
      <w:r w:rsidR="006A7F1D">
        <w:t xml:space="preserve"> en tant que mandataire </w:t>
      </w:r>
      <w:r w:rsidRPr="00F11B44">
        <w:t>pendant une période maximale de trois mois avant la date prévue de la naissance de l’enfant et pendant une période maximale de six mois après la naissance.»</w:t>
      </w:r>
    </w:p>
    <w:p w14:paraId="3BC3623A" w14:textId="77777777" w:rsidR="000C265F" w:rsidRPr="00F11B44" w:rsidRDefault="000C265F" w:rsidP="000C265F">
      <w:pPr>
        <w:widowControl/>
        <w:jc w:val="both"/>
      </w:pPr>
    </w:p>
    <w:p w14:paraId="519C1E3D" w14:textId="77777777" w:rsidR="000C265F" w:rsidRPr="00F11B44" w:rsidRDefault="000C265F" w:rsidP="000C265F">
      <w:pPr>
        <w:widowControl/>
      </w:pPr>
    </w:p>
    <w:p w14:paraId="6D40FBD3" w14:textId="77777777" w:rsidR="000C265F" w:rsidRPr="00F11B44" w:rsidRDefault="000C265F" w:rsidP="000C265F">
      <w:pPr>
        <w:keepNext/>
        <w:widowControl/>
        <w:jc w:val="center"/>
        <w:rPr>
          <w:i/>
        </w:rPr>
      </w:pPr>
      <w:r w:rsidRPr="00F11B44">
        <w:rPr>
          <w:i/>
        </w:rPr>
        <w:t>Article 2</w:t>
      </w:r>
    </w:p>
    <w:p w14:paraId="7109BC8B" w14:textId="77777777" w:rsidR="000C265F" w:rsidRPr="00F11B44" w:rsidRDefault="000C265F" w:rsidP="000C265F">
      <w:pPr>
        <w:keepNext/>
        <w:widowControl/>
      </w:pPr>
    </w:p>
    <w:p w14:paraId="1D931A1B" w14:textId="2BF0A3FD" w:rsidR="000C265F" w:rsidRPr="00F11B44" w:rsidRDefault="000C265F" w:rsidP="000C265F">
      <w:pPr>
        <w:pStyle w:val="CommentText"/>
        <w:widowControl/>
        <w:rPr>
          <w:color w:val="000000" w:themeColor="text1"/>
        </w:rPr>
      </w:pPr>
      <w:r w:rsidRPr="00F11B44">
        <w:rPr>
          <w:color w:val="333333"/>
          <w:sz w:val="24"/>
        </w:rPr>
        <w:t>1</w:t>
      </w:r>
      <w:r w:rsidRPr="00F11B44">
        <w:rPr>
          <w:sz w:val="24"/>
        </w:rPr>
        <w:t xml:space="preserve">.   La présente décision est soumise à l’approbation </w:t>
      </w:r>
      <w:r w:rsidR="006A7F1D">
        <w:rPr>
          <w:sz w:val="24"/>
        </w:rPr>
        <w:t>des</w:t>
      </w:r>
      <w:r w:rsidRPr="00F11B44">
        <w:rPr>
          <w:sz w:val="24"/>
        </w:rPr>
        <w:t xml:space="preserve"> États membres conformément à leurs </w:t>
      </w:r>
      <w:r w:rsidRPr="00F11B44">
        <w:rPr>
          <w:color w:val="000000" w:themeColor="text1"/>
          <w:sz w:val="24"/>
        </w:rPr>
        <w:t>règles constitutionnelles respectives</w:t>
      </w:r>
      <w:r w:rsidRPr="00F11B44">
        <w:rPr>
          <w:sz w:val="24"/>
        </w:rPr>
        <w:t>.</w:t>
      </w:r>
      <w:r w:rsidRPr="00F11B44">
        <w:rPr>
          <w:color w:val="000000" w:themeColor="text1"/>
          <w:sz w:val="24"/>
        </w:rPr>
        <w:t> Les États membres notifient au secrétariat général du Conseil l’accomplissement des procédures nécessaires à cet effet.</w:t>
      </w:r>
    </w:p>
    <w:p w14:paraId="2F5D5028" w14:textId="77777777" w:rsidR="000C265F" w:rsidRPr="00F11B44" w:rsidRDefault="000C265F" w:rsidP="000C265F">
      <w:pPr>
        <w:pStyle w:val="CommentText"/>
        <w:widowControl/>
        <w:rPr>
          <w:color w:val="000000" w:themeColor="text1"/>
        </w:rPr>
      </w:pPr>
    </w:p>
    <w:p w14:paraId="29D8D9E9" w14:textId="77777777" w:rsidR="000C265F" w:rsidRPr="00F11B44" w:rsidRDefault="000C265F" w:rsidP="000C265F">
      <w:pPr>
        <w:keepNext/>
        <w:widowControl/>
        <w:jc w:val="both"/>
        <w:rPr>
          <w:color w:val="000000" w:themeColor="text1"/>
        </w:rPr>
      </w:pPr>
      <w:r w:rsidRPr="00F11B44">
        <w:rPr>
          <w:color w:val="000000" w:themeColor="text1"/>
        </w:rPr>
        <w:t xml:space="preserve">2.   La présente décision entre en vigueur le premier jour suivant le jour de réception de la dernière notification visée au paragraphe 1. </w:t>
      </w:r>
    </w:p>
    <w:p w14:paraId="7F2C8F24" w14:textId="77777777" w:rsidR="000C265F" w:rsidRPr="00F11B44" w:rsidRDefault="000C265F" w:rsidP="000C265F">
      <w:pPr>
        <w:widowControl/>
        <w:rPr>
          <w:rFonts w:eastAsia="Calibri"/>
          <w:b/>
          <w:szCs w:val="24"/>
          <w:lang w:eastAsia="en-US"/>
        </w:rPr>
      </w:pPr>
    </w:p>
    <w:p w14:paraId="6B7C4D90" w14:textId="77777777" w:rsidR="000C265F" w:rsidRPr="00F11B44" w:rsidRDefault="000C265F" w:rsidP="000C265F">
      <w:pPr>
        <w:widowControl/>
        <w:rPr>
          <w:rFonts w:eastAsia="Calibri"/>
          <w:b/>
          <w:szCs w:val="24"/>
          <w:lang w:eastAsia="en-US"/>
        </w:rPr>
      </w:pPr>
    </w:p>
    <w:p w14:paraId="1AB88653" w14:textId="77777777" w:rsidR="000C265F" w:rsidRPr="00F11B44" w:rsidRDefault="000C265F" w:rsidP="000C265F">
      <w:pPr>
        <w:widowControl/>
        <w:jc w:val="center"/>
        <w:rPr>
          <w:i/>
        </w:rPr>
      </w:pPr>
      <w:r w:rsidRPr="00F11B44">
        <w:rPr>
          <w:i/>
        </w:rPr>
        <w:t>Article 3</w:t>
      </w:r>
    </w:p>
    <w:p w14:paraId="3405DF1E" w14:textId="77777777" w:rsidR="000C265F" w:rsidRPr="00F11B44" w:rsidRDefault="000C265F" w:rsidP="000C265F">
      <w:pPr>
        <w:widowControl/>
        <w:rPr>
          <w:rFonts w:eastAsia="Calibri"/>
          <w:b/>
          <w:szCs w:val="24"/>
          <w:lang w:eastAsia="en-US"/>
        </w:rPr>
      </w:pPr>
    </w:p>
    <w:p w14:paraId="604D47E1" w14:textId="77777777" w:rsidR="000C265F" w:rsidRPr="00F11B44" w:rsidRDefault="000C265F" w:rsidP="000C265F">
      <w:pPr>
        <w:widowControl/>
      </w:pPr>
      <w:r w:rsidRPr="00F11B44">
        <w:t xml:space="preserve">La présente décision est publiée au </w:t>
      </w:r>
      <w:r w:rsidRPr="00F11B44">
        <w:rPr>
          <w:i/>
        </w:rPr>
        <w:t>Journal officiel de l’Union européenne</w:t>
      </w:r>
      <w:r w:rsidRPr="00F11B44">
        <w:t>.</w:t>
      </w:r>
    </w:p>
    <w:p w14:paraId="0FCB759B" w14:textId="77777777" w:rsidR="000C265F" w:rsidRPr="00F11B44" w:rsidRDefault="000C265F" w:rsidP="000C265F">
      <w:pPr>
        <w:widowControl/>
        <w:rPr>
          <w:rFonts w:eastAsia="Calibri"/>
          <w:b/>
          <w:szCs w:val="24"/>
          <w:lang w:eastAsia="en-US"/>
        </w:rPr>
      </w:pPr>
    </w:p>
    <w:p w14:paraId="0B6B803F" w14:textId="77777777" w:rsidR="000C265F" w:rsidRPr="00F11B44" w:rsidRDefault="000C265F" w:rsidP="000C265F">
      <w:pPr>
        <w:widowControl/>
      </w:pPr>
    </w:p>
    <w:p w14:paraId="3623A88F" w14:textId="77777777" w:rsidR="000C265F" w:rsidRPr="00F11B44" w:rsidRDefault="000C265F" w:rsidP="000C265F">
      <w:pPr>
        <w:widowControl/>
      </w:pPr>
    </w:p>
    <w:p w14:paraId="11064E38" w14:textId="77777777" w:rsidR="000C265F" w:rsidRPr="00F11B44" w:rsidRDefault="000C265F" w:rsidP="000C265F">
      <w:pPr>
        <w:widowControl/>
      </w:pPr>
      <w:r w:rsidRPr="00F11B44">
        <w:t>Fait à Bruxelles,</w:t>
      </w:r>
    </w:p>
    <w:p w14:paraId="39F36CC5" w14:textId="77777777" w:rsidR="000C265F" w:rsidRPr="00F11B44" w:rsidRDefault="000C265F" w:rsidP="000C265F">
      <w:pPr>
        <w:widowControl/>
      </w:pPr>
    </w:p>
    <w:p w14:paraId="4AA0A4C5" w14:textId="77777777" w:rsidR="000C265F" w:rsidRPr="00F11B44" w:rsidRDefault="000C265F" w:rsidP="000C265F">
      <w:pPr>
        <w:widowControl/>
        <w:ind w:left="4962"/>
        <w:rPr>
          <w:i/>
        </w:rPr>
      </w:pPr>
    </w:p>
    <w:p w14:paraId="0FDE064A" w14:textId="77777777" w:rsidR="000C265F" w:rsidRPr="00F11B44" w:rsidRDefault="000C265F" w:rsidP="000C265F">
      <w:pPr>
        <w:widowControl/>
        <w:ind w:left="4962"/>
        <w:rPr>
          <w:i/>
        </w:rPr>
      </w:pPr>
      <w:r w:rsidRPr="00F11B44">
        <w:rPr>
          <w:i/>
        </w:rPr>
        <w:t>Par le Conseil</w:t>
      </w:r>
    </w:p>
    <w:p w14:paraId="53A40DDD" w14:textId="5E256075" w:rsidR="00F11B44" w:rsidRPr="00F11B44" w:rsidRDefault="00F37F2B" w:rsidP="00F11B44">
      <w:pPr>
        <w:pStyle w:val="Normal12a"/>
        <w:widowControl/>
        <w:ind w:firstLine="4962"/>
      </w:pPr>
      <w:r>
        <w:rPr>
          <w:i/>
        </w:rPr>
        <w:t>Le président/</w:t>
      </w:r>
      <w:r w:rsidR="000C265F" w:rsidRPr="00F11B44">
        <w:rPr>
          <w:i/>
        </w:rPr>
        <w:t>La présidente</w:t>
      </w:r>
    </w:p>
    <w:p w14:paraId="1664EC10" w14:textId="25D4FDB3" w:rsidR="00E365E1" w:rsidRPr="00F11B44" w:rsidRDefault="00E365E1" w:rsidP="00DB7D01"/>
    <w:sectPr w:rsidR="00E365E1" w:rsidRPr="00F11B44" w:rsidSect="00F11B4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EF8F1" w14:textId="77777777" w:rsidR="00DB7D01" w:rsidRPr="00F11B44" w:rsidRDefault="00DB7D01">
      <w:r w:rsidRPr="00F11B44">
        <w:separator/>
      </w:r>
    </w:p>
  </w:endnote>
  <w:endnote w:type="continuationSeparator" w:id="0">
    <w:p w14:paraId="11BF2B2A" w14:textId="77777777" w:rsidR="00DB7D01" w:rsidRPr="00F11B44" w:rsidRDefault="00DB7D01">
      <w:r w:rsidRPr="00F11B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25EE7" w14:textId="77777777" w:rsidR="000C265F" w:rsidRPr="00F11B44" w:rsidRDefault="000C265F" w:rsidP="00717AFC">
    <w:pPr>
      <w:pStyle w:val="EPFooter"/>
    </w:pPr>
    <w:r w:rsidRPr="00F11B44">
      <w:t>PE</w:t>
    </w:r>
    <w:r w:rsidRPr="00F11B44">
      <w:rPr>
        <w:rStyle w:val="HideTWBExt"/>
      </w:rPr>
      <w:t>&lt;NoPE&gt;</w:t>
    </w:r>
    <w:r w:rsidRPr="00F11B44">
      <w:t>778.275</w:t>
    </w:r>
    <w:r w:rsidRPr="00F11B44">
      <w:rPr>
        <w:rStyle w:val="HideTWBExt"/>
      </w:rPr>
      <w:t>&lt;/NoPE&gt;&lt;Version&gt;</w:t>
    </w:r>
    <w:r w:rsidRPr="00F11B44">
      <w:t>v02-00</w:t>
    </w:r>
    <w:r w:rsidRPr="00F11B44">
      <w:rPr>
        <w:rStyle w:val="HideTWBExt"/>
      </w:rPr>
      <w:t>&lt;/Version&gt;</w:t>
    </w:r>
    <w:r w:rsidRPr="00F11B44">
      <w:tab/>
    </w:r>
    <w:r w:rsidRPr="00F11B44">
      <w:fldChar w:fldCharType="begin"/>
    </w:r>
    <w:r w:rsidRPr="00F11B44">
      <w:instrText xml:space="preserve"> PAGE  \* MERGEFORMAT </w:instrText>
    </w:r>
    <w:r w:rsidRPr="00F11B44">
      <w:fldChar w:fldCharType="separate"/>
    </w:r>
    <w:r w:rsidRPr="00F11B44">
      <w:rPr>
        <w:noProof/>
      </w:rPr>
      <w:t>4</w:t>
    </w:r>
    <w:r w:rsidRPr="00F11B44">
      <w:fldChar w:fldCharType="end"/>
    </w:r>
    <w:r w:rsidRPr="00F11B44">
      <w:t>/</w:t>
    </w:r>
    <w:fldSimple w:instr=" NUMPAGES  \* MERGEFORMAT ">
      <w:r w:rsidRPr="00F11B44">
        <w:rPr>
          <w:noProof/>
        </w:rPr>
        <w:t>11</w:t>
      </w:r>
    </w:fldSimple>
    <w:r w:rsidRPr="00F11B44">
      <w:tab/>
    </w:r>
    <w:r w:rsidRPr="00F11B44">
      <w:rPr>
        <w:rStyle w:val="HideTWBExt"/>
      </w:rPr>
      <w:t>&lt;PathFdR&gt;</w:t>
    </w:r>
    <w:r w:rsidRPr="00F11B44">
      <w:t>RR\1331433FR.docx</w:t>
    </w:r>
    <w:r w:rsidRPr="00F11B44">
      <w:rPr>
        <w:rStyle w:val="HideTWBExt"/>
      </w:rPr>
      <w:t>&lt;/PathFdR&gt;</w:t>
    </w:r>
  </w:p>
  <w:p w14:paraId="6E6FBFEC" w14:textId="77777777" w:rsidR="000C265F" w:rsidRPr="00F11B44" w:rsidRDefault="000C265F" w:rsidP="00717AFC">
    <w:pPr>
      <w:pStyle w:val="EPFooter2"/>
    </w:pPr>
    <w:r w:rsidRPr="00F11B44">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E0451" w14:textId="77777777" w:rsidR="000C265F" w:rsidRPr="00F11B44" w:rsidRDefault="000C265F" w:rsidP="00717AFC">
    <w:pPr>
      <w:pStyle w:val="EPFooter"/>
    </w:pPr>
    <w:r w:rsidRPr="00F11B44">
      <w:rPr>
        <w:rStyle w:val="HideTWBExt"/>
      </w:rPr>
      <w:t>&lt;PathFdR&gt;</w:t>
    </w:r>
    <w:r w:rsidRPr="00F11B44">
      <w:t>RR\1331433FR.docx</w:t>
    </w:r>
    <w:r w:rsidRPr="00F11B44">
      <w:rPr>
        <w:rStyle w:val="HideTWBExt"/>
      </w:rPr>
      <w:t>&lt;/PathFdR&gt;</w:t>
    </w:r>
    <w:r w:rsidRPr="00F11B44">
      <w:tab/>
    </w:r>
    <w:r w:rsidRPr="00F11B44">
      <w:tab/>
      <w:t>PE</w:t>
    </w:r>
    <w:r w:rsidRPr="00F11B44">
      <w:rPr>
        <w:rStyle w:val="HideTWBExt"/>
      </w:rPr>
      <w:t>&lt;NoPE&gt;</w:t>
    </w:r>
    <w:r w:rsidRPr="00F11B44">
      <w:t>778.275</w:t>
    </w:r>
    <w:r w:rsidRPr="00F11B44">
      <w:rPr>
        <w:rStyle w:val="HideTWBExt"/>
      </w:rPr>
      <w:t>&lt;/NoPE&gt;&lt;Version&gt;</w:t>
    </w:r>
    <w:r w:rsidRPr="00F11B44">
      <w:t>v02-00</w:t>
    </w:r>
    <w:r w:rsidRPr="00F11B44">
      <w:rPr>
        <w:rStyle w:val="HideTWBExt"/>
      </w:rPr>
      <w:t>&lt;/Version&gt;</w:t>
    </w:r>
  </w:p>
  <w:p w14:paraId="11686C53" w14:textId="77777777" w:rsidR="000C265F" w:rsidRPr="00F11B44" w:rsidRDefault="000C265F" w:rsidP="00717AFC">
    <w:pPr>
      <w:pStyle w:val="EPFooter2"/>
    </w:pPr>
    <w:r w:rsidRPr="00F11B44">
      <w:t>FR</w:t>
    </w:r>
    <w:r w:rsidRPr="00F11B44">
      <w:tab/>
    </w:r>
    <w:r w:rsidRPr="00F11B44">
      <w:rPr>
        <w:b w:val="0"/>
        <w:i/>
        <w:color w:val="C0C0C0"/>
        <w:sz w:val="22"/>
      </w:rPr>
      <w:t>Unie dans la diversité</w:t>
    </w:r>
    <w:r w:rsidRPr="00F11B44">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8B815" w14:textId="77777777" w:rsidR="00064002" w:rsidRPr="00F11B4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85B56" w14:textId="77777777" w:rsidR="00064002" w:rsidRPr="00F11B4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3B1D1" w14:textId="77777777" w:rsidR="00064002" w:rsidRPr="00F11B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A4859" w14:textId="77777777" w:rsidR="00DB7D01" w:rsidRPr="00F11B44" w:rsidRDefault="00DB7D01">
      <w:r w:rsidRPr="00F11B44">
        <w:separator/>
      </w:r>
    </w:p>
  </w:footnote>
  <w:footnote w:type="continuationSeparator" w:id="0">
    <w:p w14:paraId="1313B499" w14:textId="77777777" w:rsidR="00DB7D01" w:rsidRPr="00F11B44" w:rsidRDefault="00DB7D01">
      <w:r w:rsidRPr="00F11B44">
        <w:continuationSeparator/>
      </w:r>
    </w:p>
  </w:footnote>
  <w:footnote w:id="1">
    <w:p w14:paraId="48CADF97" w14:textId="49CFE578" w:rsidR="000C265F" w:rsidRPr="001213ED" w:rsidRDefault="000C265F" w:rsidP="00F11B44">
      <w:pPr>
        <w:pStyle w:val="FootnoteText"/>
        <w:ind w:left="567" w:hanging="567"/>
        <w:rPr>
          <w:sz w:val="24"/>
          <w:szCs w:val="24"/>
          <w:lang w:val="fi-FI"/>
        </w:rPr>
      </w:pPr>
      <w:r w:rsidRPr="001213ED">
        <w:rPr>
          <w:rStyle w:val="FootnoteReference"/>
          <w:sz w:val="24"/>
          <w:szCs w:val="24"/>
        </w:rPr>
        <w:footnoteRef/>
      </w:r>
      <w:r w:rsidR="00F11B44" w:rsidRPr="001213ED">
        <w:rPr>
          <w:sz w:val="24"/>
          <w:szCs w:val="24"/>
          <w:lang w:val="fi-FI"/>
        </w:rPr>
        <w:t xml:space="preserve"> </w:t>
      </w:r>
      <w:r w:rsidR="00F11B44" w:rsidRPr="001213ED">
        <w:rPr>
          <w:sz w:val="24"/>
          <w:szCs w:val="24"/>
          <w:lang w:val="fi-FI"/>
        </w:rPr>
        <w:tab/>
      </w:r>
      <w:r w:rsidRPr="001213ED">
        <w:rPr>
          <w:sz w:val="24"/>
          <w:szCs w:val="24"/>
          <w:lang w:val="fi-FI"/>
        </w:rPr>
        <w:t xml:space="preserve">JO L 262 du 7.10.2005, p. 1, ELI: </w:t>
      </w:r>
      <w:hyperlink r:id="rId1" w:history="1">
        <w:r w:rsidR="00EF58CE" w:rsidRPr="001213ED">
          <w:rPr>
            <w:sz w:val="24"/>
            <w:szCs w:val="24"/>
            <w:lang w:val="fi-FI"/>
          </w:rPr>
          <w:t>http://data.europa.eu/eli/dec/2005/684/oj</w:t>
        </w:r>
      </w:hyperlink>
      <w:r w:rsidRPr="001213ED">
        <w:rPr>
          <w:sz w:val="24"/>
          <w:szCs w:val="24"/>
          <w:lang w:val="fi-FI"/>
        </w:rPr>
        <w:t>.</w:t>
      </w:r>
    </w:p>
  </w:footnote>
  <w:footnote w:id="2">
    <w:p w14:paraId="29F088B6" w14:textId="0A0A2C6C" w:rsidR="000C265F" w:rsidRPr="001213ED" w:rsidRDefault="000C265F" w:rsidP="00F11B44">
      <w:pPr>
        <w:pStyle w:val="FootnoteText"/>
        <w:ind w:left="567" w:hanging="567"/>
        <w:rPr>
          <w:sz w:val="24"/>
          <w:szCs w:val="24"/>
          <w:lang w:val="da-DK"/>
        </w:rPr>
      </w:pPr>
      <w:r w:rsidRPr="001213ED">
        <w:rPr>
          <w:rStyle w:val="FootnoteReference"/>
          <w:sz w:val="24"/>
          <w:szCs w:val="24"/>
        </w:rPr>
        <w:footnoteRef/>
      </w:r>
      <w:r w:rsidR="00F11B44" w:rsidRPr="001213ED">
        <w:rPr>
          <w:sz w:val="24"/>
          <w:szCs w:val="24"/>
          <w:lang w:val="da-DK"/>
        </w:rPr>
        <w:t xml:space="preserve"> </w:t>
      </w:r>
      <w:r w:rsidR="00F11B44" w:rsidRPr="001213ED">
        <w:rPr>
          <w:sz w:val="24"/>
          <w:szCs w:val="24"/>
          <w:lang w:val="da-DK"/>
        </w:rPr>
        <w:tab/>
      </w:r>
      <w:r w:rsidRPr="001213ED">
        <w:rPr>
          <w:sz w:val="24"/>
          <w:szCs w:val="24"/>
          <w:lang w:val="da-DK"/>
        </w:rPr>
        <w:t>JO C 292 du 21.9.1998, p. 66.</w:t>
      </w:r>
    </w:p>
  </w:footnote>
  <w:footnote w:id="3">
    <w:p w14:paraId="0BB97454" w14:textId="75AAE94C" w:rsidR="000C265F" w:rsidRPr="001213ED" w:rsidRDefault="000C265F" w:rsidP="00F11B44">
      <w:pPr>
        <w:ind w:left="567" w:hanging="567"/>
        <w:rPr>
          <w:szCs w:val="24"/>
          <w:lang w:val="da-DK"/>
        </w:rPr>
      </w:pPr>
      <w:r w:rsidRPr="001213ED">
        <w:rPr>
          <w:rStyle w:val="FootnoteReference"/>
          <w:szCs w:val="24"/>
        </w:rPr>
        <w:footnoteRef/>
      </w:r>
      <w:r w:rsidR="00F11B44" w:rsidRPr="001213ED">
        <w:rPr>
          <w:szCs w:val="24"/>
          <w:lang w:val="da-DK"/>
        </w:rPr>
        <w:t xml:space="preserve"> </w:t>
      </w:r>
      <w:r w:rsidR="00F11B44" w:rsidRPr="001213ED">
        <w:rPr>
          <w:szCs w:val="24"/>
          <w:lang w:val="da-DK"/>
        </w:rPr>
        <w:tab/>
      </w:r>
      <w:r w:rsidRPr="001213ED">
        <w:rPr>
          <w:szCs w:val="24"/>
          <w:lang w:val="da-DK"/>
        </w:rPr>
        <w:t>JO C 419 du 16.12.2015, p. 185.</w:t>
      </w:r>
    </w:p>
  </w:footnote>
  <w:footnote w:id="4">
    <w:p w14:paraId="64B0758F" w14:textId="7757E31B" w:rsidR="000C265F" w:rsidRPr="001213ED" w:rsidRDefault="000C265F" w:rsidP="00F11B44">
      <w:pPr>
        <w:ind w:left="567" w:hanging="567"/>
        <w:rPr>
          <w:szCs w:val="24"/>
          <w:lang w:val="da-DK"/>
        </w:rPr>
      </w:pPr>
      <w:r w:rsidRPr="001213ED">
        <w:rPr>
          <w:rStyle w:val="FootnoteReference"/>
          <w:szCs w:val="24"/>
        </w:rPr>
        <w:footnoteRef/>
      </w:r>
      <w:r w:rsidR="00F11B44" w:rsidRPr="001213ED">
        <w:rPr>
          <w:szCs w:val="24"/>
          <w:lang w:val="da-DK"/>
        </w:rPr>
        <w:t xml:space="preserve"> </w:t>
      </w:r>
      <w:r w:rsidR="00F11B44" w:rsidRPr="001213ED">
        <w:rPr>
          <w:szCs w:val="24"/>
          <w:lang w:val="da-DK"/>
        </w:rPr>
        <w:tab/>
      </w:r>
      <w:r w:rsidRPr="001213ED">
        <w:rPr>
          <w:szCs w:val="24"/>
          <w:lang w:val="da-DK"/>
        </w:rPr>
        <w:t>JO C 75 du 26.2.2016, p. 109.</w:t>
      </w:r>
    </w:p>
  </w:footnote>
  <w:footnote w:id="5">
    <w:p w14:paraId="609ACDE2" w14:textId="6A7C88F9" w:rsidR="000C265F" w:rsidRPr="001213ED" w:rsidRDefault="000C265F" w:rsidP="00F11B44">
      <w:pPr>
        <w:ind w:left="567" w:hanging="567"/>
        <w:rPr>
          <w:szCs w:val="24"/>
          <w:lang w:val="da-DK"/>
        </w:rPr>
      </w:pPr>
      <w:r w:rsidRPr="001213ED">
        <w:rPr>
          <w:rStyle w:val="FootnoteReference"/>
          <w:szCs w:val="24"/>
        </w:rPr>
        <w:footnoteRef/>
      </w:r>
      <w:r w:rsidR="00F11B44" w:rsidRPr="001213ED">
        <w:rPr>
          <w:szCs w:val="24"/>
          <w:lang w:val="da-DK"/>
        </w:rPr>
        <w:t xml:space="preserve"> </w:t>
      </w:r>
      <w:r w:rsidR="00F11B44" w:rsidRPr="001213ED">
        <w:rPr>
          <w:szCs w:val="24"/>
          <w:lang w:val="da-DK"/>
        </w:rPr>
        <w:tab/>
      </w:r>
      <w:r w:rsidRPr="001213ED">
        <w:rPr>
          <w:szCs w:val="24"/>
          <w:lang w:val="da-DK"/>
        </w:rPr>
        <w:t>JO C 366 du 27.10.2017, p. 7.</w:t>
      </w:r>
    </w:p>
  </w:footnote>
  <w:footnote w:id="6">
    <w:p w14:paraId="2DD93643" w14:textId="73E468F6" w:rsidR="000C265F" w:rsidRPr="001213ED" w:rsidRDefault="000C265F" w:rsidP="00F11B44">
      <w:pPr>
        <w:pStyle w:val="FootnoteText"/>
        <w:ind w:left="567" w:hanging="567"/>
        <w:rPr>
          <w:sz w:val="24"/>
          <w:szCs w:val="24"/>
        </w:rPr>
      </w:pPr>
      <w:r w:rsidRPr="001213ED">
        <w:rPr>
          <w:rStyle w:val="FootnoteReference"/>
          <w:sz w:val="24"/>
          <w:szCs w:val="24"/>
        </w:rPr>
        <w:footnoteRef/>
      </w:r>
      <w:r w:rsidR="00F11B44" w:rsidRPr="001213ED">
        <w:rPr>
          <w:sz w:val="24"/>
          <w:szCs w:val="24"/>
        </w:rPr>
        <w:t xml:space="preserve"> </w:t>
      </w:r>
      <w:r w:rsidR="00F11B44" w:rsidRPr="001213ED">
        <w:rPr>
          <w:sz w:val="24"/>
          <w:szCs w:val="24"/>
        </w:rPr>
        <w:tab/>
      </w:r>
      <w:r w:rsidRPr="001213ED">
        <w:rPr>
          <w:sz w:val="24"/>
          <w:szCs w:val="24"/>
        </w:rPr>
        <w:t>JO C 465 du 6.12.2022, p. 171.</w:t>
      </w:r>
    </w:p>
  </w:footnote>
  <w:footnote w:id="7">
    <w:p w14:paraId="0103760B" w14:textId="740D7C95" w:rsidR="000C265F" w:rsidRPr="001213ED" w:rsidRDefault="000C265F" w:rsidP="00D244AD">
      <w:pPr>
        <w:pStyle w:val="FootnoteText"/>
        <w:keepLines w:val="0"/>
        <w:ind w:left="567" w:hanging="567"/>
        <w:rPr>
          <w:sz w:val="24"/>
          <w:szCs w:val="24"/>
          <w:lang w:val="fr-BE"/>
        </w:rPr>
      </w:pPr>
      <w:r w:rsidRPr="001213ED">
        <w:rPr>
          <w:rStyle w:val="FootnoteReference"/>
          <w:sz w:val="24"/>
          <w:szCs w:val="24"/>
        </w:rPr>
        <w:footnoteRef/>
      </w:r>
      <w:r w:rsidR="00F11B44" w:rsidRPr="001213ED">
        <w:rPr>
          <w:sz w:val="24"/>
          <w:szCs w:val="24"/>
          <w:lang w:val="fr-BE"/>
        </w:rPr>
        <w:t xml:space="preserve"> </w:t>
      </w:r>
      <w:r w:rsidR="00F11B44" w:rsidRPr="001213ED">
        <w:rPr>
          <w:sz w:val="24"/>
          <w:szCs w:val="24"/>
          <w:lang w:val="fr-BE"/>
        </w:rPr>
        <w:tab/>
      </w:r>
      <w:r w:rsidRPr="001213ED">
        <w:rPr>
          <w:sz w:val="24"/>
          <w:szCs w:val="24"/>
          <w:lang w:val="fr-BE"/>
        </w:rPr>
        <w:t xml:space="preserve">JO L 45 du 17.2.2018, p. 46, ELI: </w:t>
      </w:r>
      <w:r w:rsidR="007D60F0" w:rsidRPr="001213ED">
        <w:rPr>
          <w:color w:val="333333"/>
          <w:sz w:val="24"/>
          <w:szCs w:val="24"/>
          <w:shd w:val="clear" w:color="auto" w:fill="FFFFFF"/>
          <w:lang w:val="fr-BE" w:eastAsia="en-GB"/>
        </w:rPr>
        <w:t> </w:t>
      </w:r>
      <w:hyperlink r:id="rId2" w:tooltip="Gives access to this document through its ELI URI." w:history="1">
        <w:r w:rsidR="00A12CA1" w:rsidRPr="001213ED">
          <w:rPr>
            <w:rStyle w:val="Hyperlink"/>
            <w:sz w:val="24"/>
            <w:szCs w:val="24"/>
            <w:lang w:val="fr-BE"/>
          </w:rPr>
          <w:t>http://data.europa.eu/eli/agree_interinstit/2018/217/oj</w:t>
        </w:r>
      </w:hyperlink>
      <w:r w:rsidR="00A12CA1" w:rsidRPr="001213ED">
        <w:rPr>
          <w:sz w:val="24"/>
          <w:szCs w:val="24"/>
          <w:lang w:val="fr-BE"/>
        </w:rPr>
        <w:t>.</w:t>
      </w:r>
    </w:p>
  </w:footnote>
  <w:footnote w:id="8">
    <w:p w14:paraId="7CD44555" w14:textId="3600BE1A" w:rsidR="000C265F" w:rsidRPr="001213ED" w:rsidRDefault="000C265F" w:rsidP="00F11B44">
      <w:pPr>
        <w:pStyle w:val="FootnoteText"/>
        <w:ind w:left="567" w:hanging="567"/>
        <w:rPr>
          <w:sz w:val="24"/>
          <w:szCs w:val="24"/>
        </w:rPr>
      </w:pPr>
      <w:r w:rsidRPr="001213ED">
        <w:rPr>
          <w:rStyle w:val="FootnoteReference"/>
          <w:sz w:val="24"/>
          <w:szCs w:val="24"/>
        </w:rPr>
        <w:footnoteRef/>
      </w:r>
      <w:r w:rsidR="00F11B44" w:rsidRPr="001213ED">
        <w:rPr>
          <w:sz w:val="24"/>
          <w:szCs w:val="24"/>
        </w:rPr>
        <w:t xml:space="preserve"> </w:t>
      </w:r>
      <w:r w:rsidR="00F11B44" w:rsidRPr="001213ED">
        <w:rPr>
          <w:sz w:val="24"/>
          <w:szCs w:val="24"/>
        </w:rPr>
        <w:tab/>
      </w:r>
      <w:r w:rsidRPr="001213ED">
        <w:rPr>
          <w:sz w:val="24"/>
          <w:szCs w:val="24"/>
        </w:rPr>
        <w:t>Décision 76/787/CECA, CEE, Euratom du 20 septembre 1976</w:t>
      </w:r>
      <w:r w:rsidRPr="001213ED">
        <w:rPr>
          <w:sz w:val="24"/>
          <w:szCs w:val="24"/>
          <w:shd w:val="clear" w:color="auto" w:fill="FFFFFF"/>
        </w:rPr>
        <w:t xml:space="preserve"> des représentants des États membres réunis au sein du Conseil relative à l’Acte portant élection des représentants à l’Assemblée au suffrage universel direct</w:t>
      </w:r>
      <w:r w:rsidRPr="001213ED">
        <w:rPr>
          <w:sz w:val="24"/>
          <w:szCs w:val="24"/>
        </w:rPr>
        <w:t xml:space="preserve"> (JO L </w:t>
      </w:r>
      <w:r w:rsidRPr="001213ED">
        <w:rPr>
          <w:sz w:val="24"/>
          <w:szCs w:val="24"/>
        </w:rPr>
        <w:t>278 du 8.10.1976, p. 1, ELI: </w:t>
      </w:r>
      <w:hyperlink r:id="rId3" w:tooltip="Donne accès à ce document au moyen de son URI ELI." w:history="1">
        <w:r w:rsidRPr="001213ED">
          <w:rPr>
            <w:rStyle w:val="Hyperlink"/>
            <w:sz w:val="24"/>
            <w:szCs w:val="24"/>
          </w:rPr>
          <w:t>http://data.europa.eu/eli/dec/1976/787(1)/oj</w:t>
        </w:r>
      </w:hyperlink>
      <w:r w:rsidRPr="001213ED">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68673" w14:textId="77777777" w:rsidR="00064002" w:rsidRPr="00F11B4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930D3" w14:textId="77777777" w:rsidR="00064002" w:rsidRPr="00F11B4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08538" w14:textId="77777777" w:rsidR="00064002" w:rsidRPr="00F11B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0542450">
    <w:abstractNumId w:val="9"/>
  </w:num>
  <w:num w:numId="2" w16cid:durableId="1019043564">
    <w:abstractNumId w:val="9"/>
  </w:num>
  <w:num w:numId="3" w16cid:durableId="2033873054">
    <w:abstractNumId w:val="7"/>
  </w:num>
  <w:num w:numId="4" w16cid:durableId="1123689612">
    <w:abstractNumId w:val="7"/>
  </w:num>
  <w:num w:numId="5" w16cid:durableId="1827238407">
    <w:abstractNumId w:val="6"/>
  </w:num>
  <w:num w:numId="6" w16cid:durableId="29962856">
    <w:abstractNumId w:val="6"/>
  </w:num>
  <w:num w:numId="7" w16cid:durableId="1406219116">
    <w:abstractNumId w:val="5"/>
  </w:num>
  <w:num w:numId="8" w16cid:durableId="1605645471">
    <w:abstractNumId w:val="5"/>
  </w:num>
  <w:num w:numId="9" w16cid:durableId="1496146338">
    <w:abstractNumId w:val="4"/>
  </w:num>
  <w:num w:numId="10" w16cid:durableId="308554548">
    <w:abstractNumId w:val="4"/>
  </w:num>
  <w:num w:numId="11" w16cid:durableId="313150096">
    <w:abstractNumId w:val="8"/>
  </w:num>
  <w:num w:numId="12" w16cid:durableId="1074204057">
    <w:abstractNumId w:val="8"/>
  </w:num>
  <w:num w:numId="13" w16cid:durableId="435832135">
    <w:abstractNumId w:val="3"/>
  </w:num>
  <w:num w:numId="14" w16cid:durableId="2094737499">
    <w:abstractNumId w:val="3"/>
  </w:num>
  <w:num w:numId="15" w16cid:durableId="1942255689">
    <w:abstractNumId w:val="2"/>
  </w:num>
  <w:num w:numId="16" w16cid:durableId="2094886370">
    <w:abstractNumId w:val="2"/>
  </w:num>
  <w:num w:numId="17" w16cid:durableId="489105523">
    <w:abstractNumId w:val="1"/>
  </w:num>
  <w:num w:numId="18" w16cid:durableId="1058436435">
    <w:abstractNumId w:val="1"/>
  </w:num>
  <w:num w:numId="19" w16cid:durableId="555430277">
    <w:abstractNumId w:val="0"/>
  </w:num>
  <w:num w:numId="20" w16cid:durableId="975992400">
    <w:abstractNumId w:val="0"/>
  </w:num>
  <w:num w:numId="21" w16cid:durableId="1872453248">
    <w:abstractNumId w:val="9"/>
  </w:num>
  <w:num w:numId="22" w16cid:durableId="2068912403">
    <w:abstractNumId w:val="7"/>
  </w:num>
  <w:num w:numId="23" w16cid:durableId="1571501957">
    <w:abstractNumId w:val="6"/>
  </w:num>
  <w:num w:numId="24" w16cid:durableId="1962416506">
    <w:abstractNumId w:val="5"/>
  </w:num>
  <w:num w:numId="25" w16cid:durableId="27267237">
    <w:abstractNumId w:val="4"/>
  </w:num>
  <w:num w:numId="26" w16cid:durableId="1387870239">
    <w:abstractNumId w:val="8"/>
  </w:num>
  <w:num w:numId="27" w16cid:durableId="2107385322">
    <w:abstractNumId w:val="3"/>
  </w:num>
  <w:num w:numId="28" w16cid:durableId="577860768">
    <w:abstractNumId w:val="2"/>
  </w:num>
  <w:num w:numId="29" w16cid:durableId="922226774">
    <w:abstractNumId w:val="1"/>
  </w:num>
  <w:num w:numId="30" w16cid:durableId="1972708038">
    <w:abstractNumId w:val="0"/>
  </w:num>
  <w:num w:numId="31" w16cid:durableId="702170095">
    <w:abstractNumId w:val="9"/>
  </w:num>
  <w:num w:numId="32" w16cid:durableId="841240775">
    <w:abstractNumId w:val="7"/>
  </w:num>
  <w:num w:numId="33" w16cid:durableId="1594127359">
    <w:abstractNumId w:val="6"/>
  </w:num>
  <w:num w:numId="34" w16cid:durableId="309553057">
    <w:abstractNumId w:val="5"/>
  </w:num>
  <w:num w:numId="35" w16cid:durableId="1893609955">
    <w:abstractNumId w:val="4"/>
  </w:num>
  <w:num w:numId="36" w16cid:durableId="1076395445">
    <w:abstractNumId w:val="8"/>
  </w:num>
  <w:num w:numId="37" w16cid:durableId="1939629782">
    <w:abstractNumId w:val="3"/>
  </w:num>
  <w:num w:numId="38" w16cid:durableId="458305153">
    <w:abstractNumId w:val="2"/>
  </w:num>
  <w:num w:numId="39" w16cid:durableId="1276475869">
    <w:abstractNumId w:val="1"/>
  </w:num>
  <w:num w:numId="40" w16cid:durableId="1541163842">
    <w:abstractNumId w:val="0"/>
  </w:num>
  <w:num w:numId="41" w16cid:durableId="2127190680">
    <w:abstractNumId w:val="10"/>
  </w:num>
  <w:num w:numId="42" w16cid:durableId="1084687698">
    <w:abstractNumId w:val="10"/>
  </w:num>
  <w:num w:numId="43" w16cid:durableId="773285832">
    <w:abstractNumId w:val="10"/>
  </w:num>
  <w:num w:numId="44" w16cid:durableId="8257846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4/2025"/>
    <w:docVar w:name="dvlangue" w:val="FR"/>
    <w:docVar w:name="dvnumam" w:val="0"/>
    <w:docVar w:name="dvpe" w:val="778.275"/>
    <w:docVar w:name="dvrapporteur" w:val="Rapporteur: "/>
    <w:docVar w:name="dvtitre" w:val="Résolution législative du Parlement européen du ... 2025 sur la modification de l’acte électoral européen, permettant aux députées de voter en plénière par procuration pendant la grossesse et après l’accouchement(2025/2195(INL) – 2025/0900(APP))"/>
  </w:docVars>
  <w:rsids>
    <w:rsidRoot w:val="00DB7D01"/>
    <w:rsid w:val="00002272"/>
    <w:rsid w:val="00064002"/>
    <w:rsid w:val="000677B9"/>
    <w:rsid w:val="000831BA"/>
    <w:rsid w:val="00094253"/>
    <w:rsid w:val="00094904"/>
    <w:rsid w:val="000A42CC"/>
    <w:rsid w:val="000B3A35"/>
    <w:rsid w:val="000C0C09"/>
    <w:rsid w:val="000C265F"/>
    <w:rsid w:val="000E7DD9"/>
    <w:rsid w:val="0010095E"/>
    <w:rsid w:val="001213ED"/>
    <w:rsid w:val="00125B37"/>
    <w:rsid w:val="00137024"/>
    <w:rsid w:val="00187494"/>
    <w:rsid w:val="001F32AE"/>
    <w:rsid w:val="002767FF"/>
    <w:rsid w:val="00295048"/>
    <w:rsid w:val="002B18FE"/>
    <w:rsid w:val="002B5493"/>
    <w:rsid w:val="002C6244"/>
    <w:rsid w:val="003068B4"/>
    <w:rsid w:val="00343214"/>
    <w:rsid w:val="00361C00"/>
    <w:rsid w:val="00395FA1"/>
    <w:rsid w:val="003E15D4"/>
    <w:rsid w:val="00411CCE"/>
    <w:rsid w:val="0041666E"/>
    <w:rsid w:val="00421060"/>
    <w:rsid w:val="00452159"/>
    <w:rsid w:val="00471C19"/>
    <w:rsid w:val="004750F4"/>
    <w:rsid w:val="004867E3"/>
    <w:rsid w:val="00494A28"/>
    <w:rsid w:val="004A16CB"/>
    <w:rsid w:val="004C0004"/>
    <w:rsid w:val="004C5D52"/>
    <w:rsid w:val="004F4774"/>
    <w:rsid w:val="0050519A"/>
    <w:rsid w:val="005072A1"/>
    <w:rsid w:val="00514517"/>
    <w:rsid w:val="00545827"/>
    <w:rsid w:val="00560270"/>
    <w:rsid w:val="00573DD9"/>
    <w:rsid w:val="00597134"/>
    <w:rsid w:val="005C2568"/>
    <w:rsid w:val="005F10C9"/>
    <w:rsid w:val="005F1B17"/>
    <w:rsid w:val="006037C0"/>
    <w:rsid w:val="006631B6"/>
    <w:rsid w:val="00666520"/>
    <w:rsid w:val="00680577"/>
    <w:rsid w:val="006A7F1D"/>
    <w:rsid w:val="006E16BB"/>
    <w:rsid w:val="006F74FA"/>
    <w:rsid w:val="00731ADD"/>
    <w:rsid w:val="00734777"/>
    <w:rsid w:val="00747932"/>
    <w:rsid w:val="00751A4A"/>
    <w:rsid w:val="00756632"/>
    <w:rsid w:val="00762960"/>
    <w:rsid w:val="00762C74"/>
    <w:rsid w:val="00786EC0"/>
    <w:rsid w:val="007D1690"/>
    <w:rsid w:val="007D60F0"/>
    <w:rsid w:val="007E22AD"/>
    <w:rsid w:val="00817416"/>
    <w:rsid w:val="00842779"/>
    <w:rsid w:val="00865F67"/>
    <w:rsid w:val="00881A7B"/>
    <w:rsid w:val="00882BED"/>
    <w:rsid w:val="008840E5"/>
    <w:rsid w:val="00887B3E"/>
    <w:rsid w:val="008C2AC6"/>
    <w:rsid w:val="00930C23"/>
    <w:rsid w:val="0093193B"/>
    <w:rsid w:val="009509D8"/>
    <w:rsid w:val="00950B64"/>
    <w:rsid w:val="00981893"/>
    <w:rsid w:val="009A5DF2"/>
    <w:rsid w:val="00A12CA1"/>
    <w:rsid w:val="00A1687D"/>
    <w:rsid w:val="00A43E52"/>
    <w:rsid w:val="00A4678D"/>
    <w:rsid w:val="00A778C7"/>
    <w:rsid w:val="00AB441E"/>
    <w:rsid w:val="00AB6293"/>
    <w:rsid w:val="00AE0928"/>
    <w:rsid w:val="00AE1C11"/>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DE9"/>
    <w:rsid w:val="00D244AD"/>
    <w:rsid w:val="00D56C11"/>
    <w:rsid w:val="00D834A0"/>
    <w:rsid w:val="00D872DF"/>
    <w:rsid w:val="00D91E21"/>
    <w:rsid w:val="00DA7FCD"/>
    <w:rsid w:val="00DB7D01"/>
    <w:rsid w:val="00DE05F6"/>
    <w:rsid w:val="00DF664A"/>
    <w:rsid w:val="00E204CD"/>
    <w:rsid w:val="00E25D9A"/>
    <w:rsid w:val="00E365E1"/>
    <w:rsid w:val="00E732A4"/>
    <w:rsid w:val="00E820A4"/>
    <w:rsid w:val="00EB006A"/>
    <w:rsid w:val="00EB4772"/>
    <w:rsid w:val="00EC6C82"/>
    <w:rsid w:val="00ED169E"/>
    <w:rsid w:val="00ED4235"/>
    <w:rsid w:val="00EF58CE"/>
    <w:rsid w:val="00F04346"/>
    <w:rsid w:val="00F075DC"/>
    <w:rsid w:val="00F11B44"/>
    <w:rsid w:val="00F149E9"/>
    <w:rsid w:val="00F37F2B"/>
    <w:rsid w:val="00F5134D"/>
    <w:rsid w:val="00F74202"/>
    <w:rsid w:val="00F87713"/>
    <w:rsid w:val="00FB2994"/>
    <w:rsid w:val="00FB4360"/>
    <w:rsid w:val="00FD0C70"/>
    <w:rsid w:val="00FE44C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A19A93"/>
  <w15:chartTrackingRefBased/>
  <w15:docId w15:val="{F0CE3A4B-C26F-44CD-B259-4873E91A1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 BVI fnr,Footnotes refss,Footnote Reference Superscript,SUPERS,Footnote reference number,note TESI,EN Footnote Reference,Voetnootverwijzing,Times 10 Point,Exposant 3 Point,number,R"/>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C265F"/>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C265F"/>
    <w:pPr>
      <w:spacing w:after="240"/>
    </w:pPr>
  </w:style>
  <w:style w:type="paragraph" w:customStyle="1" w:styleId="PageHeading">
    <w:name w:val="PageHeading"/>
    <w:basedOn w:val="Normal"/>
    <w:rsid w:val="000C265F"/>
    <w:pPr>
      <w:keepNext/>
      <w:spacing w:after="480"/>
      <w:jc w:val="center"/>
    </w:pPr>
    <w:rPr>
      <w:rFonts w:ascii="Arial" w:hAnsi="Arial" w:cs="Arial"/>
      <w:b/>
    </w:rPr>
  </w:style>
  <w:style w:type="paragraph" w:customStyle="1" w:styleId="NormalHanging12a">
    <w:name w:val="NormalHanging12a"/>
    <w:basedOn w:val="Normal"/>
    <w:rsid w:val="000C265F"/>
    <w:pPr>
      <w:spacing w:after="240"/>
      <w:ind w:left="567" w:hanging="567"/>
    </w:pPr>
  </w:style>
  <w:style w:type="paragraph" w:customStyle="1" w:styleId="NormalCenter24a">
    <w:name w:val="NormalCenter24a"/>
    <w:basedOn w:val="Normal"/>
    <w:rsid w:val="000C265F"/>
    <w:pPr>
      <w:spacing w:after="480"/>
      <w:jc w:val="center"/>
    </w:pPr>
  </w:style>
  <w:style w:type="paragraph" w:styleId="Header">
    <w:name w:val="header"/>
    <w:basedOn w:val="Normal"/>
    <w:link w:val="HeaderChar"/>
    <w:rsid w:val="000C265F"/>
    <w:pPr>
      <w:tabs>
        <w:tab w:val="center" w:pos="4513"/>
        <w:tab w:val="right" w:pos="9026"/>
      </w:tabs>
    </w:pPr>
  </w:style>
  <w:style w:type="character" w:customStyle="1" w:styleId="HeaderChar">
    <w:name w:val="Header Char"/>
    <w:basedOn w:val="DefaultParagraphFont"/>
    <w:link w:val="Header"/>
    <w:rsid w:val="000C265F"/>
    <w:rPr>
      <w:sz w:val="24"/>
      <w:lang w:val="fr-FR"/>
    </w:rPr>
  </w:style>
  <w:style w:type="paragraph" w:customStyle="1" w:styleId="EPFooter">
    <w:name w:val="EPFooter"/>
    <w:basedOn w:val="Normal"/>
    <w:rsid w:val="000C265F"/>
    <w:pPr>
      <w:tabs>
        <w:tab w:val="center" w:pos="4535"/>
        <w:tab w:val="right" w:pos="9071"/>
      </w:tabs>
      <w:spacing w:before="240" w:after="240"/>
    </w:pPr>
    <w:rPr>
      <w:color w:val="010000"/>
      <w:sz w:val="22"/>
    </w:rPr>
  </w:style>
  <w:style w:type="paragraph" w:customStyle="1" w:styleId="EPComma">
    <w:name w:val="EPComma"/>
    <w:basedOn w:val="Normal"/>
    <w:rsid w:val="000C265F"/>
    <w:pPr>
      <w:spacing w:before="480" w:after="240"/>
    </w:pPr>
  </w:style>
  <w:style w:type="paragraph" w:styleId="CommentText">
    <w:name w:val="annotation text"/>
    <w:basedOn w:val="Normal"/>
    <w:link w:val="CommentTextChar"/>
    <w:unhideWhenUsed/>
    <w:rsid w:val="000C265F"/>
    <w:rPr>
      <w:sz w:val="20"/>
    </w:rPr>
  </w:style>
  <w:style w:type="character" w:customStyle="1" w:styleId="CommentTextChar">
    <w:name w:val="Comment Text Char"/>
    <w:basedOn w:val="DefaultParagraphFont"/>
    <w:link w:val="CommentText"/>
    <w:rsid w:val="000C265F"/>
    <w:rPr>
      <w:lang w:val="fr-FR"/>
    </w:rPr>
  </w:style>
  <w:style w:type="paragraph" w:styleId="NoSpacing">
    <w:name w:val="No Spacing"/>
    <w:uiPriority w:val="1"/>
    <w:qFormat/>
    <w:rsid w:val="000C265F"/>
    <w:rPr>
      <w:rFonts w:asciiTheme="minorHAnsi" w:eastAsiaTheme="minorHAnsi" w:hAnsiTheme="minorHAnsi" w:cstheme="minorBidi"/>
      <w:sz w:val="22"/>
      <w:szCs w:val="22"/>
      <w:lang w:val="fr-FR" w:eastAsia="en-US"/>
    </w:rPr>
  </w:style>
  <w:style w:type="paragraph" w:customStyle="1" w:styleId="Normal12Hanging">
    <w:name w:val="Normal12Hanging"/>
    <w:basedOn w:val="Normal"/>
    <w:rsid w:val="000C265F"/>
    <w:pPr>
      <w:spacing w:after="240"/>
      <w:ind w:left="567" w:hanging="567"/>
    </w:pPr>
  </w:style>
  <w:style w:type="paragraph" w:styleId="ListParagraph">
    <w:name w:val="List Paragraph"/>
    <w:basedOn w:val="Normal"/>
    <w:uiPriority w:val="34"/>
    <w:qFormat/>
    <w:rsid w:val="000C265F"/>
    <w:pPr>
      <w:ind w:left="720"/>
      <w:contextualSpacing/>
    </w:pPr>
  </w:style>
  <w:style w:type="character" w:styleId="Hyperlink">
    <w:name w:val="Hyperlink"/>
    <w:basedOn w:val="DefaultParagraphFont"/>
    <w:rsid w:val="000C265F"/>
    <w:rPr>
      <w:color w:val="0563C1" w:themeColor="hyperlink"/>
      <w:u w:val="single"/>
    </w:rPr>
  </w:style>
  <w:style w:type="paragraph" w:styleId="Revision">
    <w:name w:val="Revision"/>
    <w:hidden/>
    <w:uiPriority w:val="99"/>
    <w:semiHidden/>
    <w:rsid w:val="003068B4"/>
    <w:rPr>
      <w:sz w:val="24"/>
      <w:lang w:val="fr-FR"/>
    </w:rPr>
  </w:style>
  <w:style w:type="character" w:styleId="FollowedHyperlink">
    <w:name w:val="FollowedHyperlink"/>
    <w:basedOn w:val="DefaultParagraphFont"/>
    <w:rsid w:val="006E16BB"/>
    <w:rPr>
      <w:color w:val="954F72" w:themeColor="followedHyperlink"/>
      <w:u w:val="single"/>
    </w:rPr>
  </w:style>
  <w:style w:type="paragraph" w:styleId="Footer">
    <w:name w:val="footer"/>
    <w:basedOn w:val="Normal"/>
    <w:link w:val="FooterChar"/>
    <w:rsid w:val="001213ED"/>
    <w:pPr>
      <w:tabs>
        <w:tab w:val="center" w:pos="4513"/>
        <w:tab w:val="right" w:pos="9026"/>
      </w:tabs>
    </w:pPr>
  </w:style>
  <w:style w:type="character" w:customStyle="1" w:styleId="FooterChar">
    <w:name w:val="Footer Char"/>
    <w:basedOn w:val="DefaultParagraphFont"/>
    <w:link w:val="Footer"/>
    <w:rsid w:val="001213ED"/>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1976/787(1)/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dec/2005/6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1017</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2</cp:revision>
  <cp:lastPrinted>2004-11-19T15:42:00Z</cp:lastPrinted>
  <dcterms:created xsi:type="dcterms:W3CDTF">2025-12-11T09:32:00Z</dcterms:created>
  <dcterms:modified xsi:type="dcterms:W3CDTF">2025-12-11T09:32:00Z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A10-0214/2025</vt:lpwstr>
  </property>
  <property fmtid="{D5CDD505-2E9C-101B-9397-08002B2CF9AE}" pid="4" name="&lt;Type&gt;">
    <vt:lpwstr>RR</vt:lpwstr>
  </property>
</Properties>
</file>