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1A2D" w14:paraId="6C4FA53F" w14:textId="77777777" w:rsidTr="0010095E">
        <w:trPr>
          <w:trHeight w:hRule="exact" w:val="1418"/>
        </w:trPr>
        <w:tc>
          <w:tcPr>
            <w:tcW w:w="6804" w:type="dxa"/>
            <w:shd w:val="clear" w:color="auto" w:fill="auto"/>
            <w:vAlign w:val="center"/>
          </w:tcPr>
          <w:p w14:paraId="384D44EB" w14:textId="77777777" w:rsidR="00751A4A" w:rsidRPr="00CF1A2D" w:rsidRDefault="00F44B32" w:rsidP="0010095E">
            <w:pPr>
              <w:pStyle w:val="EPName"/>
            </w:pPr>
            <w:r w:rsidRPr="00CF1A2D">
              <w:t>Parlamento europeo</w:t>
            </w:r>
          </w:p>
          <w:p w14:paraId="0759B15C" w14:textId="77777777" w:rsidR="00751A4A" w:rsidRPr="00CF1A2D" w:rsidRDefault="005F1B17" w:rsidP="005F1B17">
            <w:pPr>
              <w:pStyle w:val="EPTerm"/>
              <w:rPr>
                <w:rStyle w:val="HideTWBExt"/>
                <w:noProof w:val="0"/>
                <w:vanish w:val="0"/>
                <w:color w:val="auto"/>
              </w:rPr>
            </w:pPr>
            <w:r w:rsidRPr="00CF1A2D">
              <w:t>2024</w:t>
            </w:r>
            <w:r w:rsidR="00817416" w:rsidRPr="00CF1A2D">
              <w:t>-202</w:t>
            </w:r>
            <w:r w:rsidRPr="00CF1A2D">
              <w:t>9</w:t>
            </w:r>
          </w:p>
        </w:tc>
        <w:tc>
          <w:tcPr>
            <w:tcW w:w="2268" w:type="dxa"/>
            <w:shd w:val="clear" w:color="auto" w:fill="auto"/>
          </w:tcPr>
          <w:p w14:paraId="16F5BC90" w14:textId="77777777" w:rsidR="00751A4A" w:rsidRPr="00CF1A2D" w:rsidRDefault="00187494" w:rsidP="0010095E">
            <w:pPr>
              <w:pStyle w:val="EPLogo"/>
            </w:pPr>
            <w:r w:rsidRPr="00CF1A2D">
              <w:rPr>
                <w:noProof/>
                <w:lang w:eastAsia="ja-JP"/>
              </w:rPr>
              <w:drawing>
                <wp:inline distT="0" distB="0" distL="0" distR="0" wp14:anchorId="53A6DEEE" wp14:editId="43C320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833FEC" w14:textId="77777777" w:rsidR="00D058B8" w:rsidRPr="00CF1A2D" w:rsidRDefault="00D058B8" w:rsidP="004C5D52">
      <w:pPr>
        <w:pStyle w:val="LineTop"/>
      </w:pPr>
    </w:p>
    <w:p w14:paraId="34381913" w14:textId="77777777" w:rsidR="00680577" w:rsidRPr="00CF1A2D" w:rsidRDefault="00F44B32" w:rsidP="00680577">
      <w:pPr>
        <w:pStyle w:val="EPBodyTA1"/>
      </w:pPr>
      <w:r w:rsidRPr="00CF1A2D">
        <w:t>TESTI APPROVATI</w:t>
      </w:r>
    </w:p>
    <w:p w14:paraId="6726CDA9" w14:textId="77777777" w:rsidR="00D058B8" w:rsidRPr="00CF1A2D" w:rsidRDefault="00D058B8" w:rsidP="00D058B8">
      <w:pPr>
        <w:pStyle w:val="LineBottom"/>
      </w:pPr>
    </w:p>
    <w:p w14:paraId="56ACAB7A" w14:textId="098C2943" w:rsidR="00F44B32" w:rsidRPr="00CF1A2D" w:rsidRDefault="00F44B32" w:rsidP="00F44B32">
      <w:pPr>
        <w:pStyle w:val="ATHeading1"/>
      </w:pPr>
      <w:bookmarkStart w:id="0" w:name="TANumber"/>
      <w:r w:rsidRPr="00CF1A2D">
        <w:t>P10_TA(2025)0</w:t>
      </w:r>
      <w:bookmarkEnd w:id="0"/>
      <w:r w:rsidR="008F6630" w:rsidRPr="00CF1A2D">
        <w:t>257</w:t>
      </w:r>
    </w:p>
    <w:p w14:paraId="393B546B" w14:textId="77777777" w:rsidR="00F44B32" w:rsidRPr="00CF1A2D" w:rsidRDefault="00F44B32" w:rsidP="00F44B32">
      <w:pPr>
        <w:pStyle w:val="ATHeading2"/>
      </w:pPr>
      <w:bookmarkStart w:id="1" w:name="title"/>
      <w:r w:rsidRPr="00CF1A2D">
        <w:t>Voto per delega in Aula durante la gravidanza e dopo il parto</w:t>
      </w:r>
      <w:bookmarkEnd w:id="1"/>
    </w:p>
    <w:p w14:paraId="34225255" w14:textId="77777777" w:rsidR="00F44B32" w:rsidRPr="00CF1A2D" w:rsidRDefault="00F44B32" w:rsidP="00F44B32">
      <w:pPr>
        <w:rPr>
          <w:i/>
          <w:vanish/>
        </w:rPr>
      </w:pPr>
      <w:r w:rsidRPr="00CF1A2D">
        <w:rPr>
          <w:i/>
        </w:rPr>
        <w:fldChar w:fldCharType="begin"/>
      </w:r>
      <w:r w:rsidRPr="00CF1A2D">
        <w:rPr>
          <w:i/>
        </w:rPr>
        <w:instrText xml:space="preserve"> TC"(</w:instrText>
      </w:r>
      <w:bookmarkStart w:id="2" w:name="DocNumber"/>
      <w:r w:rsidRPr="00CF1A2D">
        <w:rPr>
          <w:i/>
        </w:rPr>
        <w:instrText>A10-0214/2025</w:instrText>
      </w:r>
      <w:bookmarkEnd w:id="2"/>
      <w:r w:rsidRPr="00CF1A2D">
        <w:rPr>
          <w:i/>
        </w:rPr>
        <w:instrText xml:space="preserve"> - Relatore: Juan Fernando López Aguilar)"\l3 \n&gt; \* MERGEFORMAT </w:instrText>
      </w:r>
      <w:r w:rsidRPr="00CF1A2D">
        <w:rPr>
          <w:i/>
        </w:rPr>
        <w:fldChar w:fldCharType="end"/>
      </w:r>
    </w:p>
    <w:p w14:paraId="23BD48F8" w14:textId="77777777" w:rsidR="00F44B32" w:rsidRPr="00CF1A2D" w:rsidRDefault="00F44B32" w:rsidP="00F44B32">
      <w:pPr>
        <w:rPr>
          <w:vanish/>
        </w:rPr>
      </w:pPr>
      <w:bookmarkStart w:id="3" w:name="Commission"/>
      <w:r w:rsidRPr="00CF1A2D">
        <w:rPr>
          <w:vanish/>
        </w:rPr>
        <w:t>Commissione per gli affari costituzionali</w:t>
      </w:r>
      <w:bookmarkEnd w:id="3"/>
    </w:p>
    <w:p w14:paraId="2FA50D83" w14:textId="77777777" w:rsidR="00F44B32" w:rsidRPr="00CF1A2D" w:rsidRDefault="00F44B32" w:rsidP="00F44B32">
      <w:pPr>
        <w:rPr>
          <w:vanish/>
        </w:rPr>
      </w:pPr>
      <w:bookmarkStart w:id="4" w:name="PE"/>
      <w:r w:rsidRPr="00CF1A2D">
        <w:rPr>
          <w:vanish/>
        </w:rPr>
        <w:t>PE778.275</w:t>
      </w:r>
      <w:bookmarkEnd w:id="4"/>
    </w:p>
    <w:p w14:paraId="6A043600" w14:textId="61179C5F" w:rsidR="00F44B32" w:rsidRPr="00CF1A2D" w:rsidRDefault="00F44B32" w:rsidP="00F44B32">
      <w:pPr>
        <w:pStyle w:val="ATHeading3"/>
      </w:pPr>
      <w:bookmarkStart w:id="5" w:name="Sujet"/>
      <w:r w:rsidRPr="00CF1A2D">
        <w:t>Risoluzione legislativa del Parlamento europeo del 13 novembre 2025 sulla modifica dell'</w:t>
      </w:r>
      <w:r w:rsidR="00701F2C" w:rsidRPr="00CF1A2D">
        <w:t>a</w:t>
      </w:r>
      <w:r w:rsidRPr="00CF1A2D">
        <w:t>tto elettorale europeo, che consente alle deputate di votare in Aula per delega durante la gravidanza e dopo il parto</w:t>
      </w:r>
      <w:bookmarkEnd w:id="5"/>
      <w:r w:rsidRPr="00CF1A2D">
        <w:t xml:space="preserve"> </w:t>
      </w:r>
      <w:bookmarkStart w:id="6" w:name="References"/>
      <w:r w:rsidRPr="00CF1A2D">
        <w:t>(2025/2195(INL) – 2025/0900(APP))</w:t>
      </w:r>
      <w:bookmarkEnd w:id="6"/>
    </w:p>
    <w:p w14:paraId="1FD596DE" w14:textId="77777777" w:rsidR="00C46AEB" w:rsidRPr="00CF1A2D" w:rsidRDefault="00C46AEB" w:rsidP="00C46AEB">
      <w:pPr>
        <w:pStyle w:val="EPComma"/>
      </w:pPr>
      <w:r w:rsidRPr="00CF1A2D">
        <w:rPr>
          <w:i/>
        </w:rPr>
        <w:t>Il Parlamento europeo</w:t>
      </w:r>
      <w:r w:rsidRPr="00CF1A2D">
        <w:t>,</w:t>
      </w:r>
    </w:p>
    <w:p w14:paraId="60097D2A" w14:textId="77777777" w:rsidR="00C46AEB" w:rsidRPr="00CF1A2D" w:rsidRDefault="00C46AEB" w:rsidP="00C46AEB">
      <w:pPr>
        <w:pStyle w:val="NormalHanging12a"/>
      </w:pPr>
      <w:r w:rsidRPr="00CF1A2D">
        <w:t>–</w:t>
      </w:r>
      <w:r w:rsidRPr="00CF1A2D">
        <w:tab/>
        <w:t>visti i trattati, in particolare gli articoli 9, 10 e 14 e l'articolo 17, paragrafo 7, del trattato sull'Unione europea (TUE), e gli articoli 20 e 22, l'articolo 223, paragrafo 1, e l'articolo 225 del trattato sul funzionamento dell'Unione europea (TFUE), nonché l'articolo 2 del protocollo n. 1 sul ruolo dei parlamenti nazionali nell'Unione europea,</w:t>
      </w:r>
    </w:p>
    <w:p w14:paraId="6713AF23" w14:textId="77777777" w:rsidR="00C46AEB" w:rsidRPr="00CF1A2D" w:rsidRDefault="00C46AEB" w:rsidP="00C46AEB">
      <w:pPr>
        <w:tabs>
          <w:tab w:val="left" w:pos="567"/>
        </w:tabs>
        <w:spacing w:after="240" w:line="276" w:lineRule="auto"/>
        <w:ind w:left="567" w:hanging="567"/>
      </w:pPr>
      <w:r w:rsidRPr="00CF1A2D">
        <w:t>–</w:t>
      </w:r>
      <w:r w:rsidRPr="00CF1A2D">
        <w:tab/>
        <w:t>visto l'articolo 106 bis, paragrafo 1, del trattato che istituisce la Comunità europea dell'energia atomica,</w:t>
      </w:r>
    </w:p>
    <w:p w14:paraId="7932CDB8" w14:textId="25083160" w:rsidR="00C46AEB" w:rsidRPr="00CF1A2D" w:rsidRDefault="00C46AEB" w:rsidP="00C46AEB">
      <w:pPr>
        <w:pStyle w:val="NormalHanging12a"/>
      </w:pPr>
      <w:r w:rsidRPr="00CF1A2D">
        <w:t>–</w:t>
      </w:r>
      <w:r w:rsidRPr="00CF1A2D">
        <w:tab/>
        <w:t xml:space="preserve">visto l'atto relativo all'elezione dei membri del Parlamento europeo a suffragio universale diretto ("atto elettorale"), allegato alla decisione 76/787/CECA, CEE, </w:t>
      </w:r>
      <w:proofErr w:type="spellStart"/>
      <w:r w:rsidRPr="00CF1A2D">
        <w:t>Euratom</w:t>
      </w:r>
      <w:proofErr w:type="spellEnd"/>
      <w:r w:rsidRPr="00CF1A2D">
        <w:t xml:space="preserve"> </w:t>
      </w:r>
      <w:r w:rsidR="00A17267" w:rsidRPr="00CF1A2D">
        <w:t>del Consiglio, </w:t>
      </w:r>
      <w:r w:rsidRPr="00CF1A2D">
        <w:t>del 20 settembre 1976, nella versione modificata, e in particolare l'articolo 6,</w:t>
      </w:r>
    </w:p>
    <w:p w14:paraId="2D0AFD49" w14:textId="77777777" w:rsidR="00C46AEB" w:rsidRPr="00CF1A2D" w:rsidRDefault="00C46AEB" w:rsidP="00C46AEB">
      <w:pPr>
        <w:pStyle w:val="NormalHanging12a"/>
      </w:pPr>
      <w:r w:rsidRPr="00CF1A2D">
        <w:t>–</w:t>
      </w:r>
      <w:r w:rsidRPr="00CF1A2D">
        <w:tab/>
        <w:t>visto l'articolo 5 della decisione del Parlamento europeo, del 28 settembre 2005, che adotta lo statuto dei deputati del Parlamento europeo</w:t>
      </w:r>
      <w:r w:rsidRPr="00CF1A2D">
        <w:rPr>
          <w:rStyle w:val="FootnoteReference"/>
        </w:rPr>
        <w:footnoteReference w:id="1"/>
      </w:r>
      <w:r w:rsidRPr="00CF1A2D">
        <w:t>,</w:t>
      </w:r>
    </w:p>
    <w:p w14:paraId="19A3B3A9" w14:textId="1BE09C89" w:rsidR="00C46AEB" w:rsidRPr="00CF1A2D" w:rsidRDefault="00C46AEB" w:rsidP="00C46AEB">
      <w:pPr>
        <w:pStyle w:val="NoSpacing"/>
        <w:spacing w:before="120" w:after="240"/>
        <w:ind w:left="567" w:hanging="567"/>
        <w:rPr>
          <w:rFonts w:ascii="Times New Roman" w:eastAsia="Times New Roman" w:hAnsi="Times New Roman" w:cs="Times New Roman"/>
          <w:sz w:val="24"/>
          <w:szCs w:val="20"/>
        </w:rPr>
      </w:pPr>
      <w:r w:rsidRPr="00CF1A2D">
        <w:rPr>
          <w:rFonts w:ascii="Times New Roman" w:hAnsi="Times New Roman"/>
          <w:sz w:val="24"/>
        </w:rPr>
        <w:t>–</w:t>
      </w:r>
      <w:r w:rsidRPr="00CF1A2D">
        <w:rPr>
          <w:rFonts w:ascii="Times New Roman" w:hAnsi="Times New Roman"/>
          <w:sz w:val="24"/>
        </w:rPr>
        <w:tab/>
        <w:t>viste le sue precedenti risoluzioni sulla procedura elettorale del Parlamento europeo, in particolare la sua risoluzione del 15 luglio 1998 sull'elaborazione di un progetto di procedura elettorale contenente principi comuni per l'elezione dei membri del Parlamento europeo</w:t>
      </w:r>
      <w:r w:rsidRPr="00CF1A2D">
        <w:rPr>
          <w:rStyle w:val="FootnoteReference"/>
          <w:rFonts w:ascii="Times New Roman" w:eastAsia="Times New Roman" w:hAnsi="Times New Roman" w:cs="Times New Roman"/>
          <w:sz w:val="24"/>
          <w:szCs w:val="20"/>
          <w:lang w:eastAsia="en-GB"/>
        </w:rPr>
        <w:footnoteReference w:id="2"/>
      </w:r>
      <w:r w:rsidRPr="00CF1A2D">
        <w:rPr>
          <w:rFonts w:ascii="Times New Roman" w:hAnsi="Times New Roman"/>
          <w:sz w:val="24"/>
        </w:rPr>
        <w:t>, la sua risoluzione del 22 novembre 2012 sulle elezioni al Parlamento europeo nel 2014</w:t>
      </w:r>
      <w:r w:rsidRPr="00CF1A2D">
        <w:rPr>
          <w:rStyle w:val="FootnoteReference"/>
          <w:rFonts w:ascii="Times New Roman" w:eastAsia="Times New Roman" w:hAnsi="Times New Roman" w:cs="Times New Roman"/>
          <w:sz w:val="24"/>
          <w:szCs w:val="20"/>
          <w:lang w:eastAsia="en-GB"/>
        </w:rPr>
        <w:footnoteReference w:id="3"/>
      </w:r>
      <w:r w:rsidRPr="00CF1A2D">
        <w:rPr>
          <w:rFonts w:ascii="Times New Roman" w:hAnsi="Times New Roman"/>
          <w:sz w:val="24"/>
        </w:rPr>
        <w:t>, la sua risoluzione del 4 luglio 2013 sul miglioramento delle modalità pratiche per lo svolgimento delle elezioni europee del 2014</w:t>
      </w:r>
      <w:r w:rsidRPr="00CF1A2D">
        <w:rPr>
          <w:rStyle w:val="FootnoteReference"/>
          <w:rFonts w:ascii="Times New Roman" w:eastAsia="Times New Roman" w:hAnsi="Times New Roman" w:cs="Times New Roman"/>
          <w:sz w:val="24"/>
          <w:szCs w:val="20"/>
          <w:lang w:eastAsia="en-GB"/>
        </w:rPr>
        <w:footnoteReference w:id="4"/>
      </w:r>
      <w:r w:rsidRPr="00CF1A2D">
        <w:rPr>
          <w:rFonts w:ascii="Times New Roman" w:hAnsi="Times New Roman"/>
          <w:sz w:val="24"/>
        </w:rPr>
        <w:t xml:space="preserve">, la sua risoluzione dell'11 novembre 2015 sulla riforma della legge elettorale dell'Unione </w:t>
      </w:r>
      <w:r w:rsidRPr="00CF1A2D">
        <w:rPr>
          <w:rFonts w:ascii="Times New Roman" w:hAnsi="Times New Roman"/>
          <w:sz w:val="24"/>
        </w:rPr>
        <w:lastRenderedPageBreak/>
        <w:t>europea</w:t>
      </w:r>
      <w:r w:rsidRPr="00CF1A2D">
        <w:rPr>
          <w:rStyle w:val="FootnoteReference"/>
          <w:rFonts w:ascii="Times New Roman" w:eastAsia="Times New Roman" w:hAnsi="Times New Roman" w:cs="Times New Roman"/>
          <w:sz w:val="24"/>
          <w:szCs w:val="20"/>
          <w:lang w:eastAsia="en-GB"/>
        </w:rPr>
        <w:footnoteReference w:id="5"/>
      </w:r>
      <w:r w:rsidRPr="00CF1A2D">
        <w:rPr>
          <w:rFonts w:ascii="Times New Roman" w:hAnsi="Times New Roman"/>
          <w:sz w:val="24"/>
        </w:rPr>
        <w:t xml:space="preserve"> e la sua risoluzione del 3 maggio 2022 </w:t>
      </w:r>
      <w:r w:rsidR="00A17267" w:rsidRPr="00CF1A2D">
        <w:rPr>
          <w:rFonts w:ascii="Times New Roman" w:hAnsi="Times New Roman"/>
          <w:sz w:val="24"/>
        </w:rPr>
        <w:t xml:space="preserve">sulla proposta di regolamento del Consiglio relativo all'elezione dei membri del Parlamento europeo a suffragio universale diretto, che abroga la decisione del Consiglio (76/787/CECA, CEE, </w:t>
      </w:r>
      <w:proofErr w:type="spellStart"/>
      <w:r w:rsidR="00A17267" w:rsidRPr="00CF1A2D">
        <w:rPr>
          <w:rFonts w:ascii="Times New Roman" w:hAnsi="Times New Roman"/>
          <w:sz w:val="24"/>
        </w:rPr>
        <w:t>Euratom</w:t>
      </w:r>
      <w:proofErr w:type="spellEnd"/>
      <w:r w:rsidR="00A17267" w:rsidRPr="00CF1A2D">
        <w:rPr>
          <w:rFonts w:ascii="Times New Roman" w:hAnsi="Times New Roman"/>
          <w:sz w:val="24"/>
        </w:rPr>
        <w:t>) e l'Atto relativo all'elezione dei membri del Parlamento europeo a suffragio universale diretto</w:t>
      </w:r>
      <w:r w:rsidRPr="00CF1A2D">
        <w:rPr>
          <w:rStyle w:val="FootnoteReference"/>
          <w:rFonts w:ascii="Times New Roman" w:eastAsia="Times New Roman" w:hAnsi="Times New Roman" w:cs="Times New Roman"/>
          <w:sz w:val="24"/>
          <w:szCs w:val="20"/>
          <w:lang w:eastAsia="en-GB"/>
        </w:rPr>
        <w:footnoteReference w:id="6"/>
      </w:r>
      <w:r w:rsidRPr="00CF1A2D">
        <w:rPr>
          <w:rFonts w:ascii="Times New Roman" w:hAnsi="Times New Roman"/>
          <w:sz w:val="24"/>
        </w:rPr>
        <w:t>,</w:t>
      </w:r>
    </w:p>
    <w:p w14:paraId="38302194" w14:textId="77777777" w:rsidR="00C46AEB" w:rsidRPr="00CF1A2D" w:rsidRDefault="00C46AEB" w:rsidP="00C46AEB">
      <w:pPr>
        <w:pStyle w:val="NormalHanging12a"/>
      </w:pPr>
      <w:r w:rsidRPr="00CF1A2D">
        <w:t>–</w:t>
      </w:r>
      <w:r w:rsidRPr="00CF1A2D">
        <w:tab/>
        <w:t>visto l'accordo quadro del 20 ottobre 2010 sulle relazioni tra il Parlamento europeo e la Commissione europea, quale modificato il 17 febbraio 2018</w:t>
      </w:r>
      <w:r w:rsidRPr="00CF1A2D">
        <w:rPr>
          <w:rStyle w:val="FootnoteReference"/>
        </w:rPr>
        <w:footnoteReference w:id="7"/>
      </w:r>
      <w:r w:rsidRPr="00CF1A2D">
        <w:t>,</w:t>
      </w:r>
    </w:p>
    <w:p w14:paraId="2984F3AC" w14:textId="77777777" w:rsidR="00C46AEB" w:rsidRPr="00CF1A2D" w:rsidRDefault="00C46AEB" w:rsidP="00C46AEB">
      <w:pPr>
        <w:pStyle w:val="NormalHanging12a"/>
      </w:pPr>
      <w:r w:rsidRPr="00CF1A2D">
        <w:t>–</w:t>
      </w:r>
      <w:r w:rsidRPr="00CF1A2D">
        <w:tab/>
        <w:t>vista la Carta dei diritti fondamentali dell'Unione europea, in particolare l'articolo 33,</w:t>
      </w:r>
    </w:p>
    <w:p w14:paraId="6C84DD35" w14:textId="77777777" w:rsidR="00C46AEB" w:rsidRPr="00CF1A2D" w:rsidRDefault="00C46AEB" w:rsidP="00C46AEB">
      <w:pPr>
        <w:pStyle w:val="NormalHanging12a"/>
      </w:pPr>
      <w:r w:rsidRPr="00CF1A2D">
        <w:t>–</w:t>
      </w:r>
      <w:r w:rsidRPr="00CF1A2D">
        <w:tab/>
        <w:t>visti gli articoli 46 e 55 del suo regolamento,</w:t>
      </w:r>
    </w:p>
    <w:p w14:paraId="40271E49" w14:textId="77777777" w:rsidR="00C46AEB" w:rsidRPr="00CF1A2D" w:rsidRDefault="00C46AEB" w:rsidP="00C46AEB">
      <w:pPr>
        <w:pStyle w:val="NormalHanging12a"/>
      </w:pPr>
      <w:r w:rsidRPr="00CF1A2D">
        <w:t>–</w:t>
      </w:r>
      <w:r w:rsidRPr="00CF1A2D">
        <w:tab/>
        <w:t>vista la relazione della commissione per gli affari costituzionali (A10-0214/2025),</w:t>
      </w:r>
    </w:p>
    <w:p w14:paraId="37C19CE1" w14:textId="77777777" w:rsidR="00C46AEB" w:rsidRPr="00CF1A2D" w:rsidRDefault="00C46AEB" w:rsidP="00C46AEB">
      <w:pPr>
        <w:pStyle w:val="Normal12Hanging"/>
      </w:pPr>
      <w:r w:rsidRPr="00CF1A2D">
        <w:t>A.</w:t>
      </w:r>
      <w:r w:rsidRPr="00CF1A2D">
        <w:tab/>
        <w:t>considerando che il Parlamento europeo ha il diritto di avviare la riforma della propria procedura elettorale e di darvi approvazione;</w:t>
      </w:r>
    </w:p>
    <w:p w14:paraId="19AC2CB9" w14:textId="77777777" w:rsidR="00C46AEB" w:rsidRPr="00CF1A2D" w:rsidRDefault="00C46AEB" w:rsidP="00C46AEB">
      <w:pPr>
        <w:pStyle w:val="Normal12Hanging"/>
      </w:pPr>
      <w:r w:rsidRPr="00CF1A2D">
        <w:t>B.</w:t>
      </w:r>
      <w:r w:rsidRPr="00CF1A2D">
        <w:tab/>
        <w:t>considerando che la possibilità di elaborare una procedura elettorale uniforme basata sul suffragio universale diretto è sancita nei trattati dal 1957;</w:t>
      </w:r>
    </w:p>
    <w:p w14:paraId="7D3C6588" w14:textId="77777777" w:rsidR="00C46AEB" w:rsidRPr="00CF1A2D" w:rsidRDefault="00C46AEB" w:rsidP="00C46AEB">
      <w:pPr>
        <w:pStyle w:val="Normal12Hanging"/>
      </w:pPr>
      <w:r w:rsidRPr="00CF1A2D">
        <w:t>C.</w:t>
      </w:r>
      <w:r w:rsidRPr="00CF1A2D">
        <w:tab/>
        <w:t>considerando che la riforma della procedura elettorale del Parlamento europeo dovrebbe mirare a rafforzare la dimensione democratica delle elezioni europee, a migliorare il funzionamento del Parlamento europeo e la governance dell'Unione, a rendere il lavoro del Parlamento europeo più legittimo ed efficace e a garantire ai cittadini dell'Unione una maggiore uguaglianza elettorale;</w:t>
      </w:r>
    </w:p>
    <w:p w14:paraId="111018AE" w14:textId="77777777" w:rsidR="00C46AEB" w:rsidRPr="00CF1A2D" w:rsidRDefault="00C46AEB" w:rsidP="00C46AEB">
      <w:pPr>
        <w:pStyle w:val="Normal12Hanging"/>
      </w:pPr>
      <w:r w:rsidRPr="00CF1A2D">
        <w:t>D.</w:t>
      </w:r>
      <w:r w:rsidRPr="00CF1A2D">
        <w:tab/>
        <w:t>considerando che le politiche a favore dell'equilibrio tra vita professionale e vita privata dovrebbero contribuire al conseguimento della parità di genere promuovendo la partecipazione delle madri alla vita politica;</w:t>
      </w:r>
    </w:p>
    <w:p w14:paraId="318F91DF" w14:textId="77777777" w:rsidR="00C46AEB" w:rsidRPr="00CF1A2D" w:rsidRDefault="00C46AEB" w:rsidP="00C46AEB">
      <w:pPr>
        <w:pStyle w:val="Normal12Hanging"/>
      </w:pPr>
      <w:r w:rsidRPr="00CF1A2D">
        <w:t>E.</w:t>
      </w:r>
      <w:r w:rsidRPr="00CF1A2D">
        <w:tab/>
        <w:t>considerando che la riforma della procedura elettorale deve rispettare i principi di sussidiarietà e proporzionalità;</w:t>
      </w:r>
    </w:p>
    <w:p w14:paraId="6BDBD680" w14:textId="77777777" w:rsidR="00C46AEB" w:rsidRPr="00CF1A2D" w:rsidRDefault="00C46AEB" w:rsidP="00C46AEB">
      <w:pPr>
        <w:pStyle w:val="NormalHanging12a"/>
      </w:pPr>
      <w:r w:rsidRPr="00CF1A2D">
        <w:t>1.</w:t>
      </w:r>
      <w:r w:rsidRPr="00CF1A2D">
        <w:tab/>
        <w:t>decide di rafforzare le norme in materia di maternità per le deputate al Parlamento europeo che desiderano continuare a svolgere le loro funzioni parlamentari;</w:t>
      </w:r>
    </w:p>
    <w:p w14:paraId="6BC0D912" w14:textId="46FD3DC2" w:rsidR="00C46AEB" w:rsidRPr="00CF1A2D" w:rsidRDefault="00C46AEB" w:rsidP="00C46AEB">
      <w:pPr>
        <w:pStyle w:val="NormalHanging12a"/>
      </w:pPr>
      <w:r w:rsidRPr="00CF1A2D">
        <w:t>2.</w:t>
      </w:r>
      <w:r w:rsidRPr="00CF1A2D">
        <w:tab/>
        <w:t>propone una revisione mirata dell'atto elettorale europeo che consenta alle deputate di delegare il loro voto in Aula a un altro membro del Parlamento europeo di loro scelta durante la gravidanza e dopo il parto;</w:t>
      </w:r>
    </w:p>
    <w:p w14:paraId="60546905" w14:textId="77777777" w:rsidR="00C46AEB" w:rsidRPr="00CF1A2D" w:rsidRDefault="00C46AEB" w:rsidP="00C46AEB">
      <w:pPr>
        <w:pStyle w:val="NormalHanging12a"/>
      </w:pPr>
      <w:r w:rsidRPr="00CF1A2D">
        <w:t>3.</w:t>
      </w:r>
      <w:r w:rsidRPr="00CF1A2D">
        <w:tab/>
        <w:t>ritiene che tale riforma consentirà alle deputate, nei periodi immediatamente precedenti e successivi al parto, di esercitare pienamente il loro mandato, migliorando l'equità istituzionale e l'inclusione nel Parlamento europeo;</w:t>
      </w:r>
    </w:p>
    <w:p w14:paraId="214DCACC" w14:textId="77777777" w:rsidR="00C46AEB" w:rsidRPr="00CF1A2D" w:rsidRDefault="00C46AEB" w:rsidP="00C46AEB">
      <w:pPr>
        <w:pStyle w:val="NormalHanging12a"/>
      </w:pPr>
      <w:r w:rsidRPr="00CF1A2D">
        <w:t>4.</w:t>
      </w:r>
      <w:r w:rsidRPr="00CF1A2D">
        <w:tab/>
        <w:t>adotta la proposta figurante in allegato e la sottopone al Consiglio;</w:t>
      </w:r>
    </w:p>
    <w:p w14:paraId="4069AFC1" w14:textId="77777777" w:rsidR="00C46AEB" w:rsidRPr="00CF1A2D" w:rsidRDefault="00C46AEB" w:rsidP="00C46AEB">
      <w:pPr>
        <w:pStyle w:val="NormalHanging12a"/>
      </w:pPr>
      <w:r w:rsidRPr="00CF1A2D">
        <w:t>5.</w:t>
      </w:r>
      <w:r w:rsidRPr="00CF1A2D">
        <w:tab/>
        <w:t xml:space="preserve">incarica la sua Presidente di trasmettere la presente risoluzione legislativa e la proposta </w:t>
      </w:r>
      <w:r w:rsidRPr="00CF1A2D">
        <w:lastRenderedPageBreak/>
        <w:t>ad essa allegata al Consiglio europeo, al Consiglio e alla Commissione nonché ai parlamenti e ai governi degli Stati membri.</w:t>
      </w:r>
    </w:p>
    <w:p w14:paraId="31884912" w14:textId="77777777" w:rsidR="00C46AEB" w:rsidRPr="00CF1A2D" w:rsidRDefault="00C46AEB" w:rsidP="00C46AEB"/>
    <w:p w14:paraId="5467F5BB" w14:textId="77777777" w:rsidR="00C46AEB" w:rsidRPr="00CF1A2D" w:rsidRDefault="00C46AEB" w:rsidP="00C46AEB">
      <w:pPr>
        <w:pStyle w:val="PageHeading"/>
        <w:sectPr w:rsidR="00C46AEB" w:rsidRPr="00CF1A2D" w:rsidSect="00A209A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4AD7A2" w14:textId="12E1F4A9" w:rsidR="00C46AEB" w:rsidRPr="00527B67" w:rsidRDefault="00C46AEB" w:rsidP="00527B67">
      <w:pPr>
        <w:pStyle w:val="PageHeading"/>
        <w:jc w:val="right"/>
        <w:rPr>
          <w:rFonts w:ascii="Times New Roman" w:hAnsi="Times New Roman" w:cs="Times New Roman"/>
          <w:b w:val="0"/>
          <w:bCs/>
        </w:rPr>
      </w:pPr>
      <w:bookmarkStart w:id="7" w:name="_Toc213403273"/>
      <w:r w:rsidRPr="00527B67">
        <w:rPr>
          <w:rFonts w:ascii="Times New Roman" w:hAnsi="Times New Roman" w:cs="Times New Roman"/>
          <w:b w:val="0"/>
          <w:bCs/>
        </w:rPr>
        <w:lastRenderedPageBreak/>
        <w:t>ALLEGATO ALLA RISOLUZIONE LEGISLATIVA</w:t>
      </w:r>
      <w:bookmarkEnd w:id="7"/>
    </w:p>
    <w:p w14:paraId="593F2D61" w14:textId="3CC59D47" w:rsidR="00C46AEB" w:rsidRPr="00CF1A2D" w:rsidRDefault="00C46AEB" w:rsidP="007617F3">
      <w:pPr>
        <w:pStyle w:val="NormalCenter24a"/>
      </w:pPr>
      <w:r w:rsidRPr="00CF1A2D">
        <w:rPr>
          <w:b/>
        </w:rPr>
        <w:t>PROPOSTA DI DECISIONE DEL CONSIGLIO</w:t>
      </w:r>
    </w:p>
    <w:p w14:paraId="67BCBFAC" w14:textId="042F751A" w:rsidR="00C46AEB" w:rsidRPr="00CF1A2D" w:rsidRDefault="00C46AEB" w:rsidP="008F6630">
      <w:pPr>
        <w:widowControl/>
        <w:jc w:val="center"/>
        <w:rPr>
          <w:szCs w:val="24"/>
        </w:rPr>
      </w:pPr>
      <w:r w:rsidRPr="00CF1A2D">
        <w:rPr>
          <w:b/>
        </w:rPr>
        <w:t>che adotta le disposizioni che modificano l'</w:t>
      </w:r>
      <w:r w:rsidR="00701F2C" w:rsidRPr="00CF1A2D">
        <w:rPr>
          <w:b/>
        </w:rPr>
        <w:t>a</w:t>
      </w:r>
      <w:r w:rsidRPr="00CF1A2D">
        <w:rPr>
          <w:b/>
        </w:rPr>
        <w:t>tto relativo all'elezione dei membri del Parlamento europeo a suffragio universale diretto</w:t>
      </w:r>
    </w:p>
    <w:p w14:paraId="4F1216BB" w14:textId="77777777" w:rsidR="00C46AEB" w:rsidRPr="00CF1A2D" w:rsidRDefault="00C46AEB" w:rsidP="00C46AEB"/>
    <w:p w14:paraId="03FED755" w14:textId="77777777" w:rsidR="00C46AEB" w:rsidRPr="00CF1A2D" w:rsidRDefault="00C46AEB" w:rsidP="00C46AEB">
      <w:r w:rsidRPr="00CF1A2D">
        <w:t>IL CONSIGLIO DELL'UNIONE EUROPEA,</w:t>
      </w:r>
    </w:p>
    <w:p w14:paraId="629791B9" w14:textId="77777777" w:rsidR="00C46AEB" w:rsidRPr="00CF1A2D" w:rsidRDefault="00C46AEB" w:rsidP="00C46AEB"/>
    <w:p w14:paraId="6BBE48BC" w14:textId="77777777" w:rsidR="00C46AEB" w:rsidRPr="00CF1A2D" w:rsidRDefault="00C46AEB" w:rsidP="00C46AEB">
      <w:pPr>
        <w:jc w:val="both"/>
      </w:pPr>
      <w:r w:rsidRPr="00CF1A2D">
        <w:t>visto il trattato sul funzionamento dell'Unione europea, in particolare l'articolo 223, paragrafo 1,</w:t>
      </w:r>
    </w:p>
    <w:p w14:paraId="7DF94F07" w14:textId="77777777" w:rsidR="00C46AEB" w:rsidRPr="00CF1A2D" w:rsidRDefault="00C46AEB" w:rsidP="00C46AEB">
      <w:pPr>
        <w:jc w:val="both"/>
      </w:pPr>
    </w:p>
    <w:p w14:paraId="6059ADC3" w14:textId="77777777" w:rsidR="00C46AEB" w:rsidRPr="00CF1A2D" w:rsidRDefault="00C46AEB" w:rsidP="00C46AEB">
      <w:pPr>
        <w:jc w:val="both"/>
      </w:pPr>
      <w:r w:rsidRPr="00CF1A2D">
        <w:t>visto il trattato che istituisce la Comunità europea dell'energia atomica, in particolare, l'articolo 106 bis, paragrafo 1,</w:t>
      </w:r>
    </w:p>
    <w:p w14:paraId="6B6BF32B" w14:textId="77777777" w:rsidR="00C46AEB" w:rsidRPr="00CF1A2D" w:rsidRDefault="00C46AEB" w:rsidP="00C46AEB">
      <w:pPr>
        <w:jc w:val="both"/>
      </w:pPr>
    </w:p>
    <w:p w14:paraId="275CB6F4" w14:textId="77777777" w:rsidR="00C46AEB" w:rsidRPr="00CF1A2D" w:rsidRDefault="00C46AEB" w:rsidP="00C46AEB">
      <w:pPr>
        <w:jc w:val="both"/>
      </w:pPr>
      <w:r w:rsidRPr="00CF1A2D">
        <w:t>vista la proposta del Parlamento europeo,</w:t>
      </w:r>
    </w:p>
    <w:p w14:paraId="2AE36BB5" w14:textId="77777777" w:rsidR="00C46AEB" w:rsidRPr="00CF1A2D" w:rsidRDefault="00C46AEB" w:rsidP="00C46AEB">
      <w:pPr>
        <w:jc w:val="both"/>
      </w:pPr>
    </w:p>
    <w:p w14:paraId="71A7DA04" w14:textId="77777777" w:rsidR="00C46AEB" w:rsidRPr="00CF1A2D" w:rsidRDefault="00C46AEB" w:rsidP="00C46AEB">
      <w:pPr>
        <w:jc w:val="both"/>
      </w:pPr>
      <w:r w:rsidRPr="00CF1A2D">
        <w:t>previa trasmissione del progetto di atto legislativo ai parlamenti nazionali,</w:t>
      </w:r>
    </w:p>
    <w:p w14:paraId="4F63AE6F" w14:textId="77777777" w:rsidR="00C46AEB" w:rsidRPr="00CF1A2D" w:rsidRDefault="00C46AEB" w:rsidP="00C46AEB">
      <w:pPr>
        <w:jc w:val="both"/>
      </w:pPr>
    </w:p>
    <w:p w14:paraId="3E27B037" w14:textId="77777777" w:rsidR="00C46AEB" w:rsidRPr="00CF1A2D" w:rsidRDefault="00C46AEB" w:rsidP="00C46AEB">
      <w:pPr>
        <w:jc w:val="both"/>
        <w:rPr>
          <w:i/>
        </w:rPr>
      </w:pPr>
      <w:r w:rsidRPr="00CF1A2D">
        <w:t>vista l'approvazione del Parlamento europeo,</w:t>
      </w:r>
    </w:p>
    <w:p w14:paraId="13A00A4C" w14:textId="77777777" w:rsidR="00C46AEB" w:rsidRPr="00CF1A2D" w:rsidRDefault="00C46AEB" w:rsidP="00C46AEB">
      <w:pPr>
        <w:jc w:val="both"/>
      </w:pPr>
    </w:p>
    <w:p w14:paraId="7DB7B0B1" w14:textId="77777777" w:rsidR="00C46AEB" w:rsidRPr="00CF1A2D" w:rsidRDefault="00C46AEB" w:rsidP="00C46AEB">
      <w:pPr>
        <w:jc w:val="both"/>
      </w:pPr>
      <w:r w:rsidRPr="00CF1A2D">
        <w:t>deliberando secondo una procedura legislativa speciale,</w:t>
      </w:r>
    </w:p>
    <w:p w14:paraId="0B026127" w14:textId="77777777" w:rsidR="00C46AEB" w:rsidRPr="00CF1A2D" w:rsidRDefault="00C46AEB" w:rsidP="00C46AEB"/>
    <w:p w14:paraId="7555C98A" w14:textId="77777777" w:rsidR="00C46AEB" w:rsidRPr="00CF1A2D" w:rsidRDefault="00C46AEB" w:rsidP="00C46AEB">
      <w:r w:rsidRPr="00CF1A2D">
        <w:t>considerando quanto segue:</w:t>
      </w:r>
    </w:p>
    <w:p w14:paraId="7721B20F" w14:textId="77777777" w:rsidR="00C46AEB" w:rsidRPr="00CF1A2D" w:rsidRDefault="00C46AEB" w:rsidP="00C46AEB"/>
    <w:p w14:paraId="62B8DE43" w14:textId="77777777" w:rsidR="00C46AEB" w:rsidRPr="00CF1A2D" w:rsidRDefault="00C46AEB" w:rsidP="00C46AEB">
      <w:pPr>
        <w:jc w:val="both"/>
      </w:pPr>
      <w:r w:rsidRPr="00CF1A2D">
        <w:t>(1) Le politiche a favore dell'equilibrio tra vita professionale e vita privata dovrebbero contribuire al conseguimento della parità di genere promuovendo la partecipazione delle madri alla vita politica.</w:t>
      </w:r>
    </w:p>
    <w:p w14:paraId="69339112" w14:textId="77777777" w:rsidR="00C46AEB" w:rsidRPr="00CF1A2D" w:rsidRDefault="00C46AEB" w:rsidP="00C46AEB">
      <w:pPr>
        <w:pStyle w:val="ListParagraph"/>
        <w:ind w:left="0"/>
        <w:jc w:val="both"/>
      </w:pPr>
    </w:p>
    <w:p w14:paraId="7A514C7B" w14:textId="2BAC24CA" w:rsidR="00C46AEB" w:rsidRPr="00CF1A2D" w:rsidRDefault="00C46AEB" w:rsidP="00C46AEB">
      <w:pPr>
        <w:jc w:val="both"/>
      </w:pPr>
      <w:r w:rsidRPr="00CF1A2D">
        <w:t xml:space="preserve">(2) L'introduzione di un sistema di voto per delega in </w:t>
      </w:r>
      <w:r w:rsidR="005B4222" w:rsidRPr="00CF1A2D">
        <w:t xml:space="preserve">Aula </w:t>
      </w:r>
      <w:r w:rsidRPr="00CF1A2D">
        <w:t>consentirà alle deputate, nei periodi immediatamente precedenti e successivi al parto, di esercitare pienamente il loro mandato.</w:t>
      </w:r>
    </w:p>
    <w:p w14:paraId="1BF00EEF" w14:textId="77777777" w:rsidR="00C46AEB" w:rsidRPr="00CF1A2D" w:rsidRDefault="00C46AEB" w:rsidP="00C46AEB">
      <w:pPr>
        <w:pStyle w:val="ListParagraph"/>
        <w:ind w:left="0"/>
        <w:jc w:val="both"/>
      </w:pPr>
    </w:p>
    <w:p w14:paraId="6379B13A" w14:textId="77777777" w:rsidR="00C46AEB" w:rsidRPr="00CF1A2D" w:rsidRDefault="00C46AEB" w:rsidP="00C46AEB"/>
    <w:p w14:paraId="4E90E612" w14:textId="77777777" w:rsidR="00C46AEB" w:rsidRPr="00CF1A2D" w:rsidRDefault="00C46AEB" w:rsidP="00C46AEB"/>
    <w:p w14:paraId="27D71EE0" w14:textId="77777777" w:rsidR="00C46AEB" w:rsidRPr="00CF1A2D" w:rsidRDefault="00C46AEB" w:rsidP="00C46AEB">
      <w:r w:rsidRPr="00CF1A2D">
        <w:t xml:space="preserve">HA ADOTTATO LA PRESENTE DECISIONE: </w:t>
      </w:r>
    </w:p>
    <w:p w14:paraId="02C84528" w14:textId="77777777" w:rsidR="00C46AEB" w:rsidRPr="00CF1A2D" w:rsidRDefault="00C46AEB" w:rsidP="00C46AEB"/>
    <w:p w14:paraId="5811B179" w14:textId="77777777" w:rsidR="00C46AEB" w:rsidRPr="00CF1A2D" w:rsidRDefault="00C46AEB" w:rsidP="00C46AEB"/>
    <w:p w14:paraId="39D253AA" w14:textId="77777777" w:rsidR="00C46AEB" w:rsidRPr="00CF1A2D" w:rsidRDefault="00C46AEB" w:rsidP="00C46AEB">
      <w:pPr>
        <w:jc w:val="center"/>
        <w:rPr>
          <w:i/>
        </w:rPr>
      </w:pPr>
      <w:r w:rsidRPr="00CF1A2D">
        <w:rPr>
          <w:i/>
        </w:rPr>
        <w:t>Articolo 1</w:t>
      </w:r>
    </w:p>
    <w:p w14:paraId="54E07008" w14:textId="77777777" w:rsidR="00C46AEB" w:rsidRPr="00CF1A2D" w:rsidRDefault="00C46AEB" w:rsidP="00C46AEB"/>
    <w:p w14:paraId="4136C37D" w14:textId="180E1D52" w:rsidR="00C46AEB" w:rsidRPr="00CF1A2D" w:rsidRDefault="00C46AEB" w:rsidP="00C46AEB">
      <w:pPr>
        <w:jc w:val="both"/>
      </w:pPr>
      <w:r w:rsidRPr="00CF1A2D">
        <w:t xml:space="preserve">All'articolo 6, paragrafo 1, dell'atto relativo all'elezione dei membri del Parlamento europeo a suffragio universale diretto, allegato alla decisione 76/787/CECA, CEE, </w:t>
      </w:r>
      <w:proofErr w:type="spellStart"/>
      <w:r w:rsidRPr="00CF1A2D">
        <w:t>Euratom</w:t>
      </w:r>
      <w:proofErr w:type="spellEnd"/>
      <w:r w:rsidR="007617F3" w:rsidRPr="00CF1A2D">
        <w:t xml:space="preserve"> del Consiglio</w:t>
      </w:r>
      <w:r w:rsidRPr="00CF1A2D">
        <w:rPr>
          <w:rStyle w:val="FootnoteReference"/>
        </w:rPr>
        <w:footnoteReference w:id="8"/>
      </w:r>
      <w:r w:rsidRPr="00CF1A2D">
        <w:t>, è aggiunto il comma</w:t>
      </w:r>
      <w:r w:rsidR="007617F3" w:rsidRPr="00CF1A2D">
        <w:t xml:space="preserve"> seguente</w:t>
      </w:r>
      <w:r w:rsidRPr="00CF1A2D">
        <w:t>:</w:t>
      </w:r>
    </w:p>
    <w:p w14:paraId="6CF6716B" w14:textId="77777777" w:rsidR="00C46AEB" w:rsidRPr="00CF1A2D" w:rsidRDefault="00C46AEB" w:rsidP="00C46AEB"/>
    <w:p w14:paraId="4569FC00" w14:textId="10344BC8" w:rsidR="00C46AEB" w:rsidRPr="00CF1A2D" w:rsidRDefault="00C46AEB" w:rsidP="00C46AEB">
      <w:pPr>
        <w:jc w:val="both"/>
      </w:pPr>
      <w:r w:rsidRPr="00CF1A2D">
        <w:t xml:space="preserve">"In deroga al primo comma, una deputata gestante o che ha partorito può delegare il proprio </w:t>
      </w:r>
      <w:r w:rsidRPr="00CF1A2D">
        <w:lastRenderedPageBreak/>
        <w:t>voto a un altro membro del Parlamento europeo per un periodo massimo di tre mesi prima della data presunta del parto e per un periodo massimo di sei mesi dopo il parto."</w:t>
      </w:r>
      <w:r w:rsidR="007617F3" w:rsidRPr="00CF1A2D">
        <w:t>.</w:t>
      </w:r>
    </w:p>
    <w:p w14:paraId="0DF555A8" w14:textId="77777777" w:rsidR="00C46AEB" w:rsidRPr="00CF1A2D" w:rsidRDefault="00C46AEB" w:rsidP="00C46AEB">
      <w:pPr>
        <w:jc w:val="both"/>
      </w:pPr>
    </w:p>
    <w:p w14:paraId="17E3D6B7" w14:textId="77777777" w:rsidR="00C46AEB" w:rsidRPr="00CF1A2D" w:rsidRDefault="00C46AEB" w:rsidP="00C46AEB"/>
    <w:p w14:paraId="1AB0E54D" w14:textId="77777777" w:rsidR="00C46AEB" w:rsidRPr="00CF1A2D" w:rsidRDefault="00C46AEB" w:rsidP="00C46AEB">
      <w:pPr>
        <w:keepNext/>
        <w:jc w:val="center"/>
        <w:rPr>
          <w:i/>
        </w:rPr>
      </w:pPr>
      <w:r w:rsidRPr="00CF1A2D">
        <w:rPr>
          <w:i/>
        </w:rPr>
        <w:t>Articolo 2</w:t>
      </w:r>
    </w:p>
    <w:p w14:paraId="0F598501" w14:textId="77777777" w:rsidR="00C46AEB" w:rsidRPr="00CF1A2D" w:rsidRDefault="00C46AEB" w:rsidP="00C46AEB">
      <w:pPr>
        <w:keepNext/>
      </w:pPr>
    </w:p>
    <w:p w14:paraId="78503C85" w14:textId="77777777" w:rsidR="00C46AEB" w:rsidRPr="00CF1A2D" w:rsidRDefault="00C46AEB" w:rsidP="00C46AEB">
      <w:pPr>
        <w:pStyle w:val="CommentText"/>
        <w:rPr>
          <w:color w:val="000000" w:themeColor="text1"/>
        </w:rPr>
      </w:pPr>
      <w:r w:rsidRPr="00CF1A2D">
        <w:rPr>
          <w:color w:val="333333"/>
          <w:sz w:val="24"/>
        </w:rPr>
        <w:t>1</w:t>
      </w:r>
      <w:r w:rsidRPr="00CF1A2D">
        <w:rPr>
          <w:sz w:val="24"/>
        </w:rPr>
        <w:t>.   La presente decisione è soggetta all'approvazione degli Stati membri secondo le rispettive norme costituzionali.</w:t>
      </w:r>
      <w:r w:rsidRPr="00CF1A2D">
        <w:rPr>
          <w:color w:val="000000" w:themeColor="text1"/>
          <w:sz w:val="24"/>
        </w:rPr>
        <w:t> Gli Stati membri notificano al segretariato generale del Consiglio l'avvenuto espletamento delle procedure necessarie a tal fine.</w:t>
      </w:r>
    </w:p>
    <w:p w14:paraId="392EAD42" w14:textId="77777777" w:rsidR="00C46AEB" w:rsidRPr="00CF1A2D" w:rsidRDefault="00C46AEB" w:rsidP="00C46AEB">
      <w:pPr>
        <w:pStyle w:val="CommentText"/>
        <w:rPr>
          <w:color w:val="000000" w:themeColor="text1"/>
        </w:rPr>
      </w:pPr>
    </w:p>
    <w:p w14:paraId="4EB98907" w14:textId="70878A9C" w:rsidR="00C46AEB" w:rsidRPr="00CF1A2D" w:rsidRDefault="00C46AEB" w:rsidP="00C46AEB">
      <w:pPr>
        <w:keepNext/>
        <w:jc w:val="both"/>
        <w:rPr>
          <w:color w:val="000000" w:themeColor="text1"/>
        </w:rPr>
      </w:pPr>
      <w:r w:rsidRPr="00CF1A2D">
        <w:rPr>
          <w:color w:val="000000" w:themeColor="text1"/>
        </w:rPr>
        <w:t>2.   La presente decisione entra in vigore il giorno successivo a</w:t>
      </w:r>
      <w:r w:rsidR="00A324D0" w:rsidRPr="00CF1A2D">
        <w:rPr>
          <w:color w:val="000000" w:themeColor="text1"/>
        </w:rPr>
        <w:t>lla ricezione del</w:t>
      </w:r>
      <w:r w:rsidRPr="00CF1A2D">
        <w:rPr>
          <w:color w:val="000000" w:themeColor="text1"/>
        </w:rPr>
        <w:t xml:space="preserve">l'ultima notifica di cui al paragrafo 1. </w:t>
      </w:r>
    </w:p>
    <w:p w14:paraId="3ECAB965" w14:textId="77777777" w:rsidR="00C46AEB" w:rsidRPr="00CF1A2D" w:rsidRDefault="00C46AEB" w:rsidP="00C46AEB">
      <w:pPr>
        <w:rPr>
          <w:rFonts w:eastAsia="Calibri"/>
          <w:b/>
          <w:szCs w:val="24"/>
          <w:lang w:eastAsia="en-US"/>
        </w:rPr>
      </w:pPr>
    </w:p>
    <w:p w14:paraId="02372818" w14:textId="77777777" w:rsidR="00C46AEB" w:rsidRPr="00CF1A2D" w:rsidRDefault="00C46AEB" w:rsidP="00C46AEB">
      <w:pPr>
        <w:rPr>
          <w:rFonts w:eastAsia="Calibri"/>
          <w:b/>
          <w:szCs w:val="24"/>
          <w:lang w:eastAsia="en-US"/>
        </w:rPr>
      </w:pPr>
    </w:p>
    <w:p w14:paraId="1909D060" w14:textId="77777777" w:rsidR="00C46AEB" w:rsidRPr="00CF1A2D" w:rsidRDefault="00C46AEB" w:rsidP="00C46AEB">
      <w:pPr>
        <w:jc w:val="center"/>
        <w:rPr>
          <w:i/>
        </w:rPr>
      </w:pPr>
      <w:r w:rsidRPr="00CF1A2D">
        <w:rPr>
          <w:i/>
        </w:rPr>
        <w:t>Articolo 3</w:t>
      </w:r>
    </w:p>
    <w:p w14:paraId="288BBA70" w14:textId="77777777" w:rsidR="00C46AEB" w:rsidRPr="00CF1A2D" w:rsidRDefault="00C46AEB" w:rsidP="00C46AEB">
      <w:pPr>
        <w:rPr>
          <w:rFonts w:eastAsia="Calibri"/>
          <w:b/>
          <w:szCs w:val="24"/>
          <w:lang w:eastAsia="en-US"/>
        </w:rPr>
      </w:pPr>
    </w:p>
    <w:p w14:paraId="137C10B7" w14:textId="77777777" w:rsidR="00C46AEB" w:rsidRPr="00CF1A2D" w:rsidRDefault="00C46AEB" w:rsidP="00C46AEB">
      <w:r w:rsidRPr="00CF1A2D">
        <w:t xml:space="preserve">La presente decisione è pubblicata nella </w:t>
      </w:r>
      <w:r w:rsidRPr="00CF1A2D">
        <w:rPr>
          <w:i/>
        </w:rPr>
        <w:t>Gazzetta ufficiale dell'Unione europea</w:t>
      </w:r>
      <w:r w:rsidRPr="00CF1A2D">
        <w:t>.</w:t>
      </w:r>
    </w:p>
    <w:p w14:paraId="1999EE89" w14:textId="77777777" w:rsidR="00C46AEB" w:rsidRPr="00CF1A2D" w:rsidRDefault="00C46AEB" w:rsidP="00C46AEB">
      <w:pPr>
        <w:rPr>
          <w:rFonts w:eastAsia="Calibri"/>
          <w:b/>
          <w:szCs w:val="24"/>
          <w:lang w:eastAsia="en-US"/>
        </w:rPr>
      </w:pPr>
    </w:p>
    <w:p w14:paraId="4160BE22" w14:textId="77777777" w:rsidR="00C46AEB" w:rsidRPr="00CF1A2D" w:rsidRDefault="00C46AEB" w:rsidP="00C46AEB"/>
    <w:p w14:paraId="376AF951" w14:textId="77777777" w:rsidR="00C46AEB" w:rsidRPr="00CF1A2D" w:rsidRDefault="00C46AEB" w:rsidP="00C46AEB"/>
    <w:p w14:paraId="1DEB5F89" w14:textId="77777777" w:rsidR="00C46AEB" w:rsidRPr="00CF1A2D" w:rsidRDefault="00C46AEB" w:rsidP="00C46AEB">
      <w:r w:rsidRPr="00CF1A2D">
        <w:t>Fatto a Bruxelles, il</w:t>
      </w:r>
    </w:p>
    <w:p w14:paraId="69BCCCB4" w14:textId="77777777" w:rsidR="00C46AEB" w:rsidRPr="00CF1A2D" w:rsidRDefault="00C46AEB" w:rsidP="00C46AEB"/>
    <w:p w14:paraId="0B060F9A" w14:textId="77777777" w:rsidR="00C46AEB" w:rsidRPr="00CF1A2D" w:rsidRDefault="00C46AEB" w:rsidP="00C46AEB">
      <w:pPr>
        <w:ind w:left="4962"/>
        <w:rPr>
          <w:i/>
        </w:rPr>
      </w:pPr>
    </w:p>
    <w:p w14:paraId="0291443E" w14:textId="77777777" w:rsidR="00C46AEB" w:rsidRPr="00CF1A2D" w:rsidRDefault="00C46AEB" w:rsidP="00C46AEB">
      <w:pPr>
        <w:ind w:left="4962"/>
        <w:rPr>
          <w:i/>
        </w:rPr>
      </w:pPr>
      <w:r w:rsidRPr="00CF1A2D">
        <w:rPr>
          <w:i/>
        </w:rPr>
        <w:t>Per il Consiglio</w:t>
      </w:r>
    </w:p>
    <w:p w14:paraId="19F3A1F8" w14:textId="76576A26" w:rsidR="00A209AA" w:rsidRPr="00CF1A2D" w:rsidRDefault="00C46AEB" w:rsidP="00A209AA">
      <w:pPr>
        <w:pStyle w:val="Normal12a"/>
        <w:ind w:firstLine="4962"/>
      </w:pPr>
      <w:r w:rsidRPr="00CF1A2D">
        <w:rPr>
          <w:i/>
        </w:rPr>
        <w:t>Il Presidente</w:t>
      </w:r>
    </w:p>
    <w:p w14:paraId="5524C601" w14:textId="12AADCE8" w:rsidR="00E365E1" w:rsidRPr="00CF1A2D" w:rsidRDefault="00E365E1" w:rsidP="00F44B32"/>
    <w:sectPr w:rsidR="00E365E1" w:rsidRPr="00CF1A2D" w:rsidSect="00A209A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36588" w14:textId="77777777" w:rsidR="00F44B32" w:rsidRPr="00A209AA" w:rsidRDefault="00F44B32">
      <w:r w:rsidRPr="00A209AA">
        <w:separator/>
      </w:r>
    </w:p>
  </w:endnote>
  <w:endnote w:type="continuationSeparator" w:id="0">
    <w:p w14:paraId="47B4BF56" w14:textId="77777777" w:rsidR="00F44B32" w:rsidRPr="00A209AA" w:rsidRDefault="00F44B32">
      <w:r w:rsidRPr="00A209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343C5" w14:textId="77777777" w:rsidR="00C46AEB" w:rsidRPr="00A209AA" w:rsidRDefault="00C46AEB" w:rsidP="00D36A64">
    <w:pPr>
      <w:pStyle w:val="EPFooter"/>
    </w:pPr>
    <w:r w:rsidRPr="00A209AA">
      <w:t>PE</w:t>
    </w:r>
    <w:r w:rsidRPr="00A209AA">
      <w:rPr>
        <w:rStyle w:val="HideTWBExt"/>
      </w:rPr>
      <w:t>&lt;NoPE&gt;</w:t>
    </w:r>
    <w:r w:rsidRPr="00A209AA">
      <w:t>778.275</w:t>
    </w:r>
    <w:r w:rsidRPr="00A209AA">
      <w:rPr>
        <w:rStyle w:val="HideTWBExt"/>
      </w:rPr>
      <w:t>&lt;/NoPE&gt;&lt;Version&gt;</w:t>
    </w:r>
    <w:r w:rsidRPr="00A209AA">
      <w:t>v02-00</w:t>
    </w:r>
    <w:r w:rsidRPr="00A209AA">
      <w:rPr>
        <w:rStyle w:val="HideTWBExt"/>
      </w:rPr>
      <w:t>&lt;/Version&gt;</w:t>
    </w:r>
    <w:r w:rsidRPr="00A209AA">
      <w:tab/>
    </w:r>
    <w:r w:rsidRPr="00A209AA">
      <w:fldChar w:fldCharType="begin"/>
    </w:r>
    <w:r w:rsidRPr="00A209AA">
      <w:instrText xml:space="preserve"> PAGE  \* MERGEFORMAT </w:instrText>
    </w:r>
    <w:r w:rsidRPr="00A209AA">
      <w:fldChar w:fldCharType="separate"/>
    </w:r>
    <w:r w:rsidRPr="00A209AA">
      <w:rPr>
        <w:noProof/>
      </w:rPr>
      <w:t>4</w:t>
    </w:r>
    <w:r w:rsidRPr="00A209AA">
      <w:fldChar w:fldCharType="end"/>
    </w:r>
    <w:r w:rsidRPr="00A209AA">
      <w:t>/</w:t>
    </w:r>
    <w:r w:rsidR="00CA7DCD">
      <w:fldChar w:fldCharType="begin"/>
    </w:r>
    <w:r w:rsidR="00CA7DCD">
      <w:instrText xml:space="preserve"> NUMPAGES  \* MERGEFORMAT </w:instrText>
    </w:r>
    <w:r w:rsidR="00CA7DCD">
      <w:fldChar w:fldCharType="separate"/>
    </w:r>
    <w:r w:rsidRPr="00A209AA">
      <w:rPr>
        <w:noProof/>
      </w:rPr>
      <w:t>11</w:t>
    </w:r>
    <w:r w:rsidR="00CA7DCD">
      <w:rPr>
        <w:noProof/>
      </w:rPr>
      <w:fldChar w:fldCharType="end"/>
    </w:r>
    <w:r w:rsidRPr="00A209AA">
      <w:tab/>
    </w:r>
    <w:r w:rsidRPr="00A209AA">
      <w:rPr>
        <w:rStyle w:val="HideTWBExt"/>
      </w:rPr>
      <w:t>&lt;PathFdR&gt;</w:t>
    </w:r>
    <w:r w:rsidRPr="00A209AA">
      <w:t>RR\1331433IT.docx</w:t>
    </w:r>
    <w:r w:rsidRPr="00A209AA">
      <w:rPr>
        <w:rStyle w:val="HideTWBExt"/>
      </w:rPr>
      <w:t>&lt;/PathFdR&gt;</w:t>
    </w:r>
  </w:p>
  <w:p w14:paraId="743BA5EB" w14:textId="77777777" w:rsidR="00C46AEB" w:rsidRPr="00A209AA" w:rsidRDefault="00C46AEB" w:rsidP="00D36A64">
    <w:pPr>
      <w:pStyle w:val="EPFooter2"/>
    </w:pPr>
    <w:r w:rsidRPr="00A209A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426AB" w14:textId="77777777" w:rsidR="00C46AEB" w:rsidRPr="00A209AA" w:rsidRDefault="00C46AEB" w:rsidP="00D36A64">
    <w:pPr>
      <w:pStyle w:val="EPFooter"/>
    </w:pPr>
    <w:r w:rsidRPr="00A209AA">
      <w:rPr>
        <w:rStyle w:val="HideTWBExt"/>
      </w:rPr>
      <w:t>&lt;PathFdR&gt;</w:t>
    </w:r>
    <w:r w:rsidRPr="00A209AA">
      <w:t>RR\1331433IT.docx</w:t>
    </w:r>
    <w:r w:rsidRPr="00A209AA">
      <w:rPr>
        <w:rStyle w:val="HideTWBExt"/>
      </w:rPr>
      <w:t>&lt;/PathFdR&gt;</w:t>
    </w:r>
    <w:r w:rsidRPr="00A209AA">
      <w:tab/>
    </w:r>
    <w:r w:rsidRPr="00A209AA">
      <w:tab/>
      <w:t>PE</w:t>
    </w:r>
    <w:r w:rsidRPr="00A209AA">
      <w:rPr>
        <w:rStyle w:val="HideTWBExt"/>
      </w:rPr>
      <w:t>&lt;NoPE&gt;</w:t>
    </w:r>
    <w:r w:rsidRPr="00A209AA">
      <w:t>778.275</w:t>
    </w:r>
    <w:r w:rsidRPr="00A209AA">
      <w:rPr>
        <w:rStyle w:val="HideTWBExt"/>
      </w:rPr>
      <w:t>&lt;/NoPE&gt;&lt;Version&gt;</w:t>
    </w:r>
    <w:r w:rsidRPr="00A209AA">
      <w:t>v02-00</w:t>
    </w:r>
    <w:r w:rsidRPr="00A209AA">
      <w:rPr>
        <w:rStyle w:val="HideTWBExt"/>
      </w:rPr>
      <w:t>&lt;/Version&gt;</w:t>
    </w:r>
  </w:p>
  <w:p w14:paraId="71FC40C4" w14:textId="77777777" w:rsidR="00C46AEB" w:rsidRPr="00A209AA" w:rsidRDefault="00C46AEB" w:rsidP="00D36A64">
    <w:pPr>
      <w:pStyle w:val="EPFooter2"/>
    </w:pPr>
    <w:r w:rsidRPr="00A209AA">
      <w:t>IT</w:t>
    </w:r>
    <w:r w:rsidRPr="00A209AA">
      <w:tab/>
    </w:r>
    <w:r w:rsidRPr="00A209AA">
      <w:rPr>
        <w:b w:val="0"/>
        <w:i/>
        <w:color w:val="C0C0C0"/>
        <w:sz w:val="22"/>
      </w:rPr>
      <w:t>Unita nella diversità</w:t>
    </w:r>
    <w:r w:rsidRPr="00A209AA">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0ABD" w14:textId="77777777" w:rsidR="00064002" w:rsidRPr="00A209A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800A5" w14:textId="77777777" w:rsidR="00064002" w:rsidRPr="00A209A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7F616" w14:textId="77777777" w:rsidR="00064002" w:rsidRPr="00A209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66CA7" w14:textId="77777777" w:rsidR="00F44B32" w:rsidRPr="00A209AA" w:rsidRDefault="00F44B32">
      <w:r w:rsidRPr="00A209AA">
        <w:separator/>
      </w:r>
    </w:p>
  </w:footnote>
  <w:footnote w:type="continuationSeparator" w:id="0">
    <w:p w14:paraId="3C809D39" w14:textId="77777777" w:rsidR="00F44B32" w:rsidRPr="00A209AA" w:rsidRDefault="00F44B32">
      <w:r w:rsidRPr="00A209AA">
        <w:continuationSeparator/>
      </w:r>
    </w:p>
  </w:footnote>
  <w:footnote w:id="1">
    <w:p w14:paraId="50E3942A" w14:textId="1521824E" w:rsidR="00C46AEB" w:rsidRPr="00A209AA" w:rsidRDefault="00C46AEB" w:rsidP="00A209AA">
      <w:pPr>
        <w:pStyle w:val="FootnoteText"/>
        <w:ind w:left="567" w:hanging="567"/>
        <w:rPr>
          <w:sz w:val="24"/>
          <w:lang w:val="it-IT"/>
        </w:rPr>
      </w:pPr>
      <w:r w:rsidRPr="00A209AA">
        <w:rPr>
          <w:rStyle w:val="FootnoteReference"/>
          <w:sz w:val="24"/>
          <w:lang w:val="it-IT"/>
        </w:rPr>
        <w:footnoteRef/>
      </w:r>
      <w:r w:rsidR="00A209AA" w:rsidRPr="00A209AA">
        <w:rPr>
          <w:sz w:val="24"/>
          <w:lang w:val="it-IT"/>
        </w:rPr>
        <w:t xml:space="preserve"> </w:t>
      </w:r>
      <w:r w:rsidR="00A209AA" w:rsidRPr="00A209AA">
        <w:rPr>
          <w:sz w:val="24"/>
          <w:lang w:val="it-IT"/>
        </w:rPr>
        <w:tab/>
      </w:r>
      <w:r w:rsidRPr="00A209AA">
        <w:rPr>
          <w:sz w:val="24"/>
          <w:lang w:val="it-IT"/>
        </w:rPr>
        <w:t xml:space="preserve">GU L 262 del 7.10.2005, pag. 1, ELI: </w:t>
      </w:r>
      <w:hyperlink r:id="rId1" w:history="1">
        <w:r w:rsidRPr="008F6630">
          <w:rPr>
            <w:sz w:val="24"/>
            <w:u w:val="single"/>
            <w:lang w:val="it-IT"/>
          </w:rPr>
          <w:t>http://data.europa.eu/eli/dec/2005/684/oj</w:t>
        </w:r>
      </w:hyperlink>
      <w:r w:rsidRPr="00A209AA">
        <w:rPr>
          <w:sz w:val="24"/>
          <w:lang w:val="it-IT"/>
        </w:rPr>
        <w:t>.</w:t>
      </w:r>
    </w:p>
  </w:footnote>
  <w:footnote w:id="2">
    <w:p w14:paraId="45B7FF47" w14:textId="6821F6C5" w:rsidR="00C46AEB" w:rsidRPr="00A209AA" w:rsidRDefault="00C46AEB" w:rsidP="00A209AA">
      <w:pPr>
        <w:pStyle w:val="FootnoteText"/>
        <w:ind w:left="567" w:hanging="567"/>
        <w:rPr>
          <w:sz w:val="24"/>
          <w:lang w:val="it-IT"/>
        </w:rPr>
      </w:pPr>
      <w:r w:rsidRPr="00A209AA">
        <w:rPr>
          <w:rStyle w:val="FootnoteReference"/>
          <w:sz w:val="24"/>
          <w:lang w:val="it-IT"/>
        </w:rPr>
        <w:footnoteRef/>
      </w:r>
      <w:r w:rsidR="00A209AA" w:rsidRPr="00A209AA">
        <w:rPr>
          <w:sz w:val="24"/>
          <w:lang w:val="it-IT"/>
        </w:rPr>
        <w:t xml:space="preserve"> </w:t>
      </w:r>
      <w:r w:rsidR="00A209AA" w:rsidRPr="00A209AA">
        <w:rPr>
          <w:sz w:val="24"/>
          <w:lang w:val="it-IT"/>
        </w:rPr>
        <w:tab/>
      </w:r>
      <w:r w:rsidRPr="00A209AA">
        <w:rPr>
          <w:sz w:val="24"/>
          <w:lang w:val="it-IT"/>
        </w:rPr>
        <w:t>GU C 292 del 21.9.1998, pag. 66.</w:t>
      </w:r>
    </w:p>
  </w:footnote>
  <w:footnote w:id="3">
    <w:p w14:paraId="3EC90F79" w14:textId="2621CB14" w:rsidR="00C46AEB" w:rsidRPr="00A209AA" w:rsidRDefault="00C46AEB" w:rsidP="00A209AA">
      <w:pPr>
        <w:ind w:left="567" w:hanging="567"/>
      </w:pPr>
      <w:r w:rsidRPr="00A209AA">
        <w:rPr>
          <w:rStyle w:val="FootnoteReference"/>
        </w:rPr>
        <w:footnoteRef/>
      </w:r>
      <w:r w:rsidR="00A209AA" w:rsidRPr="00A209AA">
        <w:t xml:space="preserve"> </w:t>
      </w:r>
      <w:r w:rsidR="00A209AA" w:rsidRPr="00A209AA">
        <w:tab/>
      </w:r>
      <w:r w:rsidRPr="00A209AA">
        <w:t>GU C 419 del 16.12.2015, pag. 185.</w:t>
      </w:r>
    </w:p>
  </w:footnote>
  <w:footnote w:id="4">
    <w:p w14:paraId="42637624" w14:textId="221F991B" w:rsidR="00C46AEB" w:rsidRPr="00A209AA" w:rsidRDefault="00C46AEB" w:rsidP="00A209AA">
      <w:pPr>
        <w:ind w:left="567" w:hanging="567"/>
      </w:pPr>
      <w:r w:rsidRPr="00A209AA">
        <w:rPr>
          <w:rStyle w:val="FootnoteReference"/>
        </w:rPr>
        <w:footnoteRef/>
      </w:r>
      <w:r w:rsidR="00A209AA" w:rsidRPr="00A209AA">
        <w:t xml:space="preserve"> </w:t>
      </w:r>
      <w:r w:rsidR="00A209AA" w:rsidRPr="00A209AA">
        <w:tab/>
      </w:r>
      <w:r w:rsidRPr="00A209AA">
        <w:t>GU C 75 del 26.2.2016, pag. 109.</w:t>
      </w:r>
    </w:p>
  </w:footnote>
  <w:footnote w:id="5">
    <w:p w14:paraId="7CB80D1B" w14:textId="324B4631" w:rsidR="00C46AEB" w:rsidRPr="00A209AA" w:rsidRDefault="00C46AEB" w:rsidP="00A209AA">
      <w:pPr>
        <w:ind w:left="567" w:hanging="567"/>
      </w:pPr>
      <w:r w:rsidRPr="00A209AA">
        <w:rPr>
          <w:rStyle w:val="FootnoteReference"/>
        </w:rPr>
        <w:footnoteRef/>
      </w:r>
      <w:r w:rsidR="00A209AA" w:rsidRPr="00A209AA">
        <w:t xml:space="preserve"> </w:t>
      </w:r>
      <w:r w:rsidR="00A209AA" w:rsidRPr="00A209AA">
        <w:tab/>
      </w:r>
      <w:r w:rsidRPr="00A209AA">
        <w:t>GU C 366 del 27.10.2017, pag. 7.</w:t>
      </w:r>
    </w:p>
  </w:footnote>
  <w:footnote w:id="6">
    <w:p w14:paraId="3BDBB055" w14:textId="3A77E907" w:rsidR="00C46AEB" w:rsidRPr="00A209AA" w:rsidRDefault="00C46AEB" w:rsidP="00A209AA">
      <w:pPr>
        <w:pStyle w:val="FootnoteText"/>
        <w:ind w:left="567" w:hanging="567"/>
        <w:rPr>
          <w:sz w:val="24"/>
          <w:lang w:val="it-IT"/>
        </w:rPr>
      </w:pPr>
      <w:r w:rsidRPr="00A209AA">
        <w:rPr>
          <w:rStyle w:val="FootnoteReference"/>
          <w:sz w:val="24"/>
          <w:lang w:val="it-IT"/>
        </w:rPr>
        <w:footnoteRef/>
      </w:r>
      <w:r w:rsidR="00A209AA" w:rsidRPr="00A209AA">
        <w:rPr>
          <w:sz w:val="24"/>
          <w:lang w:val="it-IT"/>
        </w:rPr>
        <w:t xml:space="preserve"> </w:t>
      </w:r>
      <w:r w:rsidR="00A209AA" w:rsidRPr="00A209AA">
        <w:rPr>
          <w:sz w:val="24"/>
          <w:lang w:val="it-IT"/>
        </w:rPr>
        <w:tab/>
      </w:r>
      <w:r w:rsidRPr="00A209AA">
        <w:rPr>
          <w:sz w:val="24"/>
          <w:lang w:val="it-IT"/>
        </w:rPr>
        <w:t>GU C 465 del 6.12.2022, pag. 171.</w:t>
      </w:r>
    </w:p>
  </w:footnote>
  <w:footnote w:id="7">
    <w:p w14:paraId="76087987" w14:textId="1ADD68E0" w:rsidR="00C46AEB" w:rsidRPr="00A209AA" w:rsidRDefault="00C46AEB" w:rsidP="00A209AA">
      <w:pPr>
        <w:pStyle w:val="FootnoteText"/>
        <w:ind w:left="567" w:hanging="567"/>
        <w:rPr>
          <w:sz w:val="24"/>
          <w:lang w:val="it-IT"/>
        </w:rPr>
      </w:pPr>
      <w:r w:rsidRPr="00A209AA">
        <w:rPr>
          <w:rStyle w:val="FootnoteReference"/>
          <w:sz w:val="24"/>
          <w:lang w:val="it-IT"/>
        </w:rPr>
        <w:footnoteRef/>
      </w:r>
      <w:r w:rsidR="00A209AA" w:rsidRPr="00A209AA">
        <w:rPr>
          <w:sz w:val="24"/>
          <w:lang w:val="it-IT"/>
        </w:rPr>
        <w:t xml:space="preserve"> </w:t>
      </w:r>
      <w:r w:rsidR="00A209AA" w:rsidRPr="00A209AA">
        <w:rPr>
          <w:sz w:val="24"/>
          <w:lang w:val="it-IT"/>
        </w:rPr>
        <w:tab/>
      </w:r>
      <w:r w:rsidRPr="00A209AA">
        <w:rPr>
          <w:sz w:val="24"/>
          <w:lang w:val="it-IT"/>
        </w:rPr>
        <w:t xml:space="preserve">GU L 45 del 17.2.2018, pag. 46, ELI: </w:t>
      </w:r>
      <w:hyperlink r:id="rId2" w:tooltip="Gives access to this document through its ELI URI." w:history="1">
        <w:r w:rsidR="00432135" w:rsidRPr="008F6630">
          <w:rPr>
            <w:rStyle w:val="Hyperlink"/>
            <w:sz w:val="24"/>
            <w:szCs w:val="24"/>
            <w:lang w:val="it-IT"/>
          </w:rPr>
          <w:t>http://data.europa.eu/eli/agree_interinstit/2018/217/oj</w:t>
        </w:r>
      </w:hyperlink>
      <w:r w:rsidRPr="00A209AA">
        <w:rPr>
          <w:sz w:val="24"/>
          <w:lang w:val="it-IT"/>
        </w:rPr>
        <w:t>.</w:t>
      </w:r>
    </w:p>
  </w:footnote>
  <w:footnote w:id="8">
    <w:p w14:paraId="3E2B2947" w14:textId="45CB985B" w:rsidR="00C46AEB" w:rsidRPr="00A209AA" w:rsidRDefault="00C46AEB" w:rsidP="00A209AA">
      <w:pPr>
        <w:pStyle w:val="FootnoteText"/>
        <w:ind w:left="567" w:hanging="567"/>
        <w:rPr>
          <w:sz w:val="24"/>
          <w:lang w:val="it-IT"/>
        </w:rPr>
      </w:pPr>
      <w:r w:rsidRPr="00A209AA">
        <w:rPr>
          <w:rStyle w:val="FootnoteReference"/>
          <w:sz w:val="24"/>
          <w:lang w:val="it-IT"/>
        </w:rPr>
        <w:footnoteRef/>
      </w:r>
      <w:r w:rsidR="00A209AA" w:rsidRPr="00A209AA">
        <w:rPr>
          <w:sz w:val="24"/>
          <w:lang w:val="it-IT"/>
        </w:rPr>
        <w:t xml:space="preserve"> </w:t>
      </w:r>
      <w:r w:rsidR="00A209AA" w:rsidRPr="00A209AA">
        <w:rPr>
          <w:sz w:val="24"/>
          <w:lang w:val="it-IT"/>
        </w:rPr>
        <w:tab/>
      </w:r>
      <w:r w:rsidRPr="00A209AA">
        <w:rPr>
          <w:sz w:val="24"/>
          <w:lang w:val="it-IT"/>
        </w:rPr>
        <w:t xml:space="preserve">Decisione 76/787/CECA, CEE, </w:t>
      </w:r>
      <w:proofErr w:type="spellStart"/>
      <w:r w:rsidRPr="00A209AA">
        <w:rPr>
          <w:sz w:val="24"/>
          <w:lang w:val="it-IT"/>
        </w:rPr>
        <w:t>Euratom</w:t>
      </w:r>
      <w:proofErr w:type="spellEnd"/>
      <w:r w:rsidRPr="00A209AA">
        <w:rPr>
          <w:sz w:val="24"/>
          <w:lang w:val="it-IT"/>
        </w:rPr>
        <w:t xml:space="preserve"> del Consiglio del 20 settembre 1976 </w:t>
      </w:r>
      <w:r w:rsidRPr="00A209AA">
        <w:rPr>
          <w:sz w:val="24"/>
          <w:shd w:val="clear" w:color="auto" w:fill="FFFFFF"/>
          <w:lang w:val="it-IT"/>
        </w:rPr>
        <w:t>dei rappresentanti degli stati membri riuniti in sede di Consiglio concernente l'atto relativo all'elezione dei rappresentanti nell'Assemblea a suffragio universale diretto</w:t>
      </w:r>
      <w:r w:rsidRPr="00A209AA">
        <w:rPr>
          <w:sz w:val="24"/>
          <w:lang w:val="it-IT"/>
        </w:rPr>
        <w:t xml:space="preserve"> (GU L 278</w:t>
      </w:r>
      <w:r w:rsidR="00CA7DCD">
        <w:rPr>
          <w:sz w:val="24"/>
          <w:lang w:val="it-IT"/>
        </w:rPr>
        <w:t xml:space="preserve"> dell'</w:t>
      </w:r>
      <w:r w:rsidRPr="00A209AA">
        <w:rPr>
          <w:sz w:val="24"/>
          <w:lang w:val="it-IT"/>
        </w:rPr>
        <w:t>8.10.1976, pag. 1, ELI: </w:t>
      </w:r>
      <w:bookmarkStart w:id="8" w:name="_Hlk213925561"/>
      <w:r w:rsidR="004B754D">
        <w:fldChar w:fldCharType="begin"/>
      </w:r>
      <w:r w:rsidR="004B754D" w:rsidRPr="008F6630">
        <w:rPr>
          <w:lang w:val="it-IT"/>
        </w:rPr>
        <w:instrText>HYPERLINK "http://data.europa.eu/eli/dec/1976/787(1)/oj" \o "Il link dà accesso al documento tramite l'URI dell'ELI."</w:instrText>
      </w:r>
      <w:r w:rsidR="004B754D">
        <w:fldChar w:fldCharType="separate"/>
      </w:r>
      <w:r w:rsidRPr="00A209AA">
        <w:rPr>
          <w:rStyle w:val="Hyperlink"/>
          <w:sz w:val="24"/>
          <w:lang w:val="it-IT"/>
        </w:rPr>
        <w:t>http://data.europa.eu/eli/</w:t>
      </w:r>
      <w:proofErr w:type="spellStart"/>
      <w:r w:rsidRPr="00A209AA">
        <w:rPr>
          <w:rStyle w:val="Hyperlink"/>
          <w:sz w:val="24"/>
          <w:lang w:val="it-IT"/>
        </w:rPr>
        <w:t>dec</w:t>
      </w:r>
      <w:proofErr w:type="spellEnd"/>
      <w:r w:rsidRPr="00A209AA">
        <w:rPr>
          <w:rStyle w:val="Hyperlink"/>
          <w:sz w:val="24"/>
          <w:lang w:val="it-IT"/>
        </w:rPr>
        <w:t>/1976/787(1)/</w:t>
      </w:r>
      <w:proofErr w:type="spellStart"/>
      <w:r w:rsidRPr="00A209AA">
        <w:rPr>
          <w:rStyle w:val="Hyperlink"/>
          <w:sz w:val="24"/>
          <w:lang w:val="it-IT"/>
        </w:rPr>
        <w:t>oj</w:t>
      </w:r>
      <w:proofErr w:type="spellEnd"/>
      <w:r w:rsidR="004B754D">
        <w:rPr>
          <w:rStyle w:val="Hyperlink"/>
          <w:sz w:val="24"/>
          <w:lang w:val="it-IT"/>
        </w:rPr>
        <w:fldChar w:fldCharType="end"/>
      </w:r>
      <w:r w:rsidRPr="00A209AA">
        <w:rPr>
          <w:sz w:val="24"/>
          <w:lang w:val="it-IT"/>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82F9E" w14:textId="77777777" w:rsidR="00064002" w:rsidRPr="00A209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1DA3" w14:textId="77777777" w:rsidR="00064002" w:rsidRPr="00A209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E3AD" w14:textId="77777777" w:rsidR="00064002" w:rsidRPr="00A209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3562336">
    <w:abstractNumId w:val="9"/>
  </w:num>
  <w:num w:numId="2" w16cid:durableId="2075741118">
    <w:abstractNumId w:val="9"/>
  </w:num>
  <w:num w:numId="3" w16cid:durableId="1451705896">
    <w:abstractNumId w:val="7"/>
  </w:num>
  <w:num w:numId="4" w16cid:durableId="134808723">
    <w:abstractNumId w:val="7"/>
  </w:num>
  <w:num w:numId="5" w16cid:durableId="1668823303">
    <w:abstractNumId w:val="6"/>
  </w:num>
  <w:num w:numId="6" w16cid:durableId="1759213556">
    <w:abstractNumId w:val="6"/>
  </w:num>
  <w:num w:numId="7" w16cid:durableId="1586067076">
    <w:abstractNumId w:val="5"/>
  </w:num>
  <w:num w:numId="8" w16cid:durableId="183904543">
    <w:abstractNumId w:val="5"/>
  </w:num>
  <w:num w:numId="9" w16cid:durableId="2099711026">
    <w:abstractNumId w:val="4"/>
  </w:num>
  <w:num w:numId="10" w16cid:durableId="1860118792">
    <w:abstractNumId w:val="4"/>
  </w:num>
  <w:num w:numId="11" w16cid:durableId="529999728">
    <w:abstractNumId w:val="8"/>
  </w:num>
  <w:num w:numId="12" w16cid:durableId="582227333">
    <w:abstractNumId w:val="8"/>
  </w:num>
  <w:num w:numId="13" w16cid:durableId="222835391">
    <w:abstractNumId w:val="3"/>
  </w:num>
  <w:num w:numId="14" w16cid:durableId="77287904">
    <w:abstractNumId w:val="3"/>
  </w:num>
  <w:num w:numId="15" w16cid:durableId="96872600">
    <w:abstractNumId w:val="2"/>
  </w:num>
  <w:num w:numId="16" w16cid:durableId="1802923658">
    <w:abstractNumId w:val="2"/>
  </w:num>
  <w:num w:numId="17" w16cid:durableId="1955138863">
    <w:abstractNumId w:val="1"/>
  </w:num>
  <w:num w:numId="18" w16cid:durableId="921569100">
    <w:abstractNumId w:val="1"/>
  </w:num>
  <w:num w:numId="19" w16cid:durableId="704015427">
    <w:abstractNumId w:val="0"/>
  </w:num>
  <w:num w:numId="20" w16cid:durableId="2011980361">
    <w:abstractNumId w:val="0"/>
  </w:num>
  <w:num w:numId="21" w16cid:durableId="1955987722">
    <w:abstractNumId w:val="9"/>
  </w:num>
  <w:num w:numId="22" w16cid:durableId="1354723034">
    <w:abstractNumId w:val="7"/>
  </w:num>
  <w:num w:numId="23" w16cid:durableId="443351238">
    <w:abstractNumId w:val="6"/>
  </w:num>
  <w:num w:numId="24" w16cid:durableId="978801578">
    <w:abstractNumId w:val="5"/>
  </w:num>
  <w:num w:numId="25" w16cid:durableId="853570854">
    <w:abstractNumId w:val="4"/>
  </w:num>
  <w:num w:numId="26" w16cid:durableId="942805943">
    <w:abstractNumId w:val="8"/>
  </w:num>
  <w:num w:numId="27" w16cid:durableId="1230113575">
    <w:abstractNumId w:val="3"/>
  </w:num>
  <w:num w:numId="28" w16cid:durableId="465465581">
    <w:abstractNumId w:val="2"/>
  </w:num>
  <w:num w:numId="29" w16cid:durableId="1158033903">
    <w:abstractNumId w:val="1"/>
  </w:num>
  <w:num w:numId="30" w16cid:durableId="1182667238">
    <w:abstractNumId w:val="0"/>
  </w:num>
  <w:num w:numId="31" w16cid:durableId="1849908523">
    <w:abstractNumId w:val="9"/>
  </w:num>
  <w:num w:numId="32" w16cid:durableId="930821345">
    <w:abstractNumId w:val="7"/>
  </w:num>
  <w:num w:numId="33" w16cid:durableId="1798134055">
    <w:abstractNumId w:val="6"/>
  </w:num>
  <w:num w:numId="34" w16cid:durableId="1408965079">
    <w:abstractNumId w:val="5"/>
  </w:num>
  <w:num w:numId="35" w16cid:durableId="1781803183">
    <w:abstractNumId w:val="4"/>
  </w:num>
  <w:num w:numId="36" w16cid:durableId="513232408">
    <w:abstractNumId w:val="8"/>
  </w:num>
  <w:num w:numId="37" w16cid:durableId="520125926">
    <w:abstractNumId w:val="3"/>
  </w:num>
  <w:num w:numId="38" w16cid:durableId="1086459902">
    <w:abstractNumId w:val="2"/>
  </w:num>
  <w:num w:numId="39" w16cid:durableId="1476988756">
    <w:abstractNumId w:val="1"/>
  </w:num>
  <w:num w:numId="40" w16cid:durableId="377627539">
    <w:abstractNumId w:val="0"/>
  </w:num>
  <w:num w:numId="41" w16cid:durableId="1816288842">
    <w:abstractNumId w:val="10"/>
  </w:num>
  <w:num w:numId="42" w16cid:durableId="158691604">
    <w:abstractNumId w:val="10"/>
  </w:num>
  <w:num w:numId="43" w16cid:durableId="1554539521">
    <w:abstractNumId w:val="10"/>
  </w:num>
  <w:num w:numId="44" w16cid:durableId="1217473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IT"/>
    <w:docVar w:name="dvnumam" w:val="0"/>
    <w:docVar w:name="dvpe" w:val="778.275"/>
    <w:docVar w:name="dvrapporteur" w:val="Relatore: "/>
    <w:docVar w:name="dvtitre" w:val="Risoluzione legislativa del Parlamento europeo del 13 novembre 2025 sulla modifica dell'Atto elettorale europeo, che consente alle deputate di votare in Aula per delega durante la gravidanza e dopo il parto(2025/2195(INL) – 2025/0900(APP))"/>
  </w:docVars>
  <w:rsids>
    <w:rsidRoot w:val="00F44B32"/>
    <w:rsid w:val="00002272"/>
    <w:rsid w:val="00025625"/>
    <w:rsid w:val="00064002"/>
    <w:rsid w:val="000677B9"/>
    <w:rsid w:val="000831BA"/>
    <w:rsid w:val="000A42CC"/>
    <w:rsid w:val="000E7DD9"/>
    <w:rsid w:val="0010095E"/>
    <w:rsid w:val="00125B37"/>
    <w:rsid w:val="00187494"/>
    <w:rsid w:val="001A62FD"/>
    <w:rsid w:val="001F32AE"/>
    <w:rsid w:val="002464DB"/>
    <w:rsid w:val="002767FF"/>
    <w:rsid w:val="002B18FE"/>
    <w:rsid w:val="002B5493"/>
    <w:rsid w:val="00324CAA"/>
    <w:rsid w:val="00343214"/>
    <w:rsid w:val="00361C00"/>
    <w:rsid w:val="00386EE4"/>
    <w:rsid w:val="00395FA1"/>
    <w:rsid w:val="003E15D4"/>
    <w:rsid w:val="00411CCE"/>
    <w:rsid w:val="0041666E"/>
    <w:rsid w:val="00421060"/>
    <w:rsid w:val="00432135"/>
    <w:rsid w:val="00471C19"/>
    <w:rsid w:val="004867E3"/>
    <w:rsid w:val="00494A28"/>
    <w:rsid w:val="004A16CB"/>
    <w:rsid w:val="004B754D"/>
    <w:rsid w:val="004C0004"/>
    <w:rsid w:val="004C5D52"/>
    <w:rsid w:val="0050519A"/>
    <w:rsid w:val="005072A1"/>
    <w:rsid w:val="00514517"/>
    <w:rsid w:val="00527B67"/>
    <w:rsid w:val="00545827"/>
    <w:rsid w:val="00560270"/>
    <w:rsid w:val="005B4222"/>
    <w:rsid w:val="005C1E8A"/>
    <w:rsid w:val="005C2568"/>
    <w:rsid w:val="005E4880"/>
    <w:rsid w:val="005F1B17"/>
    <w:rsid w:val="006037C0"/>
    <w:rsid w:val="00614DBE"/>
    <w:rsid w:val="006631B6"/>
    <w:rsid w:val="00680577"/>
    <w:rsid w:val="006F74FA"/>
    <w:rsid w:val="00701F2C"/>
    <w:rsid w:val="00731ADD"/>
    <w:rsid w:val="00734777"/>
    <w:rsid w:val="00747932"/>
    <w:rsid w:val="00751A4A"/>
    <w:rsid w:val="00756632"/>
    <w:rsid w:val="007617F3"/>
    <w:rsid w:val="00762C74"/>
    <w:rsid w:val="00786EC0"/>
    <w:rsid w:val="007D1690"/>
    <w:rsid w:val="007E22AD"/>
    <w:rsid w:val="00817416"/>
    <w:rsid w:val="00842779"/>
    <w:rsid w:val="00865F67"/>
    <w:rsid w:val="00881A7B"/>
    <w:rsid w:val="008840E5"/>
    <w:rsid w:val="00887B3E"/>
    <w:rsid w:val="008952AD"/>
    <w:rsid w:val="008C2AC6"/>
    <w:rsid w:val="008F6630"/>
    <w:rsid w:val="00930C23"/>
    <w:rsid w:val="0093193B"/>
    <w:rsid w:val="009509D8"/>
    <w:rsid w:val="00950B64"/>
    <w:rsid w:val="00981893"/>
    <w:rsid w:val="009C1B99"/>
    <w:rsid w:val="009D1F00"/>
    <w:rsid w:val="00A1687D"/>
    <w:rsid w:val="00A17267"/>
    <w:rsid w:val="00A209AA"/>
    <w:rsid w:val="00A324D0"/>
    <w:rsid w:val="00A43E52"/>
    <w:rsid w:val="00A4678D"/>
    <w:rsid w:val="00A778C7"/>
    <w:rsid w:val="00AB441E"/>
    <w:rsid w:val="00AB6293"/>
    <w:rsid w:val="00AE0928"/>
    <w:rsid w:val="00AF3B82"/>
    <w:rsid w:val="00B050B6"/>
    <w:rsid w:val="00B12E95"/>
    <w:rsid w:val="00B22876"/>
    <w:rsid w:val="00B558F0"/>
    <w:rsid w:val="00BD48FE"/>
    <w:rsid w:val="00BD7BD8"/>
    <w:rsid w:val="00BE6ADC"/>
    <w:rsid w:val="00C056E4"/>
    <w:rsid w:val="00C05BFE"/>
    <w:rsid w:val="00C23CD4"/>
    <w:rsid w:val="00C46AEB"/>
    <w:rsid w:val="00C61C0C"/>
    <w:rsid w:val="00C941CB"/>
    <w:rsid w:val="00CA7DCD"/>
    <w:rsid w:val="00CC2357"/>
    <w:rsid w:val="00CF071A"/>
    <w:rsid w:val="00CF1A2D"/>
    <w:rsid w:val="00D058B8"/>
    <w:rsid w:val="00D56C11"/>
    <w:rsid w:val="00D834A0"/>
    <w:rsid w:val="00D872DF"/>
    <w:rsid w:val="00D91E21"/>
    <w:rsid w:val="00DA7FCD"/>
    <w:rsid w:val="00E312CF"/>
    <w:rsid w:val="00E365E1"/>
    <w:rsid w:val="00E820A4"/>
    <w:rsid w:val="00EB006A"/>
    <w:rsid w:val="00EB4772"/>
    <w:rsid w:val="00ED169E"/>
    <w:rsid w:val="00ED4235"/>
    <w:rsid w:val="00F04346"/>
    <w:rsid w:val="00F075DC"/>
    <w:rsid w:val="00F149E9"/>
    <w:rsid w:val="00F44B32"/>
    <w:rsid w:val="00F5134D"/>
    <w:rsid w:val="00F74202"/>
    <w:rsid w:val="00F865D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72B34"/>
  <w15:chartTrackingRefBased/>
  <w15:docId w15:val="{4ED7FC21-CCA7-4ADE-9AF5-DB0260D5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6AE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46AEB"/>
    <w:pPr>
      <w:spacing w:after="240"/>
    </w:pPr>
  </w:style>
  <w:style w:type="paragraph" w:customStyle="1" w:styleId="PageHeading">
    <w:name w:val="PageHeading"/>
    <w:basedOn w:val="Normal"/>
    <w:rsid w:val="00C46AEB"/>
    <w:pPr>
      <w:keepNext/>
      <w:spacing w:after="480"/>
      <w:jc w:val="center"/>
    </w:pPr>
    <w:rPr>
      <w:rFonts w:ascii="Arial" w:hAnsi="Arial" w:cs="Arial"/>
      <w:b/>
    </w:rPr>
  </w:style>
  <w:style w:type="paragraph" w:customStyle="1" w:styleId="NormalHanging12a">
    <w:name w:val="NormalHanging12a"/>
    <w:basedOn w:val="Normal"/>
    <w:rsid w:val="00C46AEB"/>
    <w:pPr>
      <w:spacing w:after="240"/>
      <w:ind w:left="567" w:hanging="567"/>
    </w:pPr>
  </w:style>
  <w:style w:type="paragraph" w:customStyle="1" w:styleId="NormalCenter24a">
    <w:name w:val="NormalCenter24a"/>
    <w:basedOn w:val="Normal"/>
    <w:rsid w:val="00C46AEB"/>
    <w:pPr>
      <w:spacing w:after="480"/>
      <w:jc w:val="center"/>
    </w:pPr>
  </w:style>
  <w:style w:type="paragraph" w:styleId="Header">
    <w:name w:val="header"/>
    <w:basedOn w:val="Normal"/>
    <w:link w:val="HeaderChar"/>
    <w:rsid w:val="00C46AEB"/>
    <w:pPr>
      <w:tabs>
        <w:tab w:val="center" w:pos="4513"/>
        <w:tab w:val="right" w:pos="9026"/>
      </w:tabs>
    </w:pPr>
  </w:style>
  <w:style w:type="character" w:customStyle="1" w:styleId="HeaderChar">
    <w:name w:val="Header Char"/>
    <w:basedOn w:val="DefaultParagraphFont"/>
    <w:link w:val="Header"/>
    <w:rsid w:val="00C46AEB"/>
    <w:rPr>
      <w:sz w:val="24"/>
      <w:lang w:val="it-IT"/>
    </w:rPr>
  </w:style>
  <w:style w:type="paragraph" w:customStyle="1" w:styleId="EPFooter">
    <w:name w:val="EPFooter"/>
    <w:basedOn w:val="Normal"/>
    <w:rsid w:val="00C46AEB"/>
    <w:pPr>
      <w:tabs>
        <w:tab w:val="center" w:pos="4535"/>
        <w:tab w:val="right" w:pos="9071"/>
      </w:tabs>
      <w:spacing w:before="240" w:after="240"/>
    </w:pPr>
    <w:rPr>
      <w:color w:val="010000"/>
      <w:sz w:val="22"/>
    </w:rPr>
  </w:style>
  <w:style w:type="paragraph" w:customStyle="1" w:styleId="EPComma">
    <w:name w:val="EPComma"/>
    <w:basedOn w:val="Normal"/>
    <w:rsid w:val="00C46AEB"/>
    <w:pPr>
      <w:spacing w:before="480" w:after="240"/>
    </w:pPr>
  </w:style>
  <w:style w:type="paragraph" w:styleId="NoSpacing">
    <w:name w:val="No Spacing"/>
    <w:uiPriority w:val="1"/>
    <w:qFormat/>
    <w:rsid w:val="00C46AEB"/>
    <w:rPr>
      <w:rFonts w:asciiTheme="minorHAnsi" w:eastAsiaTheme="minorHAnsi" w:hAnsiTheme="minorHAnsi" w:cstheme="minorBidi"/>
      <w:sz w:val="22"/>
      <w:szCs w:val="22"/>
      <w:lang w:val="it-IT" w:eastAsia="en-US"/>
    </w:rPr>
  </w:style>
  <w:style w:type="paragraph" w:customStyle="1" w:styleId="Normal12Hanging">
    <w:name w:val="Normal12Hanging"/>
    <w:basedOn w:val="Normal"/>
    <w:rsid w:val="00C46AEB"/>
    <w:pPr>
      <w:spacing w:after="240"/>
      <w:ind w:left="567" w:hanging="567"/>
    </w:pPr>
  </w:style>
  <w:style w:type="character" w:styleId="Hyperlink">
    <w:name w:val="Hyperlink"/>
    <w:basedOn w:val="DefaultParagraphFont"/>
    <w:rsid w:val="00C46AEB"/>
    <w:rPr>
      <w:color w:val="0563C1" w:themeColor="hyperlink"/>
      <w:u w:val="single"/>
    </w:rPr>
  </w:style>
  <w:style w:type="paragraph" w:styleId="CommentText">
    <w:name w:val="annotation text"/>
    <w:basedOn w:val="Normal"/>
    <w:link w:val="CommentTextChar"/>
    <w:unhideWhenUsed/>
    <w:rsid w:val="00C46AEB"/>
    <w:rPr>
      <w:sz w:val="20"/>
    </w:rPr>
  </w:style>
  <w:style w:type="character" w:customStyle="1" w:styleId="CommentTextChar">
    <w:name w:val="Comment Text Char"/>
    <w:basedOn w:val="DefaultParagraphFont"/>
    <w:link w:val="CommentText"/>
    <w:rsid w:val="00C46AEB"/>
    <w:rPr>
      <w:lang w:val="it-IT"/>
    </w:rPr>
  </w:style>
  <w:style w:type="paragraph" w:styleId="ListParagraph">
    <w:name w:val="List Paragraph"/>
    <w:basedOn w:val="Normal"/>
    <w:uiPriority w:val="34"/>
    <w:qFormat/>
    <w:rsid w:val="00C46AEB"/>
    <w:pPr>
      <w:ind w:left="720"/>
      <w:contextualSpacing/>
    </w:pPr>
  </w:style>
  <w:style w:type="paragraph" w:styleId="Revision">
    <w:name w:val="Revision"/>
    <w:hidden/>
    <w:uiPriority w:val="99"/>
    <w:semiHidden/>
    <w:rsid w:val="00A17267"/>
    <w:rPr>
      <w:sz w:val="24"/>
      <w:lang w:val="it-IT"/>
    </w:rPr>
  </w:style>
  <w:style w:type="character" w:styleId="FollowedHyperlink">
    <w:name w:val="FollowedHyperlink"/>
    <w:basedOn w:val="DefaultParagraphFont"/>
    <w:rsid w:val="007617F3"/>
    <w:rPr>
      <w:color w:val="954F72" w:themeColor="followedHyperlink"/>
      <w:u w:val="single"/>
    </w:rPr>
  </w:style>
  <w:style w:type="character" w:styleId="CommentReference">
    <w:name w:val="annotation reference"/>
    <w:basedOn w:val="DefaultParagraphFont"/>
    <w:rsid w:val="007617F3"/>
    <w:rPr>
      <w:sz w:val="16"/>
      <w:szCs w:val="16"/>
    </w:rPr>
  </w:style>
  <w:style w:type="paragraph" w:styleId="CommentSubject">
    <w:name w:val="annotation subject"/>
    <w:basedOn w:val="CommentText"/>
    <w:next w:val="CommentText"/>
    <w:link w:val="CommentSubjectChar"/>
    <w:rsid w:val="007617F3"/>
    <w:rPr>
      <w:b/>
      <w:bCs/>
    </w:rPr>
  </w:style>
  <w:style w:type="character" w:customStyle="1" w:styleId="CommentSubjectChar">
    <w:name w:val="Comment Subject Char"/>
    <w:basedOn w:val="CommentTextChar"/>
    <w:link w:val="CommentSubject"/>
    <w:rsid w:val="007617F3"/>
    <w:rPr>
      <w:b/>
      <w:bCs/>
      <w:lang w:val="it-IT"/>
    </w:rPr>
  </w:style>
  <w:style w:type="character" w:styleId="UnresolvedMention">
    <w:name w:val="Unresolved Mention"/>
    <w:basedOn w:val="DefaultParagraphFont"/>
    <w:uiPriority w:val="99"/>
    <w:semiHidden/>
    <w:unhideWhenUsed/>
    <w:rsid w:val="007617F3"/>
    <w:rPr>
      <w:color w:val="605E5C"/>
      <w:shd w:val="clear" w:color="auto" w:fill="E1DFDD"/>
    </w:rPr>
  </w:style>
  <w:style w:type="paragraph" w:styleId="Footer">
    <w:name w:val="footer"/>
    <w:basedOn w:val="Normal"/>
    <w:link w:val="FooterChar"/>
    <w:rsid w:val="00527B67"/>
    <w:pPr>
      <w:tabs>
        <w:tab w:val="center" w:pos="4513"/>
        <w:tab w:val="right" w:pos="9026"/>
      </w:tabs>
    </w:pPr>
  </w:style>
  <w:style w:type="character" w:customStyle="1" w:styleId="FooterChar">
    <w:name w:val="Footer Char"/>
    <w:basedOn w:val="DefaultParagraphFont"/>
    <w:link w:val="Footer"/>
    <w:rsid w:val="00527B67"/>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956</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AR_relec</dc:creator>
  <cp:keywords/>
  <cp:lastModifiedBy>CAPPELLI Rita</cp:lastModifiedBy>
  <cp:revision>2</cp:revision>
  <cp:lastPrinted>2004-11-19T15:42:00Z</cp:lastPrinted>
  <dcterms:created xsi:type="dcterms:W3CDTF">2025-12-10T16:31:00Z</dcterms:created>
  <dcterms:modified xsi:type="dcterms:W3CDTF">2025-12-10T16:31:00Z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A10-0214/2025</vt:lpwstr>
  </property>
  <property fmtid="{D5CDD505-2E9C-101B-9397-08002B2CF9AE}" pid="4" name="&lt;Type&gt;">
    <vt:lpwstr>RR</vt:lpwstr>
  </property>
</Properties>
</file>