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5CD7" w14:paraId="64620E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787831" w14:textId="77777777" w:rsidR="00751A4A" w:rsidRPr="00EF5CD7" w:rsidRDefault="0023242C" w:rsidP="0010095E">
            <w:pPr>
              <w:pStyle w:val="EPName"/>
            </w:pPr>
            <w:r w:rsidRPr="00EF5CD7">
              <w:t>Európsky parlament</w:t>
            </w:r>
          </w:p>
          <w:p w14:paraId="6CA7B675" w14:textId="77777777" w:rsidR="00751A4A" w:rsidRPr="00EF5C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5CD7">
              <w:t>2024</w:t>
            </w:r>
            <w:r w:rsidR="00817416" w:rsidRPr="00EF5CD7">
              <w:t>-202</w:t>
            </w:r>
            <w:r w:rsidRPr="00EF5CD7">
              <w:t>9</w:t>
            </w:r>
          </w:p>
        </w:tc>
        <w:tc>
          <w:tcPr>
            <w:tcW w:w="2268" w:type="dxa"/>
            <w:shd w:val="clear" w:color="auto" w:fill="auto"/>
          </w:tcPr>
          <w:p w14:paraId="790F8B5B" w14:textId="77777777" w:rsidR="00751A4A" w:rsidRPr="00EF5CD7" w:rsidRDefault="00187494" w:rsidP="0010095E">
            <w:pPr>
              <w:pStyle w:val="EPLogo"/>
            </w:pPr>
            <w:r w:rsidRPr="00EF5CD7">
              <w:rPr>
                <w:noProof/>
                <w:lang w:eastAsia="ja-JP"/>
              </w:rPr>
              <w:drawing>
                <wp:inline distT="0" distB="0" distL="0" distR="0" wp14:anchorId="30D03E4B" wp14:editId="3FF286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DDD7B7" w14:textId="77777777" w:rsidR="00D058B8" w:rsidRPr="00EF5CD7" w:rsidRDefault="00D058B8" w:rsidP="004C5D52">
      <w:pPr>
        <w:pStyle w:val="LineTop"/>
      </w:pPr>
    </w:p>
    <w:p w14:paraId="79A93EC6" w14:textId="77777777" w:rsidR="00680577" w:rsidRPr="00EF5CD7" w:rsidRDefault="0023242C" w:rsidP="00680577">
      <w:pPr>
        <w:pStyle w:val="EPBodyTA1"/>
      </w:pPr>
      <w:r w:rsidRPr="00EF5CD7">
        <w:t>PRIJATÉ TEXTY</w:t>
      </w:r>
    </w:p>
    <w:p w14:paraId="6CDA3414" w14:textId="77777777" w:rsidR="00D058B8" w:rsidRPr="00EF5CD7" w:rsidRDefault="00D058B8" w:rsidP="00D058B8">
      <w:pPr>
        <w:pStyle w:val="LineBottom"/>
      </w:pPr>
    </w:p>
    <w:p w14:paraId="0A0CD0BD" w14:textId="39A8EA06" w:rsidR="0023242C" w:rsidRPr="00EF5CD7" w:rsidRDefault="0023242C" w:rsidP="0023242C">
      <w:pPr>
        <w:pStyle w:val="ATHeading1"/>
      </w:pPr>
      <w:bookmarkStart w:id="0" w:name="TANumber"/>
      <w:r w:rsidRPr="00EF5CD7">
        <w:t>P10_TA(2025)0</w:t>
      </w:r>
      <w:r w:rsidR="00EF5CD7">
        <w:t>257</w:t>
      </w:r>
      <w:bookmarkEnd w:id="0"/>
    </w:p>
    <w:p w14:paraId="28B0A4AC" w14:textId="77777777" w:rsidR="0023242C" w:rsidRPr="00EF5CD7" w:rsidRDefault="0023242C" w:rsidP="0023242C">
      <w:pPr>
        <w:pStyle w:val="ATHeading2"/>
      </w:pPr>
      <w:bookmarkStart w:id="1" w:name="title"/>
      <w:r w:rsidRPr="00EF5CD7">
        <w:t>Hlasovanie na plenárnej schôdzi prostredníctvom zástupcu pre poslankyne počas tehotenstva a po pôrode</w:t>
      </w:r>
      <w:bookmarkEnd w:id="1"/>
    </w:p>
    <w:p w14:paraId="1BAA354D" w14:textId="77777777" w:rsidR="0023242C" w:rsidRPr="00EF5CD7" w:rsidRDefault="0023242C" w:rsidP="0023242C">
      <w:pPr>
        <w:rPr>
          <w:i/>
          <w:vanish/>
        </w:rPr>
      </w:pPr>
      <w:r w:rsidRPr="00EF5CD7">
        <w:rPr>
          <w:i/>
        </w:rPr>
        <w:fldChar w:fldCharType="begin"/>
      </w:r>
      <w:r w:rsidRPr="00EF5CD7">
        <w:rPr>
          <w:i/>
        </w:rPr>
        <w:instrText xml:space="preserve"> TC"(</w:instrText>
      </w:r>
      <w:bookmarkStart w:id="2" w:name="DocNumber"/>
      <w:r w:rsidRPr="00EF5CD7">
        <w:rPr>
          <w:i/>
        </w:rPr>
        <w:instrText>A10-0214/2025</w:instrText>
      </w:r>
      <w:bookmarkEnd w:id="2"/>
      <w:r w:rsidRPr="00EF5CD7">
        <w:rPr>
          <w:i/>
        </w:rPr>
        <w:instrText xml:space="preserve"> - Spravodajca: Juan Fernando López Aguilar)"\l3 \n&gt; \* MERGEFORMAT </w:instrText>
      </w:r>
      <w:r w:rsidRPr="00EF5CD7">
        <w:rPr>
          <w:i/>
        </w:rPr>
        <w:fldChar w:fldCharType="end"/>
      </w:r>
    </w:p>
    <w:p w14:paraId="6BCB8424" w14:textId="77777777" w:rsidR="0023242C" w:rsidRPr="00EF5CD7" w:rsidRDefault="0023242C" w:rsidP="0023242C">
      <w:pPr>
        <w:rPr>
          <w:vanish/>
        </w:rPr>
      </w:pPr>
      <w:bookmarkStart w:id="3" w:name="Commission"/>
      <w:r w:rsidRPr="00EF5CD7">
        <w:rPr>
          <w:vanish/>
        </w:rPr>
        <w:t>Výbor pre ústavné veci</w:t>
      </w:r>
      <w:bookmarkEnd w:id="3"/>
    </w:p>
    <w:p w14:paraId="7999499E" w14:textId="77777777" w:rsidR="0023242C" w:rsidRPr="00EF5CD7" w:rsidRDefault="0023242C" w:rsidP="0023242C">
      <w:pPr>
        <w:rPr>
          <w:vanish/>
        </w:rPr>
      </w:pPr>
      <w:bookmarkStart w:id="4" w:name="PE"/>
      <w:r w:rsidRPr="00EF5CD7">
        <w:rPr>
          <w:vanish/>
        </w:rPr>
        <w:t>PE778.275</w:t>
      </w:r>
      <w:bookmarkEnd w:id="4"/>
    </w:p>
    <w:p w14:paraId="08AA2C03" w14:textId="7F259609" w:rsidR="0023242C" w:rsidRPr="00EF5CD7" w:rsidRDefault="0023242C" w:rsidP="0023242C">
      <w:pPr>
        <w:pStyle w:val="ATHeading3"/>
      </w:pPr>
      <w:bookmarkStart w:id="5" w:name="Sujet"/>
      <w:r w:rsidRPr="00EF5CD7">
        <w:t>Legislatívne uznesenie Európskeho parlamentu z</w:t>
      </w:r>
      <w:r w:rsidR="00F51128" w:rsidRPr="00EF5CD7">
        <w:t> 13</w:t>
      </w:r>
      <w:r w:rsidRPr="00EF5CD7">
        <w:t>. novembra 2025 o zmene európskeho aktu o voľbách umožňujúcej poslankyniam hlasovať na plenárnej schôdzi prostredníctvom zástupcu počas tehotenstva a po pôrode</w:t>
      </w:r>
      <w:bookmarkEnd w:id="5"/>
      <w:r w:rsidRPr="00EF5CD7">
        <w:t xml:space="preserve"> </w:t>
      </w:r>
      <w:bookmarkStart w:id="6" w:name="References"/>
      <w:r w:rsidRPr="00EF5CD7">
        <w:t>(2025/2195(INL) – 2025/0900(APP))</w:t>
      </w:r>
      <w:bookmarkEnd w:id="6"/>
    </w:p>
    <w:p w14:paraId="5838FB3D" w14:textId="77777777" w:rsidR="004B0089" w:rsidRPr="00EF5CD7" w:rsidRDefault="004B0089" w:rsidP="004B0089">
      <w:pPr>
        <w:pStyle w:val="EPComma"/>
      </w:pPr>
      <w:r w:rsidRPr="00EF5CD7">
        <w:rPr>
          <w:i/>
        </w:rPr>
        <w:t>Európsky parlament</w:t>
      </w:r>
      <w:r w:rsidRPr="00EF5CD7">
        <w:t>,</w:t>
      </w:r>
    </w:p>
    <w:p w14:paraId="1D0B2941" w14:textId="6EAC9049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zmluvy, a najmä na články 9, 10, 14 a článok 17 ods. 7 Zmluvy o Európskej únii (Z</w:t>
      </w:r>
      <w:r w:rsidR="00E15281" w:rsidRPr="00EF5CD7">
        <w:t xml:space="preserve">mluva o </w:t>
      </w:r>
      <w:r w:rsidRPr="00EF5CD7">
        <w:t>EÚ) a na články 20, 22, článok 223 ods. 1 a článok 225 Zmluvy o fungovaní Európskej únie (ZFEÚ), ako aj na článok 2 Protokolu č. 1 o úlohe národných parlamentov v Európskej únii,</w:t>
      </w:r>
    </w:p>
    <w:p w14:paraId="503A7123" w14:textId="77777777" w:rsidR="004B0089" w:rsidRPr="00EF5CD7" w:rsidRDefault="004B0089" w:rsidP="00E15281">
      <w:pPr>
        <w:tabs>
          <w:tab w:val="left" w:pos="567"/>
        </w:tabs>
        <w:spacing w:after="240" w:line="276" w:lineRule="auto"/>
        <w:ind w:left="567" w:hanging="567"/>
      </w:pPr>
      <w:r w:rsidRPr="00EF5CD7">
        <w:t>–</w:t>
      </w:r>
      <w:r w:rsidRPr="00EF5CD7">
        <w:tab/>
        <w:t>so zreteľom na článok 106a ods. 1 Zmluvy o založení Európskeho spoločenstva pre atómovú energiu,</w:t>
      </w:r>
    </w:p>
    <w:p w14:paraId="6D133357" w14:textId="77777777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Akt o priamych a všeobecných voľbách poslancov Európskeho parlamentu („akt o voľbách“) pripojený k rozhodnutiu Rady 76/787/ESUO, EHS, Euratom z 20. septembra 1976 v znení zmien, a najmä na jeho článok 6,</w:t>
      </w:r>
    </w:p>
    <w:p w14:paraId="14A57277" w14:textId="77777777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článok 5 rozhodnutia Európskeho parlamentu z 28. septembra 2005, ktorým sa prijíma štatút poslancov Európskeho parlamentu</w:t>
      </w:r>
      <w:r w:rsidRPr="00EF5CD7">
        <w:rPr>
          <w:rStyle w:val="FootnoteReference"/>
        </w:rPr>
        <w:footnoteReference w:id="1"/>
      </w:r>
      <w:r w:rsidRPr="00EF5CD7">
        <w:t>,</w:t>
      </w:r>
    </w:p>
    <w:p w14:paraId="2A24FB66" w14:textId="5E9AFFFF" w:rsidR="004B0089" w:rsidRPr="00EF5CD7" w:rsidRDefault="004B0089" w:rsidP="00E15281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EF5CD7">
        <w:rPr>
          <w:rFonts w:ascii="Times New Roman" w:hAnsi="Times New Roman"/>
          <w:sz w:val="24"/>
        </w:rPr>
        <w:t>–</w:t>
      </w:r>
      <w:r w:rsidRPr="00EF5CD7">
        <w:rPr>
          <w:rFonts w:ascii="Times New Roman" w:hAnsi="Times New Roman"/>
          <w:sz w:val="24"/>
        </w:rPr>
        <w:tab/>
        <w:t>so zreteľom na svoje predchádzajúce uznesenia o volebnom postupe Európskeho parlamentu, najmä na uznesenie z 15. júla 1998 o návrhu volebného postupu obsahujúceho spoločné zásady pre voľby poslancov Európskeho parlamentu</w:t>
      </w:r>
      <w:r w:rsidRPr="00EF5CD7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EF5CD7">
        <w:rPr>
          <w:rFonts w:ascii="Times New Roman" w:hAnsi="Times New Roman"/>
          <w:sz w:val="24"/>
        </w:rPr>
        <w:t>, na uznesenie z 22. novembra 2012 o voľbách do Európskeho parlamentu v roku 2014</w:t>
      </w:r>
      <w:r w:rsidRPr="00EF5CD7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EF5CD7">
        <w:rPr>
          <w:rFonts w:ascii="Times New Roman" w:hAnsi="Times New Roman"/>
          <w:sz w:val="24"/>
        </w:rPr>
        <w:t>, na uznesenie zo 4. júla 2013 o zlepšení praktických opatrení týkajúcich sa konania volieb do Európskeho parlamentu v roku 2014</w:t>
      </w:r>
      <w:r w:rsidRPr="00EF5CD7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EF5CD7">
        <w:rPr>
          <w:rFonts w:ascii="Times New Roman" w:hAnsi="Times New Roman"/>
          <w:sz w:val="24"/>
        </w:rPr>
        <w:t xml:space="preserve">, na uznesenie z 11. novembra 2015 o reforme </w:t>
      </w:r>
      <w:r w:rsidRPr="00EF5CD7">
        <w:rPr>
          <w:rFonts w:ascii="Times New Roman" w:hAnsi="Times New Roman"/>
          <w:sz w:val="24"/>
        </w:rPr>
        <w:lastRenderedPageBreak/>
        <w:t>volebného zákona EÚ</w:t>
      </w:r>
      <w:r w:rsidRPr="00EF5CD7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EF5CD7">
        <w:rPr>
          <w:rFonts w:ascii="Times New Roman" w:hAnsi="Times New Roman"/>
          <w:sz w:val="24"/>
        </w:rPr>
        <w:t xml:space="preserve"> a na uznesenie z 3. mája 2022 o </w:t>
      </w:r>
      <w:r w:rsidR="000954B0" w:rsidRPr="00EF5CD7">
        <w:rPr>
          <w:rFonts w:ascii="Times New Roman" w:hAnsi="Times New Roman"/>
          <w:sz w:val="24"/>
        </w:rPr>
        <w:t>návrhu nariadenia Rady o priamych a všeobecných voľbách poslancov Európskeho parlamentu, ktorým sa zrušuje rozhodnutie Rady (76/787/ESUO, EHS, Euratom) a Akt o priamych a všeobecných voľbách poslancov Európskeho parlamentu pripojený k tomuto rozhodnutiu</w:t>
      </w:r>
      <w:r w:rsidRPr="00EF5CD7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EF5CD7">
        <w:rPr>
          <w:rFonts w:ascii="Times New Roman" w:hAnsi="Times New Roman"/>
          <w:sz w:val="24"/>
        </w:rPr>
        <w:t>,</w:t>
      </w:r>
    </w:p>
    <w:p w14:paraId="67CD4C6C" w14:textId="77777777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Rámcovú dohodu o vzťahoch medzi Európskym parlamentom a Európskou komisiou z 20. októbra 2010 zmenenú 17. februára 2018</w:t>
      </w:r>
      <w:r w:rsidRPr="00EF5CD7">
        <w:rPr>
          <w:rStyle w:val="FootnoteReference"/>
        </w:rPr>
        <w:footnoteReference w:id="7"/>
      </w:r>
      <w:r w:rsidRPr="00EF5CD7">
        <w:t>,</w:t>
      </w:r>
    </w:p>
    <w:p w14:paraId="49F9B94E" w14:textId="77777777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Chartu základných práv Európskej únie, a najmä na jej článok 33,</w:t>
      </w:r>
    </w:p>
    <w:p w14:paraId="0C46B8A9" w14:textId="77777777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články 46 a 55 rokovacieho poriadku,</w:t>
      </w:r>
    </w:p>
    <w:p w14:paraId="1026DE46" w14:textId="77777777" w:rsidR="004B0089" w:rsidRPr="00EF5CD7" w:rsidRDefault="004B0089" w:rsidP="00E15281">
      <w:pPr>
        <w:pStyle w:val="NormalHanging12a"/>
      </w:pPr>
      <w:r w:rsidRPr="00EF5CD7">
        <w:t>–</w:t>
      </w:r>
      <w:r w:rsidRPr="00EF5CD7">
        <w:tab/>
        <w:t>so zreteľom na správu Výboru pre ústavné veci (A10-0214/2025),</w:t>
      </w:r>
    </w:p>
    <w:p w14:paraId="3E29E3B8" w14:textId="77777777" w:rsidR="004B0089" w:rsidRPr="00EF5CD7" w:rsidRDefault="004B0089" w:rsidP="00E15281">
      <w:pPr>
        <w:pStyle w:val="Normal12Hanging"/>
      </w:pPr>
      <w:r w:rsidRPr="00EF5CD7">
        <w:t>A.</w:t>
      </w:r>
      <w:r w:rsidRPr="00EF5CD7">
        <w:tab/>
        <w:t>keďže Európsky parlament má právo iniciovať reformu svojho volebného postupu a vyjadriť s ňou súhlas;</w:t>
      </w:r>
    </w:p>
    <w:p w14:paraId="6811DDD6" w14:textId="77777777" w:rsidR="004B0089" w:rsidRPr="00EF5CD7" w:rsidRDefault="004B0089" w:rsidP="00E15281">
      <w:pPr>
        <w:pStyle w:val="Normal12Hanging"/>
      </w:pPr>
      <w:r w:rsidRPr="00EF5CD7">
        <w:t>B.</w:t>
      </w:r>
      <w:r w:rsidRPr="00EF5CD7">
        <w:tab/>
        <w:t>keďže možnosť vytvorenia jednotného volebného postupu založeného na priamych a všeobecných voľbách je zakotvená v zmluvách od roku 1957;</w:t>
      </w:r>
    </w:p>
    <w:p w14:paraId="10784C56" w14:textId="77777777" w:rsidR="004B0089" w:rsidRPr="00EF5CD7" w:rsidRDefault="004B0089" w:rsidP="00E15281">
      <w:pPr>
        <w:pStyle w:val="Normal12Hanging"/>
      </w:pPr>
      <w:r w:rsidRPr="00EF5CD7">
        <w:t>C.</w:t>
      </w:r>
      <w:r w:rsidRPr="00EF5CD7">
        <w:tab/>
        <w:t>keďže reforma volebného postupu Európskeho parlamentu by sa mala zamerať na posilnenie demokratického rozmeru európskych volieb, zlepšenie fungovania Európskeho parlamentu a riadenia Únie, zvýšenie legitímnosti a efektívnosti práce Európskeho parlamentu a na zabezpečenie väčšej rovnosti občanov Únie pri voľbách;</w:t>
      </w:r>
    </w:p>
    <w:p w14:paraId="721540CD" w14:textId="1A5DB852" w:rsidR="004B0089" w:rsidRPr="00EF5CD7" w:rsidRDefault="004B0089" w:rsidP="00E15281">
      <w:pPr>
        <w:pStyle w:val="Normal12Hanging"/>
      </w:pPr>
      <w:r w:rsidRPr="00EF5CD7">
        <w:t>D.</w:t>
      </w:r>
      <w:r w:rsidRPr="00EF5CD7">
        <w:tab/>
        <w:t>keďže politiky na zabezpečenie rovnováhy medzi pracovným a súkromným životom by mali prispieť k dosahovaniu rodovej rovnosti podporova</w:t>
      </w:r>
      <w:r w:rsidR="00CB7303" w:rsidRPr="00EF5CD7">
        <w:t>ním</w:t>
      </w:r>
      <w:r w:rsidRPr="00EF5CD7">
        <w:t xml:space="preserve"> účas</w:t>
      </w:r>
      <w:r w:rsidR="00CB7303" w:rsidRPr="00EF5CD7">
        <w:t>ti</w:t>
      </w:r>
      <w:r w:rsidRPr="00EF5CD7">
        <w:t xml:space="preserve"> matiek na politickom živote;</w:t>
      </w:r>
    </w:p>
    <w:p w14:paraId="3463F634" w14:textId="77777777" w:rsidR="004B0089" w:rsidRPr="00EF5CD7" w:rsidRDefault="004B0089" w:rsidP="00E15281">
      <w:pPr>
        <w:pStyle w:val="Normal12Hanging"/>
      </w:pPr>
      <w:r w:rsidRPr="00EF5CD7">
        <w:t>E.</w:t>
      </w:r>
      <w:r w:rsidRPr="00EF5CD7">
        <w:tab/>
        <w:t>keďže reforma volebného postupu musí rešpektovať zásady subsidiarity a proporcionality;</w:t>
      </w:r>
    </w:p>
    <w:p w14:paraId="79E8FAEF" w14:textId="1874ED2B" w:rsidR="004B0089" w:rsidRPr="00EF5CD7" w:rsidRDefault="004B0089" w:rsidP="00E15281">
      <w:pPr>
        <w:pStyle w:val="NormalHanging12a"/>
      </w:pPr>
      <w:r w:rsidRPr="00EF5CD7">
        <w:t>1.</w:t>
      </w:r>
      <w:r w:rsidRPr="00EF5CD7">
        <w:tab/>
        <w:t>rozhodol sa posilniť pravidlá týkajúc</w:t>
      </w:r>
      <w:r w:rsidR="00D47929" w:rsidRPr="00EF5CD7">
        <w:t>e</w:t>
      </w:r>
      <w:r w:rsidRPr="00EF5CD7">
        <w:t xml:space="preserve"> sa materstva poslankýň Európskeho parlamentu, ktoré si chcú naďalej plniť parlamentné povinnosti;</w:t>
      </w:r>
    </w:p>
    <w:p w14:paraId="79EF9F0D" w14:textId="58BB5A1E" w:rsidR="004B0089" w:rsidRPr="00EF5CD7" w:rsidRDefault="004B0089" w:rsidP="00E15281">
      <w:pPr>
        <w:pStyle w:val="NormalHanging12a"/>
      </w:pPr>
      <w:r w:rsidRPr="00EF5CD7">
        <w:t>2.</w:t>
      </w:r>
      <w:r w:rsidRPr="00EF5CD7">
        <w:tab/>
        <w:t>navrhuje cielenú revíziu európskeho aktu o voľbách, ktorá by poslankyniam umožnila delegovať hlasovanie v pléne počas tehotenstva a po pôrode na iného poslanca</w:t>
      </w:r>
      <w:r w:rsidR="00D96A97" w:rsidRPr="00EF5CD7">
        <w:t xml:space="preserve"> alebo</w:t>
      </w:r>
      <w:r w:rsidRPr="00EF5CD7">
        <w:t xml:space="preserve"> poslankyňu podľa vlastného výberu;</w:t>
      </w:r>
    </w:p>
    <w:p w14:paraId="78B5BC37" w14:textId="77777777" w:rsidR="004B0089" w:rsidRPr="00EF5CD7" w:rsidRDefault="004B0089" w:rsidP="00E15281">
      <w:pPr>
        <w:pStyle w:val="NormalHanging12a"/>
      </w:pPr>
      <w:r w:rsidRPr="00EF5CD7">
        <w:t>3.</w:t>
      </w:r>
      <w:r w:rsidRPr="00EF5CD7">
        <w:tab/>
        <w:t>domnieva sa, že táto reforma umožní poslankyniam v obdobiach bezprostredne pred narodením dieťaťa a po ňom vykonávať svoj mandát v plnej miere, čím by sa zlepšila inštitucionálna spravodlivosť a začlenenie v Európskom parlamente;</w:t>
      </w:r>
    </w:p>
    <w:p w14:paraId="6F028BFA" w14:textId="77777777" w:rsidR="004B0089" w:rsidRPr="00EF5CD7" w:rsidRDefault="004B0089" w:rsidP="00E15281">
      <w:pPr>
        <w:pStyle w:val="NormalHanging12a"/>
      </w:pPr>
      <w:r w:rsidRPr="00EF5CD7">
        <w:t>4.</w:t>
      </w:r>
      <w:r w:rsidRPr="00EF5CD7">
        <w:tab/>
        <w:t>prijíma návrh, ktorý sa nachádza v prílohe, a predkladá ho Rade;</w:t>
      </w:r>
    </w:p>
    <w:p w14:paraId="290D9EB3" w14:textId="77777777" w:rsidR="004B0089" w:rsidRDefault="004B0089" w:rsidP="00E15281">
      <w:pPr>
        <w:pStyle w:val="NormalHanging12a"/>
      </w:pPr>
      <w:r w:rsidRPr="00EF5CD7">
        <w:t>5.</w:t>
      </w:r>
      <w:r w:rsidRPr="00EF5CD7">
        <w:tab/>
        <w:t xml:space="preserve">poveruje svoju predsedníčku, aby postúpila toto legislatívne uznesenie, ako aj návrh, ktorý je k nemu pripojený, Európskej rade, Rade a Komisii, ako aj parlamentom a </w:t>
      </w:r>
      <w:r w:rsidRPr="00EF5CD7">
        <w:lastRenderedPageBreak/>
        <w:t>vládam členských štátov.</w:t>
      </w:r>
    </w:p>
    <w:p w14:paraId="4FC0FBB7" w14:textId="77777777" w:rsidR="002E1F30" w:rsidRPr="00EF5CD7" w:rsidRDefault="002E1F30" w:rsidP="00E15281">
      <w:pPr>
        <w:pStyle w:val="NormalHanging12a"/>
        <w:sectPr w:rsidR="002E1F30" w:rsidRPr="00EF5CD7" w:rsidSect="008B5EB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9858C19" w14:textId="067125ED" w:rsidR="004B0089" w:rsidRPr="00B53B9E" w:rsidRDefault="004B0089" w:rsidP="002E1F30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400352"/>
      <w:r w:rsidRPr="00B53B9E">
        <w:rPr>
          <w:rFonts w:ascii="Times New Roman" w:hAnsi="Times New Roman" w:cs="Times New Roman"/>
          <w:b w:val="0"/>
          <w:bCs/>
        </w:rPr>
        <w:lastRenderedPageBreak/>
        <w:t>PRÍLOHA K LEGISLATÍVNE</w:t>
      </w:r>
      <w:r w:rsidR="00F51128" w:rsidRPr="00B53B9E">
        <w:rPr>
          <w:rFonts w:ascii="Times New Roman" w:hAnsi="Times New Roman" w:cs="Times New Roman"/>
          <w:b w:val="0"/>
          <w:bCs/>
        </w:rPr>
        <w:t>MU</w:t>
      </w:r>
      <w:r w:rsidRPr="00B53B9E">
        <w:rPr>
          <w:rFonts w:ascii="Times New Roman" w:hAnsi="Times New Roman" w:cs="Times New Roman"/>
          <w:b w:val="0"/>
          <w:bCs/>
        </w:rPr>
        <w:t xml:space="preserve"> UZNESENI</w:t>
      </w:r>
      <w:r w:rsidR="00F51128" w:rsidRPr="00B53B9E">
        <w:rPr>
          <w:rFonts w:ascii="Times New Roman" w:hAnsi="Times New Roman" w:cs="Times New Roman"/>
          <w:b w:val="0"/>
          <w:bCs/>
        </w:rPr>
        <w:t>U</w:t>
      </w:r>
      <w:bookmarkEnd w:id="7"/>
    </w:p>
    <w:p w14:paraId="535C7525" w14:textId="07BCF426" w:rsidR="004B0089" w:rsidRPr="00EF5CD7" w:rsidRDefault="004B0089" w:rsidP="004B0089">
      <w:pPr>
        <w:pStyle w:val="NormalCenter24a"/>
        <w:rPr>
          <w:b/>
          <w:bCs/>
        </w:rPr>
      </w:pPr>
      <w:r w:rsidRPr="00EF5CD7">
        <w:rPr>
          <w:b/>
        </w:rPr>
        <w:t>NÁVRH ROZHODNUTIA RADY</w:t>
      </w:r>
    </w:p>
    <w:p w14:paraId="1D06F305" w14:textId="77777777" w:rsidR="004B0089" w:rsidRPr="00EF5CD7" w:rsidRDefault="004B0089" w:rsidP="004B0089">
      <w:pPr>
        <w:widowControl/>
        <w:rPr>
          <w:szCs w:val="24"/>
        </w:rPr>
      </w:pPr>
      <w:r w:rsidRPr="00EF5CD7">
        <w:rPr>
          <w:b/>
        </w:rPr>
        <w:t>o prijatí ustanovení, ktorými sa mení Akt o priamych a všeobecných voľbách členov Európskeho parlamentu</w:t>
      </w:r>
      <w:r w:rsidRPr="00EF5CD7">
        <w:t xml:space="preserve"> </w:t>
      </w:r>
    </w:p>
    <w:p w14:paraId="2EA5D3D8" w14:textId="77777777" w:rsidR="004B0089" w:rsidRPr="00EF5CD7" w:rsidRDefault="004B0089" w:rsidP="004B0089"/>
    <w:p w14:paraId="2ABCD4D2" w14:textId="77777777" w:rsidR="004B0089" w:rsidRPr="00EF5CD7" w:rsidRDefault="004B0089" w:rsidP="00927EAD">
      <w:r w:rsidRPr="00EF5CD7">
        <w:t>RADA EURÓPSKEJ ÚNIE,</w:t>
      </w:r>
    </w:p>
    <w:p w14:paraId="293D3D7A" w14:textId="77777777" w:rsidR="004B0089" w:rsidRPr="00EF5CD7" w:rsidRDefault="004B0089" w:rsidP="00927EAD"/>
    <w:p w14:paraId="2D6C4C36" w14:textId="77777777" w:rsidR="004B0089" w:rsidRPr="00EF5CD7" w:rsidRDefault="004B0089" w:rsidP="00927EAD">
      <w:r w:rsidRPr="00EF5CD7">
        <w:t>so zreteľom na Zmluvu o fungovaní Európskej únie, najmä na jej článok 223 ods. 1,</w:t>
      </w:r>
    </w:p>
    <w:p w14:paraId="2EB473C2" w14:textId="77777777" w:rsidR="004B0089" w:rsidRPr="00EF5CD7" w:rsidRDefault="004B0089" w:rsidP="00927EAD"/>
    <w:p w14:paraId="5BC99F88" w14:textId="77777777" w:rsidR="004B0089" w:rsidRPr="00EF5CD7" w:rsidRDefault="004B0089" w:rsidP="00927EAD">
      <w:r w:rsidRPr="00EF5CD7">
        <w:t>so zreteľom na Zmluvu o založení Európskeho spoločenstva pre atómovú energiu, najmä na jej článok 106a ods. 1,</w:t>
      </w:r>
    </w:p>
    <w:p w14:paraId="60FA1E3D" w14:textId="77777777" w:rsidR="004B0089" w:rsidRPr="00EF5CD7" w:rsidRDefault="004B0089" w:rsidP="00927EAD"/>
    <w:p w14:paraId="7666F155" w14:textId="77777777" w:rsidR="004B0089" w:rsidRPr="00EF5CD7" w:rsidRDefault="004B0089" w:rsidP="00927EAD">
      <w:r w:rsidRPr="00EF5CD7">
        <w:t>so zreteľom na návrh Európskeho parlamentu,</w:t>
      </w:r>
    </w:p>
    <w:p w14:paraId="66454EA6" w14:textId="77777777" w:rsidR="004B0089" w:rsidRPr="00EF5CD7" w:rsidRDefault="004B0089" w:rsidP="00927EAD"/>
    <w:p w14:paraId="0BE7316A" w14:textId="77777777" w:rsidR="004B0089" w:rsidRPr="00EF5CD7" w:rsidRDefault="004B0089" w:rsidP="00927EAD">
      <w:r w:rsidRPr="00EF5CD7">
        <w:t>po postúpení návrhu legislatívneho aktu národným parlamentom,</w:t>
      </w:r>
    </w:p>
    <w:p w14:paraId="3F5F73B1" w14:textId="77777777" w:rsidR="004B0089" w:rsidRPr="00EF5CD7" w:rsidRDefault="004B0089" w:rsidP="00927EAD"/>
    <w:p w14:paraId="4BE63261" w14:textId="77777777" w:rsidR="004B0089" w:rsidRPr="00EF5CD7" w:rsidRDefault="004B0089" w:rsidP="00927EAD">
      <w:pPr>
        <w:rPr>
          <w:i/>
        </w:rPr>
      </w:pPr>
      <w:r w:rsidRPr="00EF5CD7">
        <w:t>so zreteľom na súhlas Európskeho parlamentu,</w:t>
      </w:r>
    </w:p>
    <w:p w14:paraId="59278E5A" w14:textId="77777777" w:rsidR="004B0089" w:rsidRPr="00EF5CD7" w:rsidRDefault="004B0089" w:rsidP="00927EAD"/>
    <w:p w14:paraId="5D8CE7BD" w14:textId="77777777" w:rsidR="004B0089" w:rsidRPr="00EF5CD7" w:rsidRDefault="004B0089" w:rsidP="00927EAD">
      <w:r w:rsidRPr="00EF5CD7">
        <w:t>konajúc v súlade s mimoriadnym legislatívnym postupom,</w:t>
      </w:r>
    </w:p>
    <w:p w14:paraId="01A31DB9" w14:textId="77777777" w:rsidR="004B0089" w:rsidRPr="00EF5CD7" w:rsidRDefault="004B0089" w:rsidP="00927EAD"/>
    <w:p w14:paraId="69B7F070" w14:textId="77777777" w:rsidR="004B0089" w:rsidRPr="00EF5CD7" w:rsidRDefault="004B0089" w:rsidP="00927EAD">
      <w:r w:rsidRPr="00EF5CD7">
        <w:t>keďže:</w:t>
      </w:r>
    </w:p>
    <w:p w14:paraId="508FD54D" w14:textId="77777777" w:rsidR="004B0089" w:rsidRPr="00EF5CD7" w:rsidRDefault="004B0089" w:rsidP="00927EAD"/>
    <w:p w14:paraId="38F6BD65" w14:textId="77777777" w:rsidR="004B0089" w:rsidRPr="00EF5CD7" w:rsidRDefault="004B0089" w:rsidP="00927EAD">
      <w:r w:rsidRPr="00EF5CD7">
        <w:t>(1) Politiky na zabezpečenie rovnováhy medzi pracovným a súkromným životom by mali prispieť k dosiahnutiu rodovej rovnosti podporovaním účasti matiek na politickom živote.</w:t>
      </w:r>
    </w:p>
    <w:p w14:paraId="6CCC9E09" w14:textId="77777777" w:rsidR="004B0089" w:rsidRPr="00EF5CD7" w:rsidRDefault="004B0089" w:rsidP="00927EAD">
      <w:pPr>
        <w:pStyle w:val="ListParagraph"/>
        <w:ind w:left="0"/>
      </w:pPr>
    </w:p>
    <w:p w14:paraId="00D7B104" w14:textId="76EF0C20" w:rsidR="004B0089" w:rsidRPr="00EF5CD7" w:rsidRDefault="004B0089" w:rsidP="00927EAD">
      <w:r w:rsidRPr="00EF5CD7">
        <w:t xml:space="preserve">(2) Zavedenie systému hlasovania v zastúpení na plenárnych schôdzach umožní poslankyniam v obdobiach bezprostredne pred narodením dieťaťa a </w:t>
      </w:r>
      <w:r w:rsidR="00CB7303" w:rsidRPr="00EF5CD7">
        <w:t xml:space="preserve">po ňom </w:t>
      </w:r>
      <w:r w:rsidRPr="00EF5CD7">
        <w:t>v plnej miere vykonávať ich mandát.</w:t>
      </w:r>
    </w:p>
    <w:p w14:paraId="6DAE8FBC" w14:textId="77777777" w:rsidR="004B0089" w:rsidRPr="00EF5CD7" w:rsidRDefault="004B0089" w:rsidP="00927EAD">
      <w:pPr>
        <w:pStyle w:val="ListParagraph"/>
        <w:ind w:left="0"/>
      </w:pPr>
    </w:p>
    <w:p w14:paraId="5CCD22B9" w14:textId="77777777" w:rsidR="004B0089" w:rsidRPr="00EF5CD7" w:rsidRDefault="004B0089" w:rsidP="004B0089"/>
    <w:p w14:paraId="44B9E926" w14:textId="77777777" w:rsidR="004B0089" w:rsidRPr="00EF5CD7" w:rsidRDefault="004B0089" w:rsidP="004B0089"/>
    <w:p w14:paraId="2B323DC2" w14:textId="77777777" w:rsidR="004B0089" w:rsidRPr="00EF5CD7" w:rsidRDefault="004B0089" w:rsidP="004B0089">
      <w:r w:rsidRPr="00EF5CD7">
        <w:t xml:space="preserve">PRIJALA TOTO ROZHODNUTIE: </w:t>
      </w:r>
    </w:p>
    <w:p w14:paraId="417804FB" w14:textId="77777777" w:rsidR="004B0089" w:rsidRPr="00EF5CD7" w:rsidRDefault="004B0089" w:rsidP="004B0089"/>
    <w:p w14:paraId="3463F24B" w14:textId="77777777" w:rsidR="004B0089" w:rsidRPr="00EF5CD7" w:rsidRDefault="004B0089" w:rsidP="004B0089"/>
    <w:p w14:paraId="7952EA4E" w14:textId="77777777" w:rsidR="004B0089" w:rsidRPr="00EF5CD7" w:rsidRDefault="004B0089" w:rsidP="004B0089">
      <w:pPr>
        <w:jc w:val="center"/>
        <w:rPr>
          <w:i/>
        </w:rPr>
      </w:pPr>
      <w:r w:rsidRPr="00EF5CD7">
        <w:rPr>
          <w:i/>
        </w:rPr>
        <w:t>Článok 1</w:t>
      </w:r>
    </w:p>
    <w:p w14:paraId="7CF3A1FA" w14:textId="77777777" w:rsidR="004B0089" w:rsidRPr="00EF5CD7" w:rsidRDefault="004B0089" w:rsidP="004B0089"/>
    <w:p w14:paraId="2999E68A" w14:textId="77777777" w:rsidR="004B0089" w:rsidRPr="00EF5CD7" w:rsidRDefault="004B0089" w:rsidP="00927EAD">
      <w:r w:rsidRPr="00EF5CD7">
        <w:t>V článku 6 ods. 1 Aktu o priamych a všeobecných voľbách poslancov Európskeho parlamentu pripojeného k rozhodnutiu Rady 76/787/ESUO, EHS, Euratom</w:t>
      </w:r>
      <w:r w:rsidRPr="00EF5CD7">
        <w:rPr>
          <w:rStyle w:val="FootnoteReference"/>
        </w:rPr>
        <w:footnoteReference w:id="8"/>
      </w:r>
      <w:r w:rsidRPr="00EF5CD7">
        <w:t xml:space="preserve"> sa dopĺňa tento </w:t>
      </w:r>
      <w:proofErr w:type="spellStart"/>
      <w:r w:rsidRPr="00EF5CD7">
        <w:t>pododsek</w:t>
      </w:r>
      <w:proofErr w:type="spellEnd"/>
      <w:r w:rsidRPr="00EF5CD7">
        <w:t>:</w:t>
      </w:r>
    </w:p>
    <w:p w14:paraId="102DF335" w14:textId="77777777" w:rsidR="004B0089" w:rsidRPr="00EF5CD7" w:rsidRDefault="004B0089" w:rsidP="00927EAD"/>
    <w:p w14:paraId="4DD7FF23" w14:textId="77777777" w:rsidR="004B0089" w:rsidRPr="00EF5CD7" w:rsidRDefault="004B0089" w:rsidP="00927EAD">
      <w:r w:rsidRPr="00EF5CD7">
        <w:t xml:space="preserve">„Odchylne od prvého </w:t>
      </w:r>
      <w:proofErr w:type="spellStart"/>
      <w:r w:rsidRPr="00EF5CD7">
        <w:t>pododseku</w:t>
      </w:r>
      <w:proofErr w:type="spellEnd"/>
      <w:r w:rsidRPr="00EF5CD7">
        <w:t xml:space="preserve"> môže tehotná poslankyňa alebo poslankyňa, ktorá nedávno porodila, delegovať svoj hlas na iného poslanca, ktorý koná ako zástupca, najviac na tri mesiace pred predpokladaným dátumom narodenia dieťaťa a najviac na šesť mesiacov po </w:t>
      </w:r>
      <w:r w:rsidRPr="00EF5CD7">
        <w:lastRenderedPageBreak/>
        <w:t>jeho narodení.“</w:t>
      </w:r>
    </w:p>
    <w:p w14:paraId="7263B51B" w14:textId="77777777" w:rsidR="004B0089" w:rsidRPr="00EF5CD7" w:rsidRDefault="004B0089" w:rsidP="004B0089">
      <w:pPr>
        <w:jc w:val="both"/>
      </w:pPr>
    </w:p>
    <w:p w14:paraId="7627D360" w14:textId="77777777" w:rsidR="004B0089" w:rsidRPr="00EF5CD7" w:rsidRDefault="004B0089" w:rsidP="004B0089"/>
    <w:p w14:paraId="70E512C4" w14:textId="77777777" w:rsidR="004B0089" w:rsidRPr="00EF5CD7" w:rsidRDefault="004B0089" w:rsidP="004B0089">
      <w:pPr>
        <w:keepNext/>
        <w:jc w:val="center"/>
        <w:rPr>
          <w:i/>
        </w:rPr>
      </w:pPr>
      <w:r w:rsidRPr="00EF5CD7">
        <w:rPr>
          <w:i/>
        </w:rPr>
        <w:t>Článok 2</w:t>
      </w:r>
    </w:p>
    <w:p w14:paraId="1F0DE403" w14:textId="77777777" w:rsidR="004B0089" w:rsidRPr="00EF5CD7" w:rsidRDefault="004B0089" w:rsidP="004B0089">
      <w:pPr>
        <w:keepNext/>
      </w:pPr>
    </w:p>
    <w:p w14:paraId="72F115D6" w14:textId="77777777" w:rsidR="004B0089" w:rsidRPr="00EF5CD7" w:rsidRDefault="004B0089" w:rsidP="00927EAD">
      <w:pPr>
        <w:pStyle w:val="CommentText"/>
        <w:rPr>
          <w:color w:val="000000" w:themeColor="text1"/>
        </w:rPr>
      </w:pPr>
      <w:r w:rsidRPr="00EF5CD7">
        <w:rPr>
          <w:color w:val="333333"/>
          <w:sz w:val="24"/>
        </w:rPr>
        <w:t>1</w:t>
      </w:r>
      <w:r w:rsidRPr="00EF5CD7">
        <w:rPr>
          <w:sz w:val="24"/>
        </w:rPr>
        <w:t>.   Toto rozhodnutie podlieha schváleniu členskými štátmi v súlade s ich príslušnými ústavnými požiadavkami.</w:t>
      </w:r>
      <w:r w:rsidRPr="00EF5CD7">
        <w:rPr>
          <w:color w:val="000000" w:themeColor="text1"/>
          <w:sz w:val="24"/>
        </w:rPr>
        <w:t> Členské štáty oznámia Generálnemu sekretariátu Rady ukončenie postupov potrebných na tento účel.</w:t>
      </w:r>
    </w:p>
    <w:p w14:paraId="25DFAF46" w14:textId="77777777" w:rsidR="004B0089" w:rsidRPr="00EF5CD7" w:rsidRDefault="004B0089" w:rsidP="00927EAD">
      <w:pPr>
        <w:pStyle w:val="CommentText"/>
        <w:rPr>
          <w:color w:val="000000" w:themeColor="text1"/>
        </w:rPr>
      </w:pPr>
    </w:p>
    <w:p w14:paraId="1153E613" w14:textId="77777777" w:rsidR="004B0089" w:rsidRPr="00EF5CD7" w:rsidRDefault="004B0089" w:rsidP="00927EAD">
      <w:pPr>
        <w:keepNext/>
        <w:rPr>
          <w:color w:val="000000" w:themeColor="text1"/>
        </w:rPr>
      </w:pPr>
      <w:r w:rsidRPr="00EF5CD7">
        <w:rPr>
          <w:color w:val="000000" w:themeColor="text1"/>
        </w:rPr>
        <w:t xml:space="preserve">2.   Toto rozhodnutie nadobúda účinnosť prvým dňom nasledujúcom po dni doručenia posledného oznámenia podľa odseku 1. </w:t>
      </w:r>
    </w:p>
    <w:p w14:paraId="5AAE31FB" w14:textId="77777777" w:rsidR="004B0089" w:rsidRPr="00EF5CD7" w:rsidRDefault="004B0089" w:rsidP="004B0089">
      <w:pPr>
        <w:rPr>
          <w:rFonts w:eastAsia="Calibri"/>
          <w:b/>
          <w:szCs w:val="24"/>
          <w:lang w:eastAsia="en-US"/>
        </w:rPr>
      </w:pPr>
    </w:p>
    <w:p w14:paraId="67C0442C" w14:textId="77777777" w:rsidR="004B0089" w:rsidRPr="00EF5CD7" w:rsidRDefault="004B0089" w:rsidP="004B0089">
      <w:pPr>
        <w:rPr>
          <w:rFonts w:eastAsia="Calibri"/>
          <w:b/>
          <w:szCs w:val="24"/>
          <w:lang w:eastAsia="en-US"/>
        </w:rPr>
      </w:pPr>
    </w:p>
    <w:p w14:paraId="56042B98" w14:textId="77777777" w:rsidR="004B0089" w:rsidRPr="00EF5CD7" w:rsidRDefault="004B0089" w:rsidP="004B0089">
      <w:pPr>
        <w:jc w:val="center"/>
        <w:rPr>
          <w:i/>
        </w:rPr>
      </w:pPr>
      <w:r w:rsidRPr="00EF5CD7">
        <w:rPr>
          <w:i/>
        </w:rPr>
        <w:t>Článok 3</w:t>
      </w:r>
    </w:p>
    <w:p w14:paraId="7909375D" w14:textId="77777777" w:rsidR="004B0089" w:rsidRPr="00EF5CD7" w:rsidRDefault="004B0089" w:rsidP="004B0089">
      <w:pPr>
        <w:rPr>
          <w:rFonts w:eastAsia="Calibri"/>
          <w:b/>
          <w:szCs w:val="24"/>
          <w:lang w:eastAsia="en-US"/>
        </w:rPr>
      </w:pPr>
    </w:p>
    <w:p w14:paraId="719DE01F" w14:textId="77777777" w:rsidR="004B0089" w:rsidRPr="00EF5CD7" w:rsidRDefault="004B0089" w:rsidP="004B0089">
      <w:r w:rsidRPr="00EF5CD7">
        <w:t>Toto rozhodnutie sa uverejní v </w:t>
      </w:r>
      <w:r w:rsidRPr="00EF5CD7">
        <w:rPr>
          <w:i/>
          <w:iCs/>
        </w:rPr>
        <w:t>Úradnom vestníku Európskej únie</w:t>
      </w:r>
      <w:r w:rsidRPr="00EF5CD7">
        <w:t>.</w:t>
      </w:r>
    </w:p>
    <w:p w14:paraId="50ABF07C" w14:textId="77777777" w:rsidR="004B0089" w:rsidRPr="00EF5CD7" w:rsidRDefault="004B0089" w:rsidP="004B0089">
      <w:pPr>
        <w:rPr>
          <w:rFonts w:eastAsia="Calibri"/>
          <w:b/>
          <w:szCs w:val="24"/>
          <w:lang w:eastAsia="en-US"/>
        </w:rPr>
      </w:pPr>
    </w:p>
    <w:p w14:paraId="6F359C30" w14:textId="77777777" w:rsidR="004B0089" w:rsidRPr="00EF5CD7" w:rsidRDefault="004B0089" w:rsidP="004B0089"/>
    <w:p w14:paraId="76B5C0CA" w14:textId="77777777" w:rsidR="004B0089" w:rsidRPr="00EF5CD7" w:rsidRDefault="004B0089" w:rsidP="004B0089"/>
    <w:p w14:paraId="35B20031" w14:textId="77777777" w:rsidR="004B0089" w:rsidRPr="00EF5CD7" w:rsidRDefault="004B0089" w:rsidP="004B0089">
      <w:r w:rsidRPr="00EF5CD7">
        <w:t>V Bruseli</w:t>
      </w:r>
    </w:p>
    <w:p w14:paraId="08BE268E" w14:textId="77777777" w:rsidR="004B0089" w:rsidRPr="00EF5CD7" w:rsidRDefault="004B0089" w:rsidP="004B0089"/>
    <w:p w14:paraId="01D9C565" w14:textId="77777777" w:rsidR="004B0089" w:rsidRPr="00EF5CD7" w:rsidRDefault="004B0089" w:rsidP="004B0089">
      <w:pPr>
        <w:ind w:left="4962"/>
        <w:rPr>
          <w:i/>
        </w:rPr>
      </w:pPr>
    </w:p>
    <w:p w14:paraId="1A7662D3" w14:textId="77777777" w:rsidR="004B0089" w:rsidRPr="00EF5CD7" w:rsidRDefault="004B0089" w:rsidP="004B0089">
      <w:pPr>
        <w:ind w:left="4962"/>
        <w:rPr>
          <w:i/>
        </w:rPr>
      </w:pPr>
      <w:r w:rsidRPr="00EF5CD7">
        <w:rPr>
          <w:i/>
        </w:rPr>
        <w:t>Za Radu</w:t>
      </w:r>
    </w:p>
    <w:p w14:paraId="320160A8" w14:textId="7873BB34" w:rsidR="00E365E1" w:rsidRPr="00EF5CD7" w:rsidRDefault="004B0089" w:rsidP="00927EAD">
      <w:pPr>
        <w:pStyle w:val="Normal12a"/>
        <w:ind w:firstLine="4962"/>
      </w:pPr>
      <w:r w:rsidRPr="00EF5CD7">
        <w:rPr>
          <w:i/>
        </w:rPr>
        <w:t>predseda/predsedníčka</w:t>
      </w:r>
    </w:p>
    <w:sectPr w:rsidR="00E365E1" w:rsidRPr="00EF5CD7" w:rsidSect="008B5E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D099" w14:textId="77777777" w:rsidR="0023242C" w:rsidRPr="008B5EBB" w:rsidRDefault="0023242C">
      <w:r w:rsidRPr="008B5EBB">
        <w:separator/>
      </w:r>
    </w:p>
  </w:endnote>
  <w:endnote w:type="continuationSeparator" w:id="0">
    <w:p w14:paraId="4ADC2285" w14:textId="77777777" w:rsidR="0023242C" w:rsidRPr="008B5EBB" w:rsidRDefault="0023242C">
      <w:r w:rsidRPr="008B5E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CE25" w14:textId="77777777" w:rsidR="004B0089" w:rsidRPr="008B5EBB" w:rsidRDefault="004B0089" w:rsidP="00FB269D">
    <w:pPr>
      <w:pStyle w:val="EPFooter"/>
    </w:pPr>
    <w:r w:rsidRPr="008B5EBB">
      <w:t>PE</w:t>
    </w:r>
    <w:r w:rsidRPr="008B5EBB">
      <w:rPr>
        <w:rStyle w:val="HideTWBExt"/>
      </w:rPr>
      <w:t>&lt;NoPE&gt;</w:t>
    </w:r>
    <w:r w:rsidRPr="008B5EBB">
      <w:t>778.275</w:t>
    </w:r>
    <w:r w:rsidRPr="008B5EBB">
      <w:rPr>
        <w:rStyle w:val="HideTWBExt"/>
      </w:rPr>
      <w:t>&lt;/NoPE&gt;&lt;Version&gt;</w:t>
    </w:r>
    <w:r w:rsidRPr="008B5EBB">
      <w:t>v02-00</w:t>
    </w:r>
    <w:r w:rsidRPr="008B5EBB">
      <w:rPr>
        <w:rStyle w:val="HideTWBExt"/>
      </w:rPr>
      <w:t>&lt;/Version&gt;</w:t>
    </w:r>
    <w:r w:rsidRPr="008B5EBB">
      <w:tab/>
    </w:r>
    <w:r w:rsidRPr="008B5EBB">
      <w:fldChar w:fldCharType="begin"/>
    </w:r>
    <w:r w:rsidRPr="008B5EBB">
      <w:instrText xml:space="preserve"> PAGE  \* MERGEFORMAT </w:instrText>
    </w:r>
    <w:r w:rsidRPr="008B5EBB">
      <w:fldChar w:fldCharType="separate"/>
    </w:r>
    <w:r w:rsidRPr="008B5EBB">
      <w:rPr>
        <w:noProof/>
      </w:rPr>
      <w:t>1</w:t>
    </w:r>
    <w:r w:rsidRPr="008B5EBB">
      <w:fldChar w:fldCharType="end"/>
    </w:r>
    <w:r w:rsidRPr="008B5EBB">
      <w:t>/</w:t>
    </w:r>
    <w:fldSimple w:instr=" NUMPAGES  \* MERGEFORMAT ">
      <w:r w:rsidRPr="008B5EBB">
        <w:rPr>
          <w:noProof/>
        </w:rPr>
        <w:t>1</w:t>
      </w:r>
    </w:fldSimple>
    <w:r w:rsidRPr="008B5EBB">
      <w:tab/>
    </w:r>
    <w:r w:rsidRPr="008B5EBB">
      <w:rPr>
        <w:rStyle w:val="HideTWBExt"/>
      </w:rPr>
      <w:t>&lt;PathFdR&gt;</w:t>
    </w:r>
    <w:r w:rsidRPr="008B5EBB">
      <w:t>RR\1331433SK.docx</w:t>
    </w:r>
    <w:r w:rsidRPr="008B5EBB">
      <w:rPr>
        <w:rStyle w:val="HideTWBExt"/>
      </w:rPr>
      <w:t>&lt;/PathFdR&gt;</w:t>
    </w:r>
  </w:p>
  <w:p w14:paraId="601D0BD9" w14:textId="77777777" w:rsidR="004B0089" w:rsidRPr="008B5EBB" w:rsidRDefault="004B0089" w:rsidP="00FB269D">
    <w:pPr>
      <w:pStyle w:val="EPFooter2"/>
    </w:pPr>
    <w:r w:rsidRPr="008B5EB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ADFD" w14:textId="77777777" w:rsidR="004B0089" w:rsidRPr="008B5EBB" w:rsidRDefault="004B0089" w:rsidP="00FB269D">
    <w:pPr>
      <w:pStyle w:val="EPFooter"/>
    </w:pPr>
    <w:r w:rsidRPr="008B5EBB">
      <w:rPr>
        <w:rStyle w:val="HideTWBExt"/>
      </w:rPr>
      <w:t>&lt;PathFdR&gt;</w:t>
    </w:r>
    <w:r w:rsidRPr="008B5EBB">
      <w:t>RR\1331433SK.docx</w:t>
    </w:r>
    <w:r w:rsidRPr="008B5EBB">
      <w:rPr>
        <w:rStyle w:val="HideTWBExt"/>
      </w:rPr>
      <w:t>&lt;/PathFdR&gt;</w:t>
    </w:r>
    <w:r w:rsidRPr="008B5EBB">
      <w:tab/>
    </w:r>
    <w:r w:rsidRPr="008B5EBB">
      <w:tab/>
      <w:t>PE</w:t>
    </w:r>
    <w:r w:rsidRPr="008B5EBB">
      <w:rPr>
        <w:rStyle w:val="HideTWBExt"/>
      </w:rPr>
      <w:t>&lt;NoPE&gt;</w:t>
    </w:r>
    <w:r w:rsidRPr="008B5EBB">
      <w:t>778.275</w:t>
    </w:r>
    <w:r w:rsidRPr="008B5EBB">
      <w:rPr>
        <w:rStyle w:val="HideTWBExt"/>
      </w:rPr>
      <w:t>&lt;/NoPE&gt;&lt;Version&gt;</w:t>
    </w:r>
    <w:r w:rsidRPr="008B5EBB">
      <w:t>v02-00</w:t>
    </w:r>
    <w:r w:rsidRPr="008B5EBB">
      <w:rPr>
        <w:rStyle w:val="HideTWBExt"/>
      </w:rPr>
      <w:t>&lt;/Version&gt;</w:t>
    </w:r>
  </w:p>
  <w:p w14:paraId="20C596AF" w14:textId="77777777" w:rsidR="004B0089" w:rsidRPr="008B5EBB" w:rsidRDefault="004B0089" w:rsidP="00FB269D">
    <w:pPr>
      <w:pStyle w:val="EPFooter2"/>
    </w:pPr>
    <w:r w:rsidRPr="008B5EBB">
      <w:t>SK</w:t>
    </w:r>
    <w:r w:rsidRPr="008B5EBB">
      <w:tab/>
    </w:r>
    <w:r w:rsidRPr="008B5EBB">
      <w:rPr>
        <w:b w:val="0"/>
        <w:i/>
        <w:color w:val="C0C0C0"/>
        <w:sz w:val="22"/>
      </w:rPr>
      <w:t>Zjednotení v rozmanitosti</w:t>
    </w:r>
    <w:r w:rsidRPr="008B5EB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2715E" w14:textId="77777777" w:rsidR="00064002" w:rsidRPr="008B5EB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FF5CA" w14:textId="77777777" w:rsidR="00064002" w:rsidRPr="008B5EB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A5073" w14:textId="77777777" w:rsidR="00064002" w:rsidRPr="008B5E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DCC47" w14:textId="77777777" w:rsidR="0023242C" w:rsidRPr="008B5EBB" w:rsidRDefault="0023242C">
      <w:r w:rsidRPr="008B5EBB">
        <w:separator/>
      </w:r>
    </w:p>
  </w:footnote>
  <w:footnote w:type="continuationSeparator" w:id="0">
    <w:p w14:paraId="57FB7EDA" w14:textId="77777777" w:rsidR="0023242C" w:rsidRPr="008B5EBB" w:rsidRDefault="0023242C">
      <w:r w:rsidRPr="008B5EBB">
        <w:continuationSeparator/>
      </w:r>
    </w:p>
  </w:footnote>
  <w:footnote w:id="1">
    <w:p w14:paraId="1F6106D6" w14:textId="400FBE4C" w:rsidR="004B0089" w:rsidRPr="008B5EBB" w:rsidRDefault="004B0089" w:rsidP="008B5EBB">
      <w:pPr>
        <w:pStyle w:val="FootnoteText"/>
        <w:ind w:left="567" w:hanging="567"/>
        <w:rPr>
          <w:sz w:val="24"/>
          <w:lang w:val="sk-SK"/>
        </w:rPr>
      </w:pPr>
      <w:r w:rsidRPr="008B5EBB">
        <w:rPr>
          <w:rStyle w:val="FootnoteReference"/>
          <w:sz w:val="24"/>
          <w:lang w:val="sk-SK"/>
        </w:rPr>
        <w:footnoteRef/>
      </w:r>
      <w:r w:rsidR="008B5EBB" w:rsidRPr="008B5EBB">
        <w:rPr>
          <w:sz w:val="24"/>
          <w:lang w:val="sk-SK"/>
        </w:rPr>
        <w:t xml:space="preserve"> </w:t>
      </w:r>
      <w:r w:rsidR="008B5EBB" w:rsidRPr="008B5EBB">
        <w:rPr>
          <w:sz w:val="24"/>
          <w:lang w:val="sk-SK"/>
        </w:rPr>
        <w:tab/>
      </w:r>
      <w:r w:rsidRPr="008B5EBB">
        <w:rPr>
          <w:sz w:val="24"/>
          <w:lang w:val="sk-SK"/>
        </w:rPr>
        <w:t xml:space="preserve">Ú. v. EÚ L 262, 7.10.2005, s. 1, ELI: </w:t>
      </w:r>
      <w:hyperlink r:id="rId1" w:history="1">
        <w:r w:rsidRPr="008B5EBB">
          <w:rPr>
            <w:sz w:val="24"/>
            <w:lang w:val="sk-SK"/>
          </w:rPr>
          <w:t>http://data.europa.eu/eli/dec/2005/684/oj</w:t>
        </w:r>
      </w:hyperlink>
      <w:r w:rsidRPr="008B5EBB">
        <w:rPr>
          <w:sz w:val="24"/>
          <w:lang w:val="sk-SK"/>
        </w:rPr>
        <w:t>.</w:t>
      </w:r>
    </w:p>
  </w:footnote>
  <w:footnote w:id="2">
    <w:p w14:paraId="6850117D" w14:textId="2EDAF087" w:rsidR="004B0089" w:rsidRPr="008B5EBB" w:rsidRDefault="004B0089" w:rsidP="008B5EBB">
      <w:pPr>
        <w:pStyle w:val="FootnoteText"/>
        <w:ind w:left="567" w:hanging="567"/>
        <w:rPr>
          <w:sz w:val="24"/>
          <w:lang w:val="sk-SK"/>
        </w:rPr>
      </w:pPr>
      <w:r w:rsidRPr="008B5EBB">
        <w:rPr>
          <w:rStyle w:val="FootnoteReference"/>
          <w:sz w:val="24"/>
          <w:lang w:val="sk-SK"/>
        </w:rPr>
        <w:footnoteRef/>
      </w:r>
      <w:r w:rsidR="008B5EBB" w:rsidRPr="008B5EBB">
        <w:rPr>
          <w:sz w:val="24"/>
          <w:lang w:val="sk-SK"/>
        </w:rPr>
        <w:t xml:space="preserve"> </w:t>
      </w:r>
      <w:r w:rsidR="008B5EBB" w:rsidRPr="008B5EBB">
        <w:rPr>
          <w:sz w:val="24"/>
          <w:lang w:val="sk-SK"/>
        </w:rPr>
        <w:tab/>
      </w:r>
      <w:r w:rsidRPr="008B5EBB">
        <w:rPr>
          <w:sz w:val="24"/>
          <w:lang w:val="sk-SK"/>
        </w:rPr>
        <w:t>Ú. v. ES C 292, 21.9.1998, s. 66.</w:t>
      </w:r>
    </w:p>
  </w:footnote>
  <w:footnote w:id="3">
    <w:p w14:paraId="62BBC8C4" w14:textId="5AEE3308" w:rsidR="004B0089" w:rsidRPr="008B5EBB" w:rsidRDefault="004B0089" w:rsidP="008B5EBB">
      <w:pPr>
        <w:ind w:left="567" w:hanging="567"/>
      </w:pPr>
      <w:r w:rsidRPr="008B5EBB">
        <w:rPr>
          <w:rStyle w:val="FootnoteReference"/>
        </w:rPr>
        <w:footnoteRef/>
      </w:r>
      <w:r w:rsidR="008B5EBB" w:rsidRPr="008B5EBB">
        <w:t xml:space="preserve"> </w:t>
      </w:r>
      <w:r w:rsidR="008B5EBB" w:rsidRPr="008B5EBB">
        <w:tab/>
      </w:r>
      <w:r w:rsidRPr="008B5EBB">
        <w:t>Ú. v. EÚ C 419, 16.12.2015, s. 185.</w:t>
      </w:r>
    </w:p>
  </w:footnote>
  <w:footnote w:id="4">
    <w:p w14:paraId="5911F7AB" w14:textId="568A2C16" w:rsidR="004B0089" w:rsidRPr="008B5EBB" w:rsidRDefault="004B0089" w:rsidP="008B5EBB">
      <w:pPr>
        <w:ind w:left="567" w:hanging="567"/>
      </w:pPr>
      <w:r w:rsidRPr="008B5EBB">
        <w:rPr>
          <w:rStyle w:val="FootnoteReference"/>
        </w:rPr>
        <w:footnoteRef/>
      </w:r>
      <w:r w:rsidR="008B5EBB" w:rsidRPr="008B5EBB">
        <w:t xml:space="preserve"> </w:t>
      </w:r>
      <w:r w:rsidR="008B5EBB" w:rsidRPr="008B5EBB">
        <w:tab/>
      </w:r>
      <w:r w:rsidRPr="008B5EBB">
        <w:t>Ú. v. EÚ C 75, 26.2.2016, s. 109.</w:t>
      </w:r>
    </w:p>
  </w:footnote>
  <w:footnote w:id="5">
    <w:p w14:paraId="21574D9D" w14:textId="21329B04" w:rsidR="004B0089" w:rsidRPr="008B5EBB" w:rsidRDefault="004B0089" w:rsidP="008B5EBB">
      <w:pPr>
        <w:ind w:left="567" w:hanging="567"/>
      </w:pPr>
      <w:r w:rsidRPr="008B5EBB">
        <w:rPr>
          <w:rStyle w:val="FootnoteReference"/>
        </w:rPr>
        <w:footnoteRef/>
      </w:r>
      <w:r w:rsidR="008B5EBB" w:rsidRPr="008B5EBB">
        <w:t xml:space="preserve"> </w:t>
      </w:r>
      <w:r w:rsidR="008B5EBB" w:rsidRPr="008B5EBB">
        <w:tab/>
      </w:r>
      <w:r w:rsidRPr="008B5EBB">
        <w:t>Ú. v. EÚ C 366, 27.10.2017, s. 7.</w:t>
      </w:r>
    </w:p>
  </w:footnote>
  <w:footnote w:id="6">
    <w:p w14:paraId="2D49487E" w14:textId="7BA87D6C" w:rsidR="004B0089" w:rsidRPr="008B5EBB" w:rsidRDefault="004B0089" w:rsidP="008B5EBB">
      <w:pPr>
        <w:pStyle w:val="FootnoteText"/>
        <w:ind w:left="567" w:hanging="567"/>
        <w:rPr>
          <w:sz w:val="24"/>
          <w:lang w:val="sk-SK"/>
        </w:rPr>
      </w:pPr>
      <w:r w:rsidRPr="008B5EBB">
        <w:rPr>
          <w:rStyle w:val="FootnoteReference"/>
          <w:sz w:val="24"/>
          <w:lang w:val="sk-SK"/>
        </w:rPr>
        <w:footnoteRef/>
      </w:r>
      <w:r w:rsidR="008B5EBB" w:rsidRPr="008B5EBB">
        <w:rPr>
          <w:sz w:val="24"/>
          <w:lang w:val="sk-SK"/>
        </w:rPr>
        <w:t xml:space="preserve"> </w:t>
      </w:r>
      <w:r w:rsidR="008B5EBB" w:rsidRPr="008B5EBB">
        <w:rPr>
          <w:sz w:val="24"/>
          <w:lang w:val="sk-SK"/>
        </w:rPr>
        <w:tab/>
      </w:r>
      <w:r w:rsidRPr="008B5EBB">
        <w:rPr>
          <w:sz w:val="24"/>
          <w:lang w:val="sk-SK"/>
        </w:rPr>
        <w:t>Ú. v. EÚ C 465, 6.12.2022, s. 171.</w:t>
      </w:r>
    </w:p>
  </w:footnote>
  <w:footnote w:id="7">
    <w:p w14:paraId="6F6ED60C" w14:textId="370431C4" w:rsidR="004B0089" w:rsidRPr="008B5EBB" w:rsidRDefault="004B0089" w:rsidP="008B5EBB">
      <w:pPr>
        <w:pStyle w:val="FootnoteText"/>
        <w:ind w:left="567" w:hanging="567"/>
        <w:rPr>
          <w:sz w:val="24"/>
          <w:lang w:val="sk-SK"/>
        </w:rPr>
      </w:pPr>
      <w:r w:rsidRPr="008B5EBB">
        <w:rPr>
          <w:rStyle w:val="FootnoteReference"/>
          <w:sz w:val="24"/>
          <w:lang w:val="sk-SK"/>
        </w:rPr>
        <w:footnoteRef/>
      </w:r>
      <w:r w:rsidR="008B5EBB" w:rsidRPr="008B5EBB">
        <w:rPr>
          <w:sz w:val="24"/>
          <w:lang w:val="sk-SK"/>
        </w:rPr>
        <w:t xml:space="preserve"> </w:t>
      </w:r>
      <w:r w:rsidR="008B5EBB" w:rsidRPr="008B5EBB">
        <w:rPr>
          <w:sz w:val="24"/>
          <w:lang w:val="sk-SK"/>
        </w:rPr>
        <w:tab/>
      </w:r>
      <w:r w:rsidRPr="008B5EBB">
        <w:rPr>
          <w:sz w:val="24"/>
          <w:lang w:val="sk-SK"/>
        </w:rPr>
        <w:t>Ú. v. EÚ L 45, 17.2.2018, s. </w:t>
      </w:r>
      <w:r w:rsidRPr="008B5EBB">
        <w:rPr>
          <w:sz w:val="24"/>
          <w:lang w:val="sk-SK"/>
        </w:rPr>
        <w:t xml:space="preserve">46, ELI: </w:t>
      </w:r>
      <w:hyperlink r:id="rId2" w:history="1">
        <w:r w:rsidR="007F2B72" w:rsidRPr="002F4187">
          <w:rPr>
            <w:rStyle w:val="Hyperlink"/>
            <w:sz w:val="24"/>
            <w:lang w:val="sk-SK"/>
          </w:rPr>
          <w:t>http://data.europa.eu/eli/agree_interinstit/2018/217/oj</w:t>
        </w:r>
      </w:hyperlink>
      <w:hyperlink w:history="1"/>
      <w:r w:rsidRPr="008B5EBB">
        <w:rPr>
          <w:sz w:val="24"/>
          <w:lang w:val="sk-SK"/>
        </w:rPr>
        <w:t>.</w:t>
      </w:r>
    </w:p>
  </w:footnote>
  <w:footnote w:id="8">
    <w:p w14:paraId="0A16871E" w14:textId="33904035" w:rsidR="004B0089" w:rsidRPr="008B5EBB" w:rsidRDefault="004B0089" w:rsidP="008B5EBB">
      <w:pPr>
        <w:pStyle w:val="FootnoteText"/>
        <w:ind w:left="567" w:hanging="567"/>
        <w:rPr>
          <w:sz w:val="24"/>
          <w:lang w:val="sk-SK"/>
        </w:rPr>
      </w:pPr>
      <w:r w:rsidRPr="008B5EBB">
        <w:rPr>
          <w:rStyle w:val="FootnoteReference"/>
          <w:sz w:val="24"/>
          <w:lang w:val="sk-SK"/>
        </w:rPr>
        <w:footnoteRef/>
      </w:r>
      <w:r w:rsidR="008B5EBB" w:rsidRPr="008B5EBB">
        <w:rPr>
          <w:sz w:val="24"/>
          <w:lang w:val="sk-SK"/>
        </w:rPr>
        <w:t xml:space="preserve"> </w:t>
      </w:r>
      <w:r w:rsidR="008B5EBB" w:rsidRPr="008B5EBB">
        <w:rPr>
          <w:sz w:val="24"/>
          <w:lang w:val="sk-SK"/>
        </w:rPr>
        <w:tab/>
      </w:r>
      <w:r w:rsidR="00637693" w:rsidRPr="00637693">
        <w:rPr>
          <w:sz w:val="24"/>
          <w:lang w:val="sk-SK"/>
        </w:rPr>
        <w:t xml:space="preserve">Rozhodnutie Rady 76/787/ESUO, EHS, </w:t>
      </w:r>
      <w:proofErr w:type="spellStart"/>
      <w:r w:rsidR="00637693" w:rsidRPr="00637693">
        <w:rPr>
          <w:sz w:val="24"/>
          <w:lang w:val="sk-SK"/>
        </w:rPr>
        <w:t>Euratom</w:t>
      </w:r>
      <w:proofErr w:type="spellEnd"/>
      <w:r w:rsidR="00637693" w:rsidRPr="00637693">
        <w:rPr>
          <w:sz w:val="24"/>
          <w:lang w:val="sk-SK"/>
        </w:rPr>
        <w:t xml:space="preserve"> z 20. septembra 1976 – rozhodnutie zástupcov členských štátov zasadajúcich v Rade týkajúce sa Aktu z 20. septembra 1976 o priamych a všeobecných voľbách poslancov Európskeho parlamentu (Ú. v. ES L 278, 8.10.1976, s. 1, ELI</w:t>
      </w:r>
      <w:r w:rsidRPr="008B5EBB">
        <w:rPr>
          <w:sz w:val="24"/>
          <w:lang w:val="sk-SK"/>
        </w:rPr>
        <w:t>: </w:t>
      </w:r>
      <w:hyperlink r:id="rId3" w:tooltip="Umožňuje prístup k tomuto dokumentu prostredníctvom identifikátora URI používaného v rámci ELI." w:history="1">
        <w:r w:rsidRPr="008B5EBB">
          <w:rPr>
            <w:rStyle w:val="Hyperlink"/>
            <w:sz w:val="24"/>
            <w:lang w:val="sk-SK"/>
          </w:rPr>
          <w:t>http://data.europa.eu/eli/dec/1976/787(1)/oj</w:t>
        </w:r>
      </w:hyperlink>
      <w:r w:rsidRPr="008B5EBB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47E2E" w14:textId="77777777" w:rsidR="00064002" w:rsidRPr="008B5E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8CF5" w14:textId="77777777" w:rsidR="00064002" w:rsidRPr="008B5E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5528D" w14:textId="77777777" w:rsidR="00064002" w:rsidRPr="008B5E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7541930">
    <w:abstractNumId w:val="9"/>
  </w:num>
  <w:num w:numId="2" w16cid:durableId="1138646479">
    <w:abstractNumId w:val="9"/>
  </w:num>
  <w:num w:numId="3" w16cid:durableId="2079160731">
    <w:abstractNumId w:val="7"/>
  </w:num>
  <w:num w:numId="4" w16cid:durableId="1593197041">
    <w:abstractNumId w:val="7"/>
  </w:num>
  <w:num w:numId="5" w16cid:durableId="1952585566">
    <w:abstractNumId w:val="6"/>
  </w:num>
  <w:num w:numId="6" w16cid:durableId="228880833">
    <w:abstractNumId w:val="6"/>
  </w:num>
  <w:num w:numId="7" w16cid:durableId="2089689444">
    <w:abstractNumId w:val="5"/>
  </w:num>
  <w:num w:numId="8" w16cid:durableId="976491384">
    <w:abstractNumId w:val="5"/>
  </w:num>
  <w:num w:numId="9" w16cid:durableId="408774577">
    <w:abstractNumId w:val="4"/>
  </w:num>
  <w:num w:numId="10" w16cid:durableId="1836452560">
    <w:abstractNumId w:val="4"/>
  </w:num>
  <w:num w:numId="11" w16cid:durableId="1694189789">
    <w:abstractNumId w:val="8"/>
  </w:num>
  <w:num w:numId="12" w16cid:durableId="55708073">
    <w:abstractNumId w:val="8"/>
  </w:num>
  <w:num w:numId="13" w16cid:durableId="1513031894">
    <w:abstractNumId w:val="3"/>
  </w:num>
  <w:num w:numId="14" w16cid:durableId="1076171510">
    <w:abstractNumId w:val="3"/>
  </w:num>
  <w:num w:numId="15" w16cid:durableId="313026275">
    <w:abstractNumId w:val="2"/>
  </w:num>
  <w:num w:numId="16" w16cid:durableId="1837915454">
    <w:abstractNumId w:val="2"/>
  </w:num>
  <w:num w:numId="17" w16cid:durableId="651446107">
    <w:abstractNumId w:val="1"/>
  </w:num>
  <w:num w:numId="18" w16cid:durableId="889996885">
    <w:abstractNumId w:val="1"/>
  </w:num>
  <w:num w:numId="19" w16cid:durableId="943920445">
    <w:abstractNumId w:val="0"/>
  </w:num>
  <w:num w:numId="20" w16cid:durableId="931359293">
    <w:abstractNumId w:val="0"/>
  </w:num>
  <w:num w:numId="21" w16cid:durableId="1664695239">
    <w:abstractNumId w:val="9"/>
  </w:num>
  <w:num w:numId="22" w16cid:durableId="1855877999">
    <w:abstractNumId w:val="7"/>
  </w:num>
  <w:num w:numId="23" w16cid:durableId="26681595">
    <w:abstractNumId w:val="6"/>
  </w:num>
  <w:num w:numId="24" w16cid:durableId="1642612118">
    <w:abstractNumId w:val="5"/>
  </w:num>
  <w:num w:numId="25" w16cid:durableId="854542896">
    <w:abstractNumId w:val="4"/>
  </w:num>
  <w:num w:numId="26" w16cid:durableId="1732465821">
    <w:abstractNumId w:val="8"/>
  </w:num>
  <w:num w:numId="27" w16cid:durableId="244072379">
    <w:abstractNumId w:val="3"/>
  </w:num>
  <w:num w:numId="28" w16cid:durableId="1073628022">
    <w:abstractNumId w:val="2"/>
  </w:num>
  <w:num w:numId="29" w16cid:durableId="1787119090">
    <w:abstractNumId w:val="1"/>
  </w:num>
  <w:num w:numId="30" w16cid:durableId="1115177344">
    <w:abstractNumId w:val="0"/>
  </w:num>
  <w:num w:numId="31" w16cid:durableId="343947402">
    <w:abstractNumId w:val="9"/>
  </w:num>
  <w:num w:numId="32" w16cid:durableId="1800227384">
    <w:abstractNumId w:val="7"/>
  </w:num>
  <w:num w:numId="33" w16cid:durableId="1383484625">
    <w:abstractNumId w:val="6"/>
  </w:num>
  <w:num w:numId="34" w16cid:durableId="213078453">
    <w:abstractNumId w:val="5"/>
  </w:num>
  <w:num w:numId="35" w16cid:durableId="1683507217">
    <w:abstractNumId w:val="4"/>
  </w:num>
  <w:num w:numId="36" w16cid:durableId="385838190">
    <w:abstractNumId w:val="8"/>
  </w:num>
  <w:num w:numId="37" w16cid:durableId="1667201680">
    <w:abstractNumId w:val="3"/>
  </w:num>
  <w:num w:numId="38" w16cid:durableId="145510373">
    <w:abstractNumId w:val="2"/>
  </w:num>
  <w:num w:numId="39" w16cid:durableId="887302860">
    <w:abstractNumId w:val="1"/>
  </w:num>
  <w:num w:numId="40" w16cid:durableId="1230264395">
    <w:abstractNumId w:val="0"/>
  </w:num>
  <w:num w:numId="41" w16cid:durableId="699359671">
    <w:abstractNumId w:val="10"/>
  </w:num>
  <w:num w:numId="42" w16cid:durableId="1062558695">
    <w:abstractNumId w:val="10"/>
  </w:num>
  <w:num w:numId="43" w16cid:durableId="1916890702">
    <w:abstractNumId w:val="10"/>
  </w:num>
  <w:num w:numId="44" w16cid:durableId="637609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SK"/>
    <w:docVar w:name="dvnumam" w:val="0"/>
    <w:docVar w:name="dvpe" w:val="778.275"/>
    <w:docVar w:name="dvrapporteur" w:val="Spravodajca: "/>
    <w:docVar w:name="dvtitre" w:val="Legislatívne uznesenie Európskeho parlamentu z xx. novembra 2025 o zmene európskeho aktu o voľbách umožňujúcej poslankyniam hlasovať na plenárnej schôdzi prostredníctvom zástupcu počas tehotenstva a po pôrode(2025/2195(INL) – 2025/0900(APP))"/>
  </w:docVars>
  <w:rsids>
    <w:rsidRoot w:val="0023242C"/>
    <w:rsid w:val="00002272"/>
    <w:rsid w:val="00064002"/>
    <w:rsid w:val="000677B9"/>
    <w:rsid w:val="000831BA"/>
    <w:rsid w:val="000954B0"/>
    <w:rsid w:val="000A42CC"/>
    <w:rsid w:val="000E7DD9"/>
    <w:rsid w:val="0010095E"/>
    <w:rsid w:val="00125B37"/>
    <w:rsid w:val="00187494"/>
    <w:rsid w:val="001F32AE"/>
    <w:rsid w:val="002116E3"/>
    <w:rsid w:val="00230C32"/>
    <w:rsid w:val="0023242C"/>
    <w:rsid w:val="002767FF"/>
    <w:rsid w:val="002B18FE"/>
    <w:rsid w:val="002B5493"/>
    <w:rsid w:val="002E1F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B0089"/>
    <w:rsid w:val="004C0004"/>
    <w:rsid w:val="004C5D52"/>
    <w:rsid w:val="005044D7"/>
    <w:rsid w:val="0050519A"/>
    <w:rsid w:val="005072A1"/>
    <w:rsid w:val="00514517"/>
    <w:rsid w:val="00545827"/>
    <w:rsid w:val="00560270"/>
    <w:rsid w:val="005C2568"/>
    <w:rsid w:val="005F1B17"/>
    <w:rsid w:val="006037C0"/>
    <w:rsid w:val="0063769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A29"/>
    <w:rsid w:val="007D1690"/>
    <w:rsid w:val="007E22AD"/>
    <w:rsid w:val="007F2B72"/>
    <w:rsid w:val="00817416"/>
    <w:rsid w:val="00842779"/>
    <w:rsid w:val="00865F67"/>
    <w:rsid w:val="00881A7B"/>
    <w:rsid w:val="008840E5"/>
    <w:rsid w:val="00887B3E"/>
    <w:rsid w:val="008B5EBB"/>
    <w:rsid w:val="008C2AC6"/>
    <w:rsid w:val="00927EAD"/>
    <w:rsid w:val="00930C23"/>
    <w:rsid w:val="0093193B"/>
    <w:rsid w:val="009509D8"/>
    <w:rsid w:val="00950B64"/>
    <w:rsid w:val="00981893"/>
    <w:rsid w:val="009A5DF2"/>
    <w:rsid w:val="009E60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B9E"/>
    <w:rsid w:val="00B558F0"/>
    <w:rsid w:val="00BA4FB8"/>
    <w:rsid w:val="00BD48FE"/>
    <w:rsid w:val="00BD7BD8"/>
    <w:rsid w:val="00BE6ADC"/>
    <w:rsid w:val="00C05BFE"/>
    <w:rsid w:val="00C23CD4"/>
    <w:rsid w:val="00C61C0C"/>
    <w:rsid w:val="00C941CB"/>
    <w:rsid w:val="00CB7303"/>
    <w:rsid w:val="00CC2357"/>
    <w:rsid w:val="00CF071A"/>
    <w:rsid w:val="00D058B8"/>
    <w:rsid w:val="00D254E6"/>
    <w:rsid w:val="00D47929"/>
    <w:rsid w:val="00D56C11"/>
    <w:rsid w:val="00D834A0"/>
    <w:rsid w:val="00D872DF"/>
    <w:rsid w:val="00D91E21"/>
    <w:rsid w:val="00D96A97"/>
    <w:rsid w:val="00DA7FCD"/>
    <w:rsid w:val="00E023E0"/>
    <w:rsid w:val="00E15281"/>
    <w:rsid w:val="00E365E1"/>
    <w:rsid w:val="00E820A4"/>
    <w:rsid w:val="00EB006A"/>
    <w:rsid w:val="00EB4772"/>
    <w:rsid w:val="00ED169E"/>
    <w:rsid w:val="00ED4235"/>
    <w:rsid w:val="00EF5CD7"/>
    <w:rsid w:val="00F04346"/>
    <w:rsid w:val="00F075DC"/>
    <w:rsid w:val="00F149E9"/>
    <w:rsid w:val="00F5112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42994"/>
  <w15:chartTrackingRefBased/>
  <w15:docId w15:val="{7D971348-8E89-4AAF-87B9-C0D39BFC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 BVI fnr,Footnotes refss,Footnote Reference Superscript,SUPERS,Footnote reference number,note TESI,EN Footnote Reference,Voetnootverwijzing,Times 10 Point,Exposant 3 Point,number,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B00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4B0089"/>
    <w:pPr>
      <w:spacing w:after="240"/>
    </w:pPr>
  </w:style>
  <w:style w:type="paragraph" w:customStyle="1" w:styleId="PageHeading">
    <w:name w:val="PageHeading"/>
    <w:basedOn w:val="Normal"/>
    <w:rsid w:val="004B00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4B0089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4B0089"/>
    <w:pPr>
      <w:spacing w:after="480"/>
      <w:jc w:val="center"/>
    </w:pPr>
  </w:style>
  <w:style w:type="paragraph" w:styleId="Header">
    <w:name w:val="header"/>
    <w:basedOn w:val="Normal"/>
    <w:link w:val="HeaderChar"/>
    <w:rsid w:val="004B0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0089"/>
    <w:rPr>
      <w:sz w:val="24"/>
      <w:lang w:val="sk-SK"/>
    </w:rPr>
  </w:style>
  <w:style w:type="paragraph" w:customStyle="1" w:styleId="EPFooter">
    <w:name w:val="EPFooter"/>
    <w:basedOn w:val="Normal"/>
    <w:rsid w:val="004B00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B0089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4B00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0089"/>
    <w:rPr>
      <w:lang w:val="sk-SK"/>
    </w:rPr>
  </w:style>
  <w:style w:type="paragraph" w:styleId="NoSpacing">
    <w:name w:val="No Spacing"/>
    <w:uiPriority w:val="1"/>
    <w:qFormat/>
    <w:rsid w:val="004B0089"/>
    <w:rPr>
      <w:rFonts w:asciiTheme="minorHAnsi" w:eastAsiaTheme="minorHAnsi" w:hAnsiTheme="minorHAnsi" w:cstheme="minorBidi"/>
      <w:sz w:val="22"/>
      <w:szCs w:val="22"/>
      <w:lang w:val="sk-SK" w:eastAsia="en-US"/>
    </w:rPr>
  </w:style>
  <w:style w:type="paragraph" w:customStyle="1" w:styleId="Normal12Hanging">
    <w:name w:val="Normal12Hanging"/>
    <w:basedOn w:val="Normal"/>
    <w:rsid w:val="004B0089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4B0089"/>
    <w:pPr>
      <w:ind w:left="720"/>
      <w:contextualSpacing/>
    </w:pPr>
  </w:style>
  <w:style w:type="character" w:styleId="Hyperlink">
    <w:name w:val="Hyperlink"/>
    <w:basedOn w:val="DefaultParagraphFont"/>
    <w:rsid w:val="004B0089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E152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5281"/>
    <w:rPr>
      <w:sz w:val="24"/>
      <w:lang w:val="sk-SK"/>
    </w:rPr>
  </w:style>
  <w:style w:type="paragraph" w:styleId="Revision">
    <w:name w:val="Revision"/>
    <w:hidden/>
    <w:uiPriority w:val="99"/>
    <w:semiHidden/>
    <w:rsid w:val="00E15281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7F2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1976/787(1)/oj" TargetMode="External"/><Relationship Id="rId2" Type="http://schemas.openxmlformats.org/officeDocument/2006/relationships/hyperlink" Target="http://data.europa.eu/eli/agree_interinstit/2018/217/oj" TargetMode="External"/><Relationship Id="rId1" Type="http://schemas.openxmlformats.org/officeDocument/2006/relationships/hyperlink" Target="http://data.europa.eu/eli/dec/2005/6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846</Words>
  <Characters>5155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PESA Karina</cp:lastModifiedBy>
  <cp:revision>2</cp:revision>
  <cp:lastPrinted>2004-11-19T15:42:00Z</cp:lastPrinted>
  <dcterms:created xsi:type="dcterms:W3CDTF">2026-01-16T07:35:00Z</dcterms:created>
  <dcterms:modified xsi:type="dcterms:W3CDTF">2026-01-16T07:35:00Z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P10_TA(2025)0257_</vt:lpwstr>
  </property>
  <property fmtid="{D5CDD505-2E9C-101B-9397-08002B2CF9AE}" pid="4" name="&lt;Type&gt;">
    <vt:lpwstr>RR</vt:lpwstr>
  </property>
</Properties>
</file>