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06F8" w14:paraId="6B4480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4B20B2" w14:textId="77777777" w:rsidR="00751A4A" w:rsidRPr="009B06F8" w:rsidRDefault="00BF10CF" w:rsidP="0010095E">
            <w:pPr>
              <w:pStyle w:val="EPName"/>
            </w:pPr>
            <w:r w:rsidRPr="009B06F8">
              <w:t>Europski parlament</w:t>
            </w:r>
          </w:p>
          <w:p w14:paraId="47324D04" w14:textId="77777777" w:rsidR="00751A4A" w:rsidRPr="009B06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06F8">
              <w:t>2024</w:t>
            </w:r>
            <w:r w:rsidR="00817416" w:rsidRPr="009B06F8">
              <w:t>-202</w:t>
            </w:r>
            <w:r w:rsidRPr="009B06F8">
              <w:t>9</w:t>
            </w:r>
          </w:p>
        </w:tc>
        <w:tc>
          <w:tcPr>
            <w:tcW w:w="2268" w:type="dxa"/>
            <w:shd w:val="clear" w:color="auto" w:fill="auto"/>
          </w:tcPr>
          <w:p w14:paraId="6FC17222" w14:textId="77777777" w:rsidR="00751A4A" w:rsidRPr="009B06F8" w:rsidRDefault="00187494" w:rsidP="0010095E">
            <w:pPr>
              <w:pStyle w:val="EPLogo"/>
            </w:pPr>
            <w:r w:rsidRPr="009B06F8">
              <w:rPr>
                <w:noProof/>
                <w:lang w:eastAsia="ja-JP"/>
              </w:rPr>
              <w:drawing>
                <wp:inline distT="0" distB="0" distL="0" distR="0" wp14:anchorId="7BE266E7" wp14:editId="3792A8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0F363C" w14:textId="77777777" w:rsidR="00D058B8" w:rsidRPr="009B06F8" w:rsidRDefault="00D058B8" w:rsidP="004C5D52">
      <w:pPr>
        <w:pStyle w:val="LineTop"/>
      </w:pPr>
    </w:p>
    <w:p w14:paraId="68A060F4" w14:textId="77777777" w:rsidR="00680577" w:rsidRPr="009B06F8" w:rsidRDefault="00BF10CF" w:rsidP="00680577">
      <w:pPr>
        <w:pStyle w:val="EPBodyTA1"/>
      </w:pPr>
      <w:r w:rsidRPr="009B06F8">
        <w:t>USVOJENI TEKSTOVI</w:t>
      </w:r>
    </w:p>
    <w:p w14:paraId="6BB46394" w14:textId="77777777" w:rsidR="00D058B8" w:rsidRPr="009B06F8" w:rsidRDefault="00D058B8" w:rsidP="00D058B8">
      <w:pPr>
        <w:pStyle w:val="LineBottom"/>
      </w:pPr>
    </w:p>
    <w:p w14:paraId="025D1709" w14:textId="0F41422E" w:rsidR="00BF10CF" w:rsidRPr="009B06F8" w:rsidRDefault="00BF10CF" w:rsidP="00BF10CF">
      <w:pPr>
        <w:pStyle w:val="ATHeading1"/>
      </w:pPr>
      <w:bookmarkStart w:id="0" w:name="TANumber"/>
      <w:r w:rsidRPr="009B06F8">
        <w:t>P10_TA(2025)0</w:t>
      </w:r>
      <w:r w:rsidR="00B025B1" w:rsidRPr="009B06F8">
        <w:t>258</w:t>
      </w:r>
      <w:bookmarkEnd w:id="0"/>
    </w:p>
    <w:p w14:paraId="484967E5" w14:textId="77777777" w:rsidR="00BF10CF" w:rsidRPr="009B06F8" w:rsidRDefault="00BF10CF" w:rsidP="00BF10CF">
      <w:pPr>
        <w:pStyle w:val="ATHeading2"/>
      </w:pPr>
      <w:bookmarkStart w:id="1" w:name="title"/>
      <w:r w:rsidRPr="009B06F8">
        <w:t>Rješavanje problema transnacionalne represije nad borcima za ljudska prava</w:t>
      </w:r>
      <w:bookmarkEnd w:id="1"/>
    </w:p>
    <w:p w14:paraId="43239BCD" w14:textId="77777777" w:rsidR="00BF10CF" w:rsidRPr="009B06F8" w:rsidRDefault="00BF10CF" w:rsidP="00BF10CF">
      <w:pPr>
        <w:rPr>
          <w:i/>
          <w:vanish/>
        </w:rPr>
      </w:pPr>
      <w:r w:rsidRPr="009B06F8">
        <w:rPr>
          <w:i/>
        </w:rPr>
        <w:fldChar w:fldCharType="begin"/>
      </w:r>
      <w:r w:rsidRPr="009B06F8">
        <w:rPr>
          <w:i/>
        </w:rPr>
        <w:instrText xml:space="preserve"> TC"(</w:instrText>
      </w:r>
      <w:bookmarkStart w:id="2" w:name="DocNumber"/>
      <w:r w:rsidRPr="009B06F8">
        <w:rPr>
          <w:i/>
        </w:rPr>
        <w:instrText>A10-0206/2025</w:instrText>
      </w:r>
      <w:bookmarkEnd w:id="2"/>
      <w:r w:rsidRPr="009B06F8">
        <w:rPr>
          <w:i/>
        </w:rPr>
        <w:instrText xml:space="preserve"> - Izvjestiteljica: </w:instrText>
      </w:r>
      <w:proofErr w:type="spellStart"/>
      <w:r w:rsidRPr="009B06F8">
        <w:rPr>
          <w:i/>
        </w:rPr>
        <w:instrText>Chloé</w:instrText>
      </w:r>
      <w:proofErr w:type="spellEnd"/>
      <w:r w:rsidRPr="009B06F8">
        <w:rPr>
          <w:i/>
        </w:rPr>
        <w:instrText xml:space="preserve"> </w:instrText>
      </w:r>
      <w:proofErr w:type="spellStart"/>
      <w:r w:rsidRPr="009B06F8">
        <w:rPr>
          <w:i/>
        </w:rPr>
        <w:instrText>Ridel</w:instrText>
      </w:r>
      <w:proofErr w:type="spellEnd"/>
      <w:r w:rsidRPr="009B06F8">
        <w:rPr>
          <w:i/>
        </w:rPr>
        <w:instrText xml:space="preserve">)"\l3 \n&gt; \* MERGEFORMAT </w:instrText>
      </w:r>
      <w:r w:rsidRPr="009B06F8">
        <w:rPr>
          <w:i/>
        </w:rPr>
        <w:fldChar w:fldCharType="end"/>
      </w:r>
    </w:p>
    <w:p w14:paraId="481CEF9F" w14:textId="77777777" w:rsidR="00BF10CF" w:rsidRPr="009B06F8" w:rsidRDefault="00BF10CF" w:rsidP="00BF10CF">
      <w:pPr>
        <w:rPr>
          <w:vanish/>
        </w:rPr>
      </w:pPr>
      <w:bookmarkStart w:id="3" w:name="Commission"/>
      <w:r w:rsidRPr="009B06F8">
        <w:rPr>
          <w:vanish/>
        </w:rPr>
        <w:t>Odbor za vanjske poslove</w:t>
      </w:r>
      <w:bookmarkEnd w:id="3"/>
    </w:p>
    <w:p w14:paraId="19219309" w14:textId="77777777" w:rsidR="00BF10CF" w:rsidRPr="009B06F8" w:rsidRDefault="00BF10CF" w:rsidP="00BF10CF">
      <w:pPr>
        <w:rPr>
          <w:vanish/>
        </w:rPr>
      </w:pPr>
      <w:bookmarkStart w:id="4" w:name="PE"/>
      <w:r w:rsidRPr="009B06F8">
        <w:rPr>
          <w:vanish/>
        </w:rPr>
        <w:t>PE774.242</w:t>
      </w:r>
      <w:bookmarkEnd w:id="4"/>
    </w:p>
    <w:p w14:paraId="381285CE" w14:textId="5CA8C9FA" w:rsidR="00BF10CF" w:rsidRPr="009B06F8" w:rsidRDefault="00BF10CF" w:rsidP="00BF10CF">
      <w:pPr>
        <w:pStyle w:val="ATHeading3"/>
      </w:pPr>
      <w:bookmarkStart w:id="5" w:name="Sujet"/>
      <w:r w:rsidRPr="009B06F8">
        <w:t xml:space="preserve">Rezolucija Europskog parlamenta od </w:t>
      </w:r>
      <w:r w:rsidR="0090256D" w:rsidRPr="009B06F8">
        <w:t>13</w:t>
      </w:r>
      <w:r w:rsidRPr="009B06F8">
        <w:t xml:space="preserve">. </w:t>
      </w:r>
      <w:r w:rsidR="0090256D" w:rsidRPr="009B06F8">
        <w:t xml:space="preserve">studenoga </w:t>
      </w:r>
      <w:r w:rsidRPr="009B06F8">
        <w:t>2025. o rješavanju problema transnacionalne represije nad borcima za ljudska prava</w:t>
      </w:r>
      <w:bookmarkEnd w:id="5"/>
      <w:r w:rsidRPr="009B06F8">
        <w:t xml:space="preserve"> </w:t>
      </w:r>
      <w:bookmarkStart w:id="6" w:name="References"/>
      <w:r w:rsidRPr="009B06F8">
        <w:t>(2025/2048(INI))</w:t>
      </w:r>
      <w:bookmarkEnd w:id="6"/>
    </w:p>
    <w:p w14:paraId="67DF28A7" w14:textId="77777777" w:rsidR="005701A3" w:rsidRPr="009B06F8" w:rsidRDefault="005701A3" w:rsidP="005701A3">
      <w:pPr>
        <w:pStyle w:val="EPComma"/>
        <w:rPr>
          <w:i/>
          <w:iCs/>
        </w:rPr>
      </w:pPr>
      <w:r w:rsidRPr="009B06F8">
        <w:rPr>
          <w:i/>
        </w:rPr>
        <w:t>Europski parlament,</w:t>
      </w:r>
    </w:p>
    <w:p w14:paraId="77278EB8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t>–</w:t>
      </w:r>
      <w:r w:rsidRPr="009B06F8">
        <w:tab/>
      </w:r>
      <w:r w:rsidRPr="009B06F8">
        <w:rPr>
          <w:snapToGrid w:val="0"/>
        </w:rPr>
        <w:t xml:space="preserve">uzimajući u obzir Deklaraciju UN-a o borcima za ljudska prava i Rezoluciju Vijeća UN-a za ljudska prava od 4. travnja 2025. naslovljenu „Human </w:t>
      </w:r>
      <w:proofErr w:type="spellStart"/>
      <w:r w:rsidRPr="009B06F8">
        <w:rPr>
          <w:snapToGrid w:val="0"/>
        </w:rPr>
        <w:t>rights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defenders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and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new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and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emerging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technologies</w:t>
      </w:r>
      <w:proofErr w:type="spellEnd"/>
      <w:r w:rsidRPr="009B06F8">
        <w:rPr>
          <w:snapToGrid w:val="0"/>
        </w:rPr>
        <w:t xml:space="preserve">: </w:t>
      </w:r>
      <w:proofErr w:type="spellStart"/>
      <w:r w:rsidRPr="009B06F8">
        <w:rPr>
          <w:snapToGrid w:val="0"/>
        </w:rPr>
        <w:t>protecting</w:t>
      </w:r>
      <w:proofErr w:type="spellEnd"/>
      <w:r w:rsidRPr="009B06F8">
        <w:rPr>
          <w:snapToGrid w:val="0"/>
        </w:rPr>
        <w:t xml:space="preserve"> human </w:t>
      </w:r>
      <w:proofErr w:type="spellStart"/>
      <w:r w:rsidRPr="009B06F8">
        <w:rPr>
          <w:snapToGrid w:val="0"/>
        </w:rPr>
        <w:t>rights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defenders</w:t>
      </w:r>
      <w:proofErr w:type="spellEnd"/>
      <w:r w:rsidRPr="009B06F8">
        <w:rPr>
          <w:snapToGrid w:val="0"/>
        </w:rPr>
        <w:t xml:space="preserve">, </w:t>
      </w:r>
      <w:proofErr w:type="spellStart"/>
      <w:r w:rsidRPr="009B06F8">
        <w:rPr>
          <w:snapToGrid w:val="0"/>
        </w:rPr>
        <w:t>including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women</w:t>
      </w:r>
      <w:proofErr w:type="spellEnd"/>
      <w:r w:rsidRPr="009B06F8">
        <w:rPr>
          <w:snapToGrid w:val="0"/>
        </w:rPr>
        <w:t xml:space="preserve"> human </w:t>
      </w:r>
      <w:proofErr w:type="spellStart"/>
      <w:r w:rsidRPr="009B06F8">
        <w:rPr>
          <w:snapToGrid w:val="0"/>
        </w:rPr>
        <w:t>rights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defenders</w:t>
      </w:r>
      <w:proofErr w:type="spellEnd"/>
      <w:r w:rsidRPr="009B06F8">
        <w:rPr>
          <w:snapToGrid w:val="0"/>
        </w:rPr>
        <w:t xml:space="preserve">, </w:t>
      </w:r>
      <w:proofErr w:type="spellStart"/>
      <w:r w:rsidRPr="009B06F8">
        <w:rPr>
          <w:snapToGrid w:val="0"/>
        </w:rPr>
        <w:t>in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the</w:t>
      </w:r>
      <w:proofErr w:type="spellEnd"/>
      <w:r w:rsidRPr="009B06F8">
        <w:rPr>
          <w:snapToGrid w:val="0"/>
        </w:rPr>
        <w:t xml:space="preserve"> </w:t>
      </w:r>
      <w:proofErr w:type="spellStart"/>
      <w:r w:rsidRPr="009B06F8">
        <w:rPr>
          <w:snapToGrid w:val="0"/>
        </w:rPr>
        <w:t>digital</w:t>
      </w:r>
      <w:proofErr w:type="spellEnd"/>
      <w:r w:rsidRPr="009B06F8">
        <w:rPr>
          <w:snapToGrid w:val="0"/>
        </w:rPr>
        <w:t xml:space="preserve"> age” (Borci za ljudska prava te nove tehnologije i tehnologije u nastajanju: zaštita boraca za ljudska prava, uključujući borkinje za ljudska prava, u digitalnom dobu),</w:t>
      </w:r>
    </w:p>
    <w:p w14:paraId="439B12F1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t>–</w:t>
      </w:r>
      <w:r w:rsidRPr="009B06F8">
        <w:tab/>
      </w:r>
      <w:r w:rsidRPr="009B06F8">
        <w:rPr>
          <w:snapToGrid w:val="0"/>
        </w:rPr>
        <w:t>uzimajući u obzir Ugovor o Europskoj uniji, a posebno njegove članke 3. i 21.,</w:t>
      </w:r>
    </w:p>
    <w:p w14:paraId="2F32892F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t>–</w:t>
      </w:r>
      <w:r w:rsidRPr="009B06F8">
        <w:tab/>
      </w:r>
      <w:r w:rsidRPr="009B06F8">
        <w:rPr>
          <w:snapToGrid w:val="0"/>
        </w:rPr>
        <w:t>uzimajući u obzir Povelju Europske unije o temeljnim pravima,</w:t>
      </w:r>
    </w:p>
    <w:p w14:paraId="40C59D8D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t>–</w:t>
      </w:r>
      <w:r w:rsidRPr="009B06F8">
        <w:tab/>
      </w:r>
      <w:r w:rsidRPr="009B06F8">
        <w:rPr>
          <w:snapToGrid w:val="0"/>
        </w:rPr>
        <w:t>uzimajući u obzir smjernice EU-a o borcima za ljudska prava usvojene u lipnju 2004. i svoju Rezoluciju od 16. ožujka 2023. o smjernicama EU-a o borcima za ljudska prava</w:t>
      </w:r>
      <w:r w:rsidRPr="009B06F8">
        <w:rPr>
          <w:rStyle w:val="FootnoteReference"/>
          <w:noProof/>
          <w:snapToGrid w:val="0"/>
          <w:lang w:eastAsia="en-US"/>
        </w:rPr>
        <w:footnoteReference w:id="1"/>
      </w:r>
      <w:r w:rsidRPr="009B06F8">
        <w:rPr>
          <w:snapToGrid w:val="0"/>
        </w:rPr>
        <w:t>,</w:t>
      </w:r>
    </w:p>
    <w:p w14:paraId="7839FD04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>uzimajući u obzir zaključke Vijeća o prioritetima EU-a na forumima UN-a za ljudska prava za 2025., usvojene 27. siječnja 2025.,</w:t>
      </w:r>
    </w:p>
    <w:p w14:paraId="63AC77A4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>uzimajući u obzir Akcijski plan EU-a za ljudska prava i demokraciju za razdoblje od 2020. do 2024., koji je produljen do 2027.,</w:t>
      </w:r>
    </w:p>
    <w:p w14:paraId="6A76ABB6" w14:textId="0D9370D5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>uzimajući u obzir</w:t>
      </w:r>
      <w:r w:rsidRPr="009B06F8">
        <w:t xml:space="preserve"> Uredbu (EU) 2022/2065 Europskog parlamenta i Vijeća od 19. listopada 2022. o jedinstvenom tržištu digitalnih usluga i izmjeni Direktive 2000/31/EZ (</w:t>
      </w:r>
      <w:r w:rsidRPr="009B06F8">
        <w:rPr>
          <w:snapToGrid w:val="0"/>
        </w:rPr>
        <w:t>Akt o digitalnim uslugama)</w:t>
      </w:r>
      <w:r w:rsidR="00452A92" w:rsidRPr="009B06F8">
        <w:rPr>
          <w:rStyle w:val="FootnoteReference"/>
          <w:noProof/>
          <w:snapToGrid w:val="0"/>
          <w:lang w:eastAsia="en-US"/>
        </w:rPr>
        <w:footnoteReference w:id="2"/>
      </w:r>
      <w:r w:rsidRPr="009B06F8">
        <w:rPr>
          <w:snapToGrid w:val="0"/>
        </w:rPr>
        <w:t>,</w:t>
      </w:r>
    </w:p>
    <w:p w14:paraId="65A65CDA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>uzimajući u obzir</w:t>
      </w:r>
      <w:r w:rsidRPr="009B06F8">
        <w:t xml:space="preserve"> Direktivu (EU) 2024/1760 Europskog parlamenta i Vijeća od 13. lipnja 2024. o dužnoj pažnji za održivo poslovanje i izmjeni Direktive (EU) </w:t>
      </w:r>
      <w:r w:rsidRPr="009B06F8">
        <w:lastRenderedPageBreak/>
        <w:t>2019/1937 te Uredbe (EU) 2023/2859</w:t>
      </w:r>
      <w:r w:rsidRPr="009B06F8">
        <w:rPr>
          <w:rStyle w:val="FootnoteReference"/>
          <w:noProof/>
          <w:snapToGrid w:val="0"/>
          <w:lang w:eastAsia="en-US"/>
        </w:rPr>
        <w:footnoteReference w:id="3"/>
      </w:r>
      <w:r w:rsidRPr="009B06F8">
        <w:rPr>
          <w:snapToGrid w:val="0"/>
        </w:rPr>
        <w:t>,</w:t>
      </w:r>
    </w:p>
    <w:p w14:paraId="3A44FB13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>uzimajući u obzir godišnje izvješće Komisije o ljudskim pravima i demokraciji u svijetu za 2024. koje je sastavila Visoka predstavnica Unije za vanjske poslove i sigurnosnu politiku,</w:t>
      </w:r>
    </w:p>
    <w:p w14:paraId="0360E69E" w14:textId="77777777" w:rsidR="005701A3" w:rsidRPr="009B06F8" w:rsidRDefault="005701A3" w:rsidP="005701A3">
      <w:pPr>
        <w:pStyle w:val="NormalHanging12a"/>
        <w:tabs>
          <w:tab w:val="left" w:pos="3063"/>
        </w:tabs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 xml:space="preserve">uzimajući u obzir izvješće o istrazi navodnih kršenja i nepravilnosti u primjeni prava Unije u pogledu uporabe </w:t>
      </w:r>
      <w:proofErr w:type="spellStart"/>
      <w:r w:rsidRPr="009B06F8">
        <w:rPr>
          <w:snapToGrid w:val="0"/>
        </w:rPr>
        <w:t>Pegasusa</w:t>
      </w:r>
      <w:proofErr w:type="spellEnd"/>
      <w:r w:rsidRPr="009B06F8">
        <w:rPr>
          <w:snapToGrid w:val="0"/>
        </w:rPr>
        <w:t xml:space="preserve"> i ekvivalentnog špijunskog softvera za nadzor,</w:t>
      </w:r>
    </w:p>
    <w:p w14:paraId="377BDF4A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 xml:space="preserve">uzimajući u obzir izjavu čelnika skupine G7 o transnacionalnoj represiji od 17. lipnja 2025. i </w:t>
      </w:r>
      <w:proofErr w:type="spellStart"/>
      <w:r w:rsidRPr="009B06F8">
        <w:rPr>
          <w:snapToGrid w:val="0"/>
        </w:rPr>
        <w:t>višedionički</w:t>
      </w:r>
      <w:proofErr w:type="spellEnd"/>
      <w:r w:rsidRPr="009B06F8">
        <w:rPr>
          <w:snapToGrid w:val="0"/>
        </w:rPr>
        <w:t xml:space="preserve"> dijalog skupine G7 o transnacionalnoj represiji iz veljače 2025.,</w:t>
      </w:r>
    </w:p>
    <w:p w14:paraId="2631F3F3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–</w:t>
      </w:r>
      <w:r w:rsidRPr="009B06F8">
        <w:rPr>
          <w:snapToGrid w:val="0"/>
        </w:rPr>
        <w:tab/>
        <w:t>uzimajući u obzir studiju Glavne uprave za vanjsku politiku Unije iz lipnja 2025. naslovljenu „Transnacionalna represija nad braniteljima ljudskih prava: utjecaj na građanski prostor i odgovornost država domaćina”,</w:t>
      </w:r>
    </w:p>
    <w:p w14:paraId="6568717D" w14:textId="77777777" w:rsidR="005701A3" w:rsidRPr="009B06F8" w:rsidRDefault="005701A3" w:rsidP="005701A3">
      <w:pPr>
        <w:pStyle w:val="NormalHanging12a"/>
      </w:pPr>
      <w:r w:rsidRPr="009B06F8">
        <w:t>–</w:t>
      </w:r>
      <w:r w:rsidRPr="009B06F8">
        <w:tab/>
        <w:t>uzimajući u obzir članak 55. Poslovnika,</w:t>
      </w:r>
    </w:p>
    <w:p w14:paraId="72D6BBCC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t>–</w:t>
      </w:r>
      <w:r w:rsidRPr="009B06F8">
        <w:tab/>
        <w:t>uzimajući u obzir izvješće Odbora za vanjske poslove (A10</w:t>
      </w:r>
      <w:r w:rsidRPr="009B06F8">
        <w:noBreakHyphen/>
        <w:t>0206/2025),</w:t>
      </w:r>
    </w:p>
    <w:p w14:paraId="32EF76D3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rPr>
          <w:snapToGrid w:val="0"/>
        </w:rPr>
        <w:t>A.</w:t>
      </w:r>
      <w:r w:rsidRPr="009B06F8">
        <w:rPr>
          <w:snapToGrid w:val="0"/>
        </w:rPr>
        <w:tab/>
      </w:r>
      <w:r w:rsidRPr="009B06F8">
        <w:t>budući da je transnacionalna represija dobro dokumentirana pojava koja je prisutna u globalnom kontekstu pogoršanja ljudskih prava, smanjenja građanskog prostora i sve veće raširenosti sve represivnijih i nametljivijih autoritarnih režima;</w:t>
      </w:r>
    </w:p>
    <w:p w14:paraId="27AE3DEB" w14:textId="134602DC" w:rsidR="005701A3" w:rsidRPr="009B06F8" w:rsidRDefault="005701A3" w:rsidP="005701A3">
      <w:pPr>
        <w:pStyle w:val="NormalHanging12a"/>
        <w:rPr>
          <w:noProof/>
        </w:rPr>
      </w:pPr>
      <w:r w:rsidRPr="009B06F8">
        <w:rPr>
          <w:snapToGrid w:val="0"/>
        </w:rPr>
        <w:t>B.</w:t>
      </w:r>
      <w:r w:rsidRPr="009B06F8">
        <w:rPr>
          <w:snapToGrid w:val="0"/>
        </w:rPr>
        <w:tab/>
      </w:r>
      <w:r w:rsidRPr="009B06F8">
        <w:t xml:space="preserve">budući da ne postoji općeprihvaćena definicija transnacionalne represije i da su službeni podaci ograničeni, što ometa borbu protiv te pojave; budući da prema podacima organizacije </w:t>
      </w:r>
      <w:proofErr w:type="spellStart"/>
      <w:r w:rsidRPr="009B06F8">
        <w:t>Freedom</w:t>
      </w:r>
      <w:proofErr w:type="spellEnd"/>
      <w:r w:rsidRPr="009B06F8">
        <w:t xml:space="preserve"> House u razdoblju od 2014. do 2024. više od 25 % svjetskih vlada sudjelovalo je u transnacionalnoj represiji, s 1219 izravnih fizičkih incidenata u 103 ciljnih država; budući da je deset režima odgovorno za gotovo 80 % svih transnacionalnih slučajeva represije, a to su Kina, Turska, Tadžikistan, Rusija, Egipat, Kambodža, Turkmenistan, Uzbekistan, Iran i </w:t>
      </w:r>
      <w:proofErr w:type="spellStart"/>
      <w:r w:rsidRPr="009B06F8">
        <w:t>Bjelarus</w:t>
      </w:r>
      <w:proofErr w:type="spellEnd"/>
      <w:r w:rsidRPr="009B06F8">
        <w:t xml:space="preserve">; budući da su države u drugim regijama, kao što su </w:t>
      </w:r>
      <w:r w:rsidR="00834AD9" w:rsidRPr="009B06F8">
        <w:t xml:space="preserve">Kuba, </w:t>
      </w:r>
      <w:r w:rsidRPr="009B06F8">
        <w:t>Nikaragva i Venezuela u Latinskoj Americi, Saudijska Arabija u Perzijskom zaljevu i Eritreja u Africi, također zabilježene kao počinitelji transnacionalne represije;</w:t>
      </w:r>
    </w:p>
    <w:p w14:paraId="628A1BDD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rPr>
          <w:snapToGrid w:val="0"/>
        </w:rPr>
        <w:t>C.</w:t>
      </w:r>
      <w:r w:rsidRPr="009B06F8">
        <w:rPr>
          <w:snapToGrid w:val="0"/>
        </w:rPr>
        <w:tab/>
      </w:r>
      <w:r w:rsidRPr="009B06F8">
        <w:t>budući da se u Deklaraciji UN-a o borcima za ljudska prava oni definiraju kao pojedinci ili skupine čije je djelovanje usmjereno na promicanje ili zaštitu ljudskih prava i temeljnih sloboda ili nastojanje da se oni zaštite i ostvare na nacionalnoj i međunarodnoj razini i koji se pritom služe mirnim sredstvima;</w:t>
      </w:r>
    </w:p>
    <w:p w14:paraId="675BCFAA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rPr>
          <w:snapToGrid w:val="0"/>
        </w:rPr>
        <w:t>D.</w:t>
      </w:r>
      <w:r w:rsidRPr="009B06F8">
        <w:rPr>
          <w:snapToGrid w:val="0"/>
        </w:rPr>
        <w:tab/>
        <w:t>budući da su borci za ljudska prava ključni saveznici EU-a u obrani i promicanju ljudskih prava, demokracije i vladavine prava te u upozoravanju na kršenja tih prava; budući da se smjernice EU-a o borcima za ljudska prava i s njima povezane obaveze i dalje provode neujednačeno;</w:t>
      </w:r>
    </w:p>
    <w:p w14:paraId="483A998E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E.</w:t>
      </w:r>
      <w:r w:rsidRPr="009B06F8">
        <w:rPr>
          <w:snapToGrid w:val="0"/>
        </w:rPr>
        <w:tab/>
        <w:t>budući da borcima za ljudska prava diljem svijeta prijeti transnacionalna represija, pri čemu je posljednjih godina zabilježen sve veći broj slučajeva; budući da mnogi slučajevi ostaju neregistrirani zbog straha ili daljnje odmazde;</w:t>
      </w:r>
    </w:p>
    <w:p w14:paraId="0B21AC8A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F.</w:t>
      </w:r>
      <w:r w:rsidRPr="009B06F8">
        <w:rPr>
          <w:snapToGrid w:val="0"/>
        </w:rPr>
        <w:tab/>
        <w:t xml:space="preserve">budući da transnacionalna represija često ugrožava sigurnost, suverenost i pravni poredak država domaćina te predstavlja sustavne prijetnje prostoru za građansko </w:t>
      </w:r>
      <w:r w:rsidRPr="009B06F8">
        <w:rPr>
          <w:snapToGrid w:val="0"/>
        </w:rPr>
        <w:lastRenderedPageBreak/>
        <w:t>djelovanje, demokratskim institucijama i vladavini prava na međunarodnoj razini i unutar dotične države, što je vidljivo iz izvješća obavještajnih službi država članica i zemalja sličnih stavova;</w:t>
      </w:r>
    </w:p>
    <w:p w14:paraId="25E4D658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G.</w:t>
      </w:r>
      <w:r w:rsidRPr="009B06F8">
        <w:rPr>
          <w:snapToGrid w:val="0"/>
        </w:rPr>
        <w:tab/>
        <w:t>budući da su, unatoč sve većoj osviještenosti o postojanju i razmjerima transnacionalne represije, odgovori vanjske i unutarnje politike EU-a na nju i dalje ograničeni i rascjepkani, što dovodi do zabrinjavajućeg nedostatka u zaštiti ugroženih boraca za ljudska prava;</w:t>
      </w:r>
    </w:p>
    <w:p w14:paraId="56FFA7E3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H.</w:t>
      </w:r>
      <w:r w:rsidRPr="009B06F8">
        <w:rPr>
          <w:snapToGrid w:val="0"/>
        </w:rPr>
        <w:tab/>
        <w:t xml:space="preserve">budući da su nove tehnologije, posebno špijunski softveri kao što je </w:t>
      </w:r>
      <w:proofErr w:type="spellStart"/>
      <w:r w:rsidRPr="009B06F8">
        <w:rPr>
          <w:snapToGrid w:val="0"/>
        </w:rPr>
        <w:t>Pegasus</w:t>
      </w:r>
      <w:proofErr w:type="spellEnd"/>
      <w:r w:rsidRPr="009B06F8">
        <w:rPr>
          <w:snapToGrid w:val="0"/>
        </w:rPr>
        <w:t>, ključan alat moderne transnacionalne represije, koji vlade koriste za špijuniranje i nadzor boraca za ljudska prava;</w:t>
      </w:r>
    </w:p>
    <w:p w14:paraId="28D898F7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I.</w:t>
      </w:r>
      <w:r w:rsidRPr="009B06F8">
        <w:rPr>
          <w:snapToGrid w:val="0"/>
        </w:rPr>
        <w:tab/>
        <w:t>budući da društveni mediji i druge digitalne platforme pružaju poticajno okruženje za transnacionalnu represiju, među ostalim u obliku hakerskih napada, uznemiravanja na internetu, zastrašivanja i klevete te kampanja dezinformiranja, koje su duboko isprepletene s tradicionalnim metodama transnacionalne represije nad borcima za ljudska prava;</w:t>
      </w:r>
    </w:p>
    <w:p w14:paraId="18710BFB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J.</w:t>
      </w:r>
      <w:r w:rsidRPr="009B06F8">
        <w:rPr>
          <w:snapToGrid w:val="0"/>
        </w:rPr>
        <w:tab/>
        <w:t>budući da digitalna transnacionalna represija sve više iskorištava dvojnu namjenu internetskih tehnologija, uključujući društvene medije i digitalne platforme, koje služe kao ključni javni prostori za organizacije civilnog društva, borce za ljudska prava, novinare, odvjetnike, blogere i druge neovisne glasove kako bi razotkrili zlostavljanja i zagovarali temeljne slobode; budući da autoritarni akteri nastoje poplaviti, pratiti, ušutkati te platforme ili manipulirati njima uznemiravanjem, dezinformacijama i nadzorom; budući da su neka tehnološka poduzeća ponekad imala pasivnu ili čak aktivnu ulogu u olakšavanju digitalne represije, čime su postala važni pokretači transnacionalne represije;</w:t>
      </w:r>
    </w:p>
    <w:p w14:paraId="43E56444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K.</w:t>
      </w:r>
      <w:r w:rsidRPr="009B06F8">
        <w:rPr>
          <w:snapToGrid w:val="0"/>
        </w:rPr>
        <w:tab/>
        <w:t>budući da je potrebna povećana transparentnost u pogledu načina na koji tehnološka poduzeća odgovaraju na zahtjeve vlade za uklanjanje sadržaja ili pristup informacijama o korisnicima;</w:t>
      </w:r>
    </w:p>
    <w:p w14:paraId="52445480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L.</w:t>
      </w:r>
      <w:r w:rsidRPr="009B06F8">
        <w:rPr>
          <w:snapToGrid w:val="0"/>
        </w:rPr>
        <w:tab/>
        <w:t xml:space="preserve">budući da se borkinje za ljudska prava u egzilu i dijaspori suočavaju s rodno specifičnim oblicima transnacionalne represije, kao što su rodno uvjetovano uznemiravanje, zlostavljanje i zastrašivanje, što dovodi do stigmatizacije i društvene izolacije; budući da se rodno uvjetovana digitalna transnacionalna represija događa kada državni akteri i akteri povezani s državom upotrebljavaju digitalne tehnologije i koriste rod i </w:t>
      </w:r>
      <w:proofErr w:type="spellStart"/>
      <w:r w:rsidRPr="009B06F8">
        <w:rPr>
          <w:snapToGrid w:val="0"/>
        </w:rPr>
        <w:t>mizoginiju</w:t>
      </w:r>
      <w:proofErr w:type="spellEnd"/>
      <w:r w:rsidRPr="009B06F8">
        <w:rPr>
          <w:snapToGrid w:val="0"/>
        </w:rPr>
        <w:t xml:space="preserve"> kao sredstvo represije nad borkinjama za ljudska prava koje borave izvan svojih zemalja podrijetla;</w:t>
      </w:r>
    </w:p>
    <w:p w14:paraId="226A9D80" w14:textId="77777777" w:rsidR="005701A3" w:rsidRPr="009B06F8" w:rsidRDefault="005701A3" w:rsidP="005701A3">
      <w:pPr>
        <w:pStyle w:val="NormalHanging12a"/>
        <w:rPr>
          <w:noProof/>
          <w:snapToGrid w:val="0"/>
        </w:rPr>
      </w:pPr>
      <w:r w:rsidRPr="009B06F8">
        <w:rPr>
          <w:snapToGrid w:val="0"/>
        </w:rPr>
        <w:t>M.</w:t>
      </w:r>
      <w:r w:rsidRPr="009B06F8">
        <w:rPr>
          <w:snapToGrid w:val="0"/>
        </w:rPr>
        <w:tab/>
        <w:t>budući da se potpunim poštovanjem usklađenih pravnih okvira za ljudska prava i sigurnim pravnim statusom na nacionalnoj razini i razini EU-a smanjuje izloženost boraca za ljudska prava transnacionalnoj represiji;</w:t>
      </w:r>
    </w:p>
    <w:p w14:paraId="6F28F9A9" w14:textId="77777777" w:rsidR="005701A3" w:rsidRPr="009B06F8" w:rsidRDefault="005701A3" w:rsidP="00B061FD">
      <w:pPr>
        <w:pStyle w:val="NormalHanging12a"/>
        <w:ind w:left="0" w:firstLine="0"/>
        <w:rPr>
          <w:b/>
          <w:i/>
          <w:noProof/>
        </w:rPr>
      </w:pPr>
      <w:r w:rsidRPr="009B06F8">
        <w:rPr>
          <w:b/>
          <w:i/>
        </w:rPr>
        <w:t xml:space="preserve">Transnacionalna represija nad borcima za ljudska prava: rastući trendovi i prijetnje </w:t>
      </w:r>
    </w:p>
    <w:p w14:paraId="11FEB126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t>1.</w:t>
      </w:r>
      <w:r w:rsidRPr="009B06F8">
        <w:tab/>
        <w:t xml:space="preserve">predlaže da se transnacionalna represija definira kao napadi i prijetnje država, uključujući autoritarne režime i njihove posrednike, čiji je cilj obraniti i unaprijediti svoje interese prelaskom nacionalnih granica radi prisile, kontrole ili ušutkavanja disidenata, političkih protivnika, novinara, aktivista, boraca za ljudska prava i članova dijaspore koristeći široki raspon fizičkih metoda, kao što su ciljana ubojstva, otmice, </w:t>
      </w:r>
      <w:r w:rsidRPr="009B06F8">
        <w:lastRenderedPageBreak/>
        <w:t xml:space="preserve">nasilje, uznemiravanje i prisilno vraćanje, nestanci i deportacije te stratešku zlouporabu pravnih instrumenata, uključujući zlouporabu konzularnih usluga, postupke izručenja ili crvene tjeralice i uhićenja, kao i </w:t>
      </w:r>
      <w:proofErr w:type="spellStart"/>
      <w:r w:rsidRPr="009B06F8">
        <w:t>nefizičke</w:t>
      </w:r>
      <w:proofErr w:type="spellEnd"/>
      <w:r w:rsidRPr="009B06F8">
        <w:t xml:space="preserve"> metode, kao što su digitalni nadzor, zastrašivanje, ucjena i prijetnje obiteljima boraca za ljudska prava;</w:t>
      </w:r>
    </w:p>
    <w:p w14:paraId="72DEAFE1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t>2.</w:t>
      </w:r>
      <w:r w:rsidRPr="009B06F8">
        <w:tab/>
        <w:t>osuđuje svaki oblik transnacionalne represije kao ozbiljnu prijetnju međunarodnom pravu o ljudskim pravima i kršenje suvereniteta zemalja domaćina uz pomoć taktike vanjskog upletanja; u tom kontekstu naglašava potrebu za usvajanjem opće dogovorene definicije transnacionalne represije i za jačanjem zajedničke borbe protiv te pojave s pomoću dobro ustaljenog pravnog okvira na multilateralnoj, regionalnoj i nacionalnoj razini;</w:t>
      </w:r>
    </w:p>
    <w:p w14:paraId="640E49F7" w14:textId="77777777" w:rsidR="005701A3" w:rsidRPr="009B06F8" w:rsidRDefault="005701A3" w:rsidP="005701A3">
      <w:pPr>
        <w:pStyle w:val="NormalHanging12a"/>
        <w:rPr>
          <w:noProof/>
        </w:rPr>
      </w:pPr>
      <w:r w:rsidRPr="009B06F8">
        <w:t>3.</w:t>
      </w:r>
      <w:r w:rsidRPr="009B06F8">
        <w:tab/>
        <w:t>izražava ozbiljnu zabrinutost zbog eskalacije transnacionalne represije; prima na znanje da je broj slučajeva transnacionalne represije najvjerojatnije podcijenjen jer se ona često provodi na prikriveni način;</w:t>
      </w:r>
    </w:p>
    <w:p w14:paraId="1338730F" w14:textId="77777777" w:rsidR="005701A3" w:rsidRPr="009B06F8" w:rsidRDefault="005701A3" w:rsidP="005701A3">
      <w:pPr>
        <w:pStyle w:val="NormalHanging12a"/>
      </w:pPr>
      <w:r w:rsidRPr="009B06F8">
        <w:t>4.</w:t>
      </w:r>
      <w:r w:rsidRPr="009B06F8">
        <w:tab/>
        <w:t>ističe da transnacionalna represija, koju podržavaju različite države, poprima sve podmuklije oblike, uključujući tjelesne ozljede, mučenje, deportaciju, nadzor, pravni pritisak, kampanje klevete, digitalne prijetnje, prisilne nestanke i otmice, prisilnu repatrijaciju, zahtjeve za izručenje, zamrzavanje imovine, prijetnje članovima obitelji i nezakonita ubojstva;</w:t>
      </w:r>
    </w:p>
    <w:p w14:paraId="27EB5D6F" w14:textId="175CEE59" w:rsidR="00834AD9" w:rsidRPr="009B06F8" w:rsidRDefault="00834AD9" w:rsidP="005701A3">
      <w:pPr>
        <w:pStyle w:val="NormalHanging12a"/>
        <w:rPr>
          <w:bCs/>
          <w:iCs/>
          <w:noProof/>
        </w:rPr>
      </w:pPr>
      <w:r w:rsidRPr="009B06F8">
        <w:rPr>
          <w:bCs/>
          <w:iCs/>
        </w:rPr>
        <w:t>5.</w:t>
      </w:r>
      <w:r w:rsidRPr="009B06F8">
        <w:rPr>
          <w:bCs/>
          <w:iCs/>
        </w:rPr>
        <w:tab/>
        <w:t>ističe i osuđuje činjenicu da je bivši potpredsjednik Europskog parlamenta Alejo Vidal-</w:t>
      </w:r>
      <w:proofErr w:type="spellStart"/>
      <w:r w:rsidRPr="009B06F8">
        <w:rPr>
          <w:bCs/>
          <w:iCs/>
        </w:rPr>
        <w:t>Quadras</w:t>
      </w:r>
      <w:proofErr w:type="spellEnd"/>
      <w:r w:rsidRPr="009B06F8">
        <w:rPr>
          <w:bCs/>
          <w:iCs/>
        </w:rPr>
        <w:t xml:space="preserve"> bio žrtva transnacionalne represije koju je počinio Iran terorističkim napadom u državi članici EU-a;</w:t>
      </w:r>
    </w:p>
    <w:p w14:paraId="77A2B042" w14:textId="005F7962" w:rsidR="005701A3" w:rsidRPr="009B06F8" w:rsidRDefault="00332B5B" w:rsidP="005701A3">
      <w:pPr>
        <w:pStyle w:val="NormalHanging12a"/>
        <w:rPr>
          <w:noProof/>
        </w:rPr>
      </w:pPr>
      <w:r w:rsidRPr="009B06F8">
        <w:t>6</w:t>
      </w:r>
      <w:r w:rsidR="005701A3" w:rsidRPr="009B06F8">
        <w:t>.</w:t>
      </w:r>
      <w:r w:rsidR="005701A3" w:rsidRPr="009B06F8">
        <w:tab/>
        <w:t xml:space="preserve">osuđuje autoritarne režime i druge počinitelje te njihove posrednike diljem svijeta zbog činjenice da sve više upotrebljavaju digitalnu transnacionalnu represiju; prima na znanje upotrebu tehnologija koje se temelje na umjetnoj inteligenciji, špijunskog softvera, </w:t>
      </w:r>
      <w:proofErr w:type="spellStart"/>
      <w:r w:rsidR="005701A3" w:rsidRPr="009B06F8">
        <w:t>hakiranja</w:t>
      </w:r>
      <w:proofErr w:type="spellEnd"/>
      <w:r w:rsidR="005701A3" w:rsidRPr="009B06F8">
        <w:t xml:space="preserve"> i javnog objavljivanja osobnih informacija radi uznemiravanja, nadziranja, diskreditiranja i zastrašivanja boraca za ljudska prava i ciljanih pojedinaca; naglašava da digitalna transnacionalna represija obuhvaća i cenzuru koja se temelji na sadržaju, uključujući upotrebu zahtjeva za uklanjanje sadržaja, pravne prijetnje, pritisak moderiranja sadržaja i blokiranje medijskih kuća koje se upravljaju u egzilu kako bi se suzbile ili uklonile informacije koje su kritične prema autoritarnim režimima;</w:t>
      </w:r>
    </w:p>
    <w:p w14:paraId="3750BB74" w14:textId="69C05AB3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7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osuđuje taktike digitalne transnacionalne represije na temelju spola koje su nerazmjerno usmjerene na borkinje za ljudska prava koje borave izvan svojih zemalja podrijetla; duboko je zabrinut zbog porasta seksualnog zlostavljanja i prijetnji s pomoću digitalnih tehnologija čiji je cilj diskreditirati borkinje za ljudska prava i odvratiti ih od nastavka njihovih aktivnosti;</w:t>
      </w:r>
    </w:p>
    <w:p w14:paraId="2F342523" w14:textId="1364646A" w:rsidR="005701A3" w:rsidRPr="009B06F8" w:rsidRDefault="00332B5B" w:rsidP="005701A3">
      <w:pPr>
        <w:pStyle w:val="NormalHanging12a"/>
        <w:rPr>
          <w:noProof/>
        </w:rPr>
      </w:pPr>
      <w:r w:rsidRPr="009B06F8">
        <w:t>8</w:t>
      </w:r>
      <w:r w:rsidR="005701A3" w:rsidRPr="009B06F8">
        <w:t>.</w:t>
      </w:r>
      <w:r w:rsidR="005701A3" w:rsidRPr="009B06F8">
        <w:tab/>
        <w:t>osuđuje počinitelje koji provode pravni i diplomatski pritisak, uključujući preko politički motivirane crvene tjeralice Interpola i međunarodne institucionalne strukture za borbu protiv terorizma, kako bi zatražili uhićenje i izručenje boraca za ljudska prava u egzilu i ciljanih pojedinaca; nadalje osuđuje zlouporabu oznake „terorizma”, kaznene postupke u odsutnosti i druge administrativne mjere, kao što su ukidanje državljanstva, uskraćivanje izdavanja vizne dokumentacije, zabrane putovanja i ulaska te uskraćivanje osobnih isprava i konzularnih ili bankovnih usluga;</w:t>
      </w:r>
    </w:p>
    <w:p w14:paraId="7E817AF0" w14:textId="0D6D0124" w:rsidR="005701A3" w:rsidRPr="009B06F8" w:rsidRDefault="00332B5B" w:rsidP="005701A3">
      <w:pPr>
        <w:pStyle w:val="NormalHanging12a"/>
        <w:rPr>
          <w:noProof/>
        </w:rPr>
      </w:pPr>
      <w:r w:rsidRPr="009B06F8">
        <w:t>9</w:t>
      </w:r>
      <w:r w:rsidR="005701A3" w:rsidRPr="009B06F8">
        <w:t>.</w:t>
      </w:r>
      <w:r w:rsidR="005701A3" w:rsidRPr="009B06F8">
        <w:tab/>
        <w:t xml:space="preserve">izražava ozbiljnu zabrinutost zbog uloge nekih zemalja domaćina, uključujući neke države članice EU-a, i nedržavnih aktera, kao što su pružatelji digitalnih usluga i drugi </w:t>
      </w:r>
      <w:r w:rsidR="005701A3" w:rsidRPr="009B06F8">
        <w:lastRenderedPageBreak/>
        <w:t>tehnološki posrednici, privatna industrija špijunskog softvera, ugovaratelji u području sigurnosti, privatni istražitelji, kriminalne organizacije i posrednici, uključujući članove dijaspore, u omogućavanju transnacionalne represije, među ostalim suradnjom s državnim graničnim i sigurnosnim snagama;</w:t>
      </w:r>
    </w:p>
    <w:p w14:paraId="4856577A" w14:textId="29D17242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10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nadalje ističe da transnacionalna represija kao izravna prijetnja suverenitetu i sigurnosti država, uključujući države članice EU-a, stranim državnim akterima omogućuje da provode zastrašivanje, prisilu i kontrolu izvan svojih granica; podsjeća da, iako je nacionalna sigurnost i dalje isključiva odgovornost država članica, razmjer i prekogranična priroda tih praksi zahtijevaju koordinirani odgovor na razini EU-a, uključujući inicijative za suradnju među nacionalnim tijelima, institucijama EU-a i akterima civilnog društva;</w:t>
      </w:r>
    </w:p>
    <w:p w14:paraId="3366BAC3" w14:textId="63191FF2" w:rsidR="005701A3" w:rsidRPr="009B06F8" w:rsidRDefault="00332B5B" w:rsidP="005701A3">
      <w:pPr>
        <w:pStyle w:val="NormalHanging12a"/>
        <w:rPr>
          <w:noProof/>
        </w:rPr>
      </w:pPr>
      <w:r w:rsidRPr="009B06F8">
        <w:t>11</w:t>
      </w:r>
      <w:r w:rsidR="005701A3" w:rsidRPr="009B06F8">
        <w:t>.</w:t>
      </w:r>
      <w:r w:rsidR="005701A3" w:rsidRPr="009B06F8">
        <w:tab/>
        <w:t xml:space="preserve">duboko je zabrinut zbog sužavanja građanskog prostora i ušutkavanja </w:t>
      </w:r>
      <w:proofErr w:type="spellStart"/>
      <w:r w:rsidR="005701A3" w:rsidRPr="009B06F8">
        <w:t>egzilanata</w:t>
      </w:r>
      <w:proofErr w:type="spellEnd"/>
      <w:r w:rsidR="005701A3" w:rsidRPr="009B06F8">
        <w:t>, čiji su glasovi ključni za dokumentiranje stanja u području ljudskih prava i zlouporabe u autoritarnim državama; podsjeća da je obrana i podupiranje slobodnih i demokratskih društava, među ostalim u neposrednom susjedstvu EU-a, u vlastitom strateškom interesu EU-a;</w:t>
      </w:r>
    </w:p>
    <w:p w14:paraId="0717A3B5" w14:textId="55EB7C2D" w:rsidR="005701A3" w:rsidRPr="009B06F8" w:rsidRDefault="00332B5B" w:rsidP="005701A3">
      <w:pPr>
        <w:pStyle w:val="NormalHanging12a"/>
        <w:rPr>
          <w:noProof/>
        </w:rPr>
      </w:pPr>
      <w:r w:rsidRPr="009B06F8">
        <w:t>12</w:t>
      </w:r>
      <w:r w:rsidR="005701A3" w:rsidRPr="009B06F8">
        <w:t>.</w:t>
      </w:r>
      <w:r w:rsidR="005701A3" w:rsidRPr="009B06F8">
        <w:tab/>
        <w:t>ističe trajne psihološke posljedice transnacionalne represije na mentalno zdravlje i opću dobrobit žrtava i njihovih obitelji, uključujući njihov osjećaj sigurnosti, psihološki integritet, društvene odnose i sposobnost nastavka javnih aktivnosti, što u mnogim slučajevima dovodi do dugotrajne traume, izolacije i isključenosti; oštro osuđuje da se odmazda počinitelja protiv obitelji boraca za ljudska prava koji žive u inozemstvu koristi kao sredstvo transnacionalne represije; napominje da transnacionalna represija ima posebno zastrašujući učinak i među dijasporom i civilnim društvom koje živi u egzilu;</w:t>
      </w:r>
    </w:p>
    <w:p w14:paraId="30F01A91" w14:textId="4607AE74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13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ističe da je važno prepoznati da transnacionalna represija nad borcima za ljudska prava nerazmjerno utječe na osobe koje se nalaze u ranjivom položaju zbog svoje rase, etničke pripadnosti, vjere, roda, seksualnosti, invaliditeta ili socioekonomskog statusa;</w:t>
      </w:r>
    </w:p>
    <w:p w14:paraId="0637EEEB" w14:textId="2FBC6565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14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ističe da u nekim dijelovima svijeta novinari mogu biti izloženi transnacionalnim obrascima represije, što ima dugotrajne posljedice na njihovu karijeru i osobnu sigurnost;</w:t>
      </w:r>
    </w:p>
    <w:p w14:paraId="2AD5505D" w14:textId="77777777" w:rsidR="005701A3" w:rsidRPr="009B06F8" w:rsidRDefault="005701A3" w:rsidP="00B061FD">
      <w:pPr>
        <w:pStyle w:val="NormalHanging12a"/>
        <w:ind w:left="0" w:firstLine="0"/>
        <w:rPr>
          <w:b/>
          <w:i/>
          <w:noProof/>
        </w:rPr>
      </w:pPr>
      <w:r w:rsidRPr="009B06F8">
        <w:rPr>
          <w:b/>
          <w:i/>
        </w:rPr>
        <w:t>Uključivanje transnacionalne represije u politike EU-a</w:t>
      </w:r>
    </w:p>
    <w:p w14:paraId="5478D2F4" w14:textId="698A9194" w:rsidR="005701A3" w:rsidRPr="009B06F8" w:rsidRDefault="00332B5B" w:rsidP="005701A3">
      <w:pPr>
        <w:pStyle w:val="NormalHanging12a"/>
        <w:rPr>
          <w:noProof/>
        </w:rPr>
      </w:pPr>
      <w:r w:rsidRPr="009B06F8">
        <w:t>15</w:t>
      </w:r>
      <w:r w:rsidR="005701A3" w:rsidRPr="009B06F8">
        <w:t>.</w:t>
      </w:r>
      <w:r w:rsidR="005701A3" w:rsidRPr="009B06F8">
        <w:tab/>
        <w:t>poziva Komisiju, države članice i Europsku službu za vanjsko djelovanje (ESVD) da se sustavno bave transnacionalnom represijom u kontekstu klauzula o ljudskim pravima u sporazumima EU-a, prema potrebi, te dijalozima o ljudskim pravima sa zemljama koje nisu članice EU-a i drugim forumima za bilateralnu i multilateralnu suradnju, kao što je Vijeće UN-a za ljudska prava;</w:t>
      </w:r>
    </w:p>
    <w:p w14:paraId="3A41CC4F" w14:textId="03FFDC52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16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potiče ESVD da pomogne borcima za ljudska prava i ciljanim pojedincima, uključujući disidente, koji su žrtve transnacionalne represije u zemljama koje nisu članice EU-a putem namjenskih programa čiji je cilj omogućiti im da nastave svoj rad u egzilu, a da pritom budu sigurni od odmazde i agresije;</w:t>
      </w:r>
    </w:p>
    <w:p w14:paraId="0947BB3C" w14:textId="09B3EB71" w:rsidR="005701A3" w:rsidRPr="009B06F8" w:rsidRDefault="00332B5B" w:rsidP="005701A3">
      <w:pPr>
        <w:pStyle w:val="NormalHanging12a"/>
        <w:rPr>
          <w:noProof/>
        </w:rPr>
      </w:pPr>
      <w:r w:rsidRPr="009B06F8">
        <w:t>17</w:t>
      </w:r>
      <w:r w:rsidR="005701A3" w:rsidRPr="009B06F8">
        <w:t>.</w:t>
      </w:r>
      <w:r w:rsidR="005701A3" w:rsidRPr="009B06F8">
        <w:tab/>
        <w:t xml:space="preserve">poziva Komisiju i ESVD da transnacionalnu represiju uključe u Akcijski plan EU-a za ljudska prava i demokraciju za razdoblje nakon 2027. i u Smjernice EU-a o borcima za ljudska prava kao sve veću prijetnju borcima za ljudska prava i ciljanim pojedincima te </w:t>
      </w:r>
      <w:r w:rsidR="005701A3" w:rsidRPr="009B06F8">
        <w:lastRenderedPageBreak/>
        <w:t>da uključe konkretne odredbe za zaštitu i sigurnost boraca za ljudska prava;</w:t>
      </w:r>
    </w:p>
    <w:p w14:paraId="1FE699AE" w14:textId="565C03A0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18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 xml:space="preserve">ustraje na hitnoj potrebi za rješavanjem, i na nacionalnoj i na europskoj razini, nedostataka u zaštiti s kojima se suočavaju borci za ljudska prava kada su meta transnacionalne represije; poziva na to da im se pruži brza, fleksibilna, pristupačna i trajna potpora, uključujući hitnu potporu, privremeno premještanje te alate i osposobljavanje kako bi im se omogućilo da se bolje zaštite od svih vrsta prijetnji i nezakonitog nadzora koji mogu predstavljati transnacionalnu represiju; naglašava potrebu za pružanjem osposobljavanja u području digitalne sigurnosti i </w:t>
      </w:r>
      <w:proofErr w:type="spellStart"/>
      <w:r w:rsidR="005701A3" w:rsidRPr="009B06F8">
        <w:t>kibersigurnosti</w:t>
      </w:r>
      <w:proofErr w:type="spellEnd"/>
      <w:r w:rsidR="005701A3" w:rsidRPr="009B06F8">
        <w:t xml:space="preserve">, pravne pomoći i psihosocijalne potpore borcima za ljudska prava pogođenima transnacionalnom represijom; smatra da je ključno da politike i programi zaštite budu usmjereni na žrtve, rodno osjetljivi, </w:t>
      </w:r>
      <w:proofErr w:type="spellStart"/>
      <w:r w:rsidR="005701A3" w:rsidRPr="009B06F8">
        <w:t>intersekcijski</w:t>
      </w:r>
      <w:proofErr w:type="spellEnd"/>
      <w:r w:rsidR="005701A3" w:rsidRPr="009B06F8">
        <w:t xml:space="preserve">, </w:t>
      </w:r>
      <w:proofErr w:type="spellStart"/>
      <w:r w:rsidR="005701A3" w:rsidRPr="009B06F8">
        <w:t>uključivi</w:t>
      </w:r>
      <w:proofErr w:type="spellEnd"/>
      <w:r w:rsidR="005701A3" w:rsidRPr="009B06F8">
        <w:t xml:space="preserve"> i </w:t>
      </w:r>
      <w:proofErr w:type="spellStart"/>
      <w:r w:rsidR="005701A3" w:rsidRPr="009B06F8">
        <w:t>nediskriminirajući</w:t>
      </w:r>
      <w:proofErr w:type="spellEnd"/>
      <w:r w:rsidR="005701A3" w:rsidRPr="009B06F8">
        <w:t>;</w:t>
      </w:r>
    </w:p>
    <w:p w14:paraId="6A92293E" w14:textId="0FF87574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19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poziva EU i njegove države članice da poštuju svoje međunarodne obveze i naglašava da je pravo na traženje azila ključno za zaštitu osoba kojima prijeti progon u skladu sa Ženevskom konvencijom;</w:t>
      </w:r>
    </w:p>
    <w:p w14:paraId="044527F0" w14:textId="43C0EC21" w:rsidR="005701A3" w:rsidRPr="009B06F8" w:rsidRDefault="00332B5B" w:rsidP="005701A3">
      <w:pPr>
        <w:pStyle w:val="NormalHanging12a"/>
        <w:rPr>
          <w:noProof/>
        </w:rPr>
      </w:pPr>
      <w:r w:rsidRPr="009B06F8">
        <w:t>20</w:t>
      </w:r>
      <w:r w:rsidR="005701A3" w:rsidRPr="009B06F8">
        <w:t>.</w:t>
      </w:r>
      <w:r w:rsidR="005701A3" w:rsidRPr="009B06F8">
        <w:tab/>
        <w:t>poziva države članice da na najbolji način iskoriste svoje nacionalne politike i raspoložive granice kako bi oblikovale dosljedniju, usklađeniju i predvidljiviju politiku za pojedince na koje se odnosi transnacionalna represija;</w:t>
      </w:r>
    </w:p>
    <w:p w14:paraId="358E5349" w14:textId="0CE3AE57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21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izražava zabrinutost zbog uloge veleposlanstava država uključenih u transnacionalnu represiju; ističe povećani rizik za borce za ljudska prava kojima su potrebne konzularne službe kada su prisiljeni surađivati s tim veleposlanstvima; poziva države članice da povećaju pritisak na veleposlanstva zemalja povezanih s transnacionalnom represijom smještenih na njihovim državnim područjima te da ne koriste svoje diplomatske predstavništva za ušutkavanje neistomišljenika u inozemstvu, u skladu s Bečkom konvencijom o konzularnim odnosima;</w:t>
      </w:r>
    </w:p>
    <w:p w14:paraId="301DE539" w14:textId="77777777" w:rsidR="005701A3" w:rsidRPr="009B06F8" w:rsidRDefault="005701A3" w:rsidP="00B061FD">
      <w:pPr>
        <w:pStyle w:val="NormalHanging12a"/>
        <w:ind w:left="0" w:firstLine="0"/>
        <w:rPr>
          <w:b/>
          <w:i/>
          <w:noProof/>
        </w:rPr>
      </w:pPr>
      <w:r w:rsidRPr="009B06F8">
        <w:rPr>
          <w:b/>
          <w:i/>
        </w:rPr>
        <w:t>Poboljšanje koordiniranog praćenja i prikupljanja podataka</w:t>
      </w:r>
    </w:p>
    <w:p w14:paraId="05EF7D0C" w14:textId="15A3F57B" w:rsidR="005701A3" w:rsidRPr="009B06F8" w:rsidRDefault="00332B5B" w:rsidP="005701A3">
      <w:pPr>
        <w:pStyle w:val="NormalHanging12a"/>
        <w:rPr>
          <w:noProof/>
        </w:rPr>
      </w:pPr>
      <w:r w:rsidRPr="009B06F8">
        <w:t>22</w:t>
      </w:r>
      <w:r w:rsidR="005701A3" w:rsidRPr="009B06F8">
        <w:t>.</w:t>
      </w:r>
      <w:r w:rsidR="005701A3" w:rsidRPr="009B06F8">
        <w:tab/>
        <w:t xml:space="preserve">poziva ESVD i države članice da u suradnji s relevantnim institucijama, kao što je </w:t>
      </w:r>
      <w:proofErr w:type="spellStart"/>
      <w:r w:rsidR="005701A3" w:rsidRPr="009B06F8">
        <w:t>Europol</w:t>
      </w:r>
      <w:proofErr w:type="spellEnd"/>
      <w:r w:rsidR="005701A3" w:rsidRPr="009B06F8">
        <w:t>, koordiniraju napore i uspostave dostupne informacije, podatke, mehanizme praćenja i izvješćivanja kako bi se poboljšalo dokumentiranje slučajeva transnacionalne represije na njihovim državnim područjima i po potrebi olakšala brza reakcija i istraga; poziva ESVD da poboljša mrežu kontaktnih točaka za ciljane borce za ljudska prava i pojedince u delegacijama EU-a koji su zaduženi za upućivanje slučajeva nadležnim tijelima u relevantnom glavnom gradu; smatra da bi takvi mehanizmi trebali biti dostupni civilnom društvu, čime bi se omogućilo da se njihov doprinos propisno registrira;</w:t>
      </w:r>
    </w:p>
    <w:p w14:paraId="4F9CF7D2" w14:textId="4E0D3A29" w:rsidR="005701A3" w:rsidRPr="009B06F8" w:rsidRDefault="00332B5B" w:rsidP="005701A3">
      <w:pPr>
        <w:pStyle w:val="NormalHanging12a"/>
        <w:rPr>
          <w:noProof/>
        </w:rPr>
      </w:pPr>
      <w:r w:rsidRPr="009B06F8">
        <w:t>23</w:t>
      </w:r>
      <w:r w:rsidR="005701A3" w:rsidRPr="009B06F8">
        <w:t>.</w:t>
      </w:r>
      <w:r w:rsidR="005701A3" w:rsidRPr="009B06F8">
        <w:tab/>
        <w:t>poziva Komisiju da uspostavi centralizirani mehanizam mapiranja za utvrđivanje, praćenje i procjenu incidenata i razmjenu upozorenja o transnacionalnoj represiji protiv boraca za ljudska prava koji se nalaze u EU-u, što će pomoći u utvrđivanju nedostataka u politici EU-a, oblikovanju odgovarajućih strateških odgovora i podupiranju koordiniranog djelovanja među državama članicama;</w:t>
      </w:r>
    </w:p>
    <w:p w14:paraId="53DC118C" w14:textId="6C7D25DC" w:rsidR="005701A3" w:rsidRPr="009B06F8" w:rsidRDefault="00332B5B" w:rsidP="005701A3">
      <w:pPr>
        <w:pStyle w:val="NormalHanging12a"/>
        <w:rPr>
          <w:noProof/>
        </w:rPr>
      </w:pPr>
      <w:r w:rsidRPr="009B06F8">
        <w:t>24</w:t>
      </w:r>
      <w:r w:rsidR="005701A3" w:rsidRPr="009B06F8">
        <w:t>.</w:t>
      </w:r>
      <w:r w:rsidR="005701A3" w:rsidRPr="009B06F8">
        <w:tab/>
        <w:t xml:space="preserve">poziva države članice da u svojem nacionalnom zakonodavstvu kodificiraju transnacionalnu represiju kako bi se vladinim institucijama pružila podrška u utvrđivanju i sprečavanju transnacionalne represije; poziva države članice da u okviru svojih vlada uspostave nacionalne kontaktne točke za potencijalne i stvarne žrtve </w:t>
      </w:r>
      <w:r w:rsidR="005701A3" w:rsidRPr="009B06F8">
        <w:lastRenderedPageBreak/>
        <w:t>transnacionalne represije te da osiguraju skup alata u kojima će objasniti kako prijaviti slučajeve takve represije;</w:t>
      </w:r>
    </w:p>
    <w:p w14:paraId="3C9A1508" w14:textId="18226980" w:rsidR="005701A3" w:rsidRPr="009B06F8" w:rsidRDefault="00332B5B" w:rsidP="005701A3">
      <w:pPr>
        <w:pStyle w:val="NormalHanging12a"/>
        <w:rPr>
          <w:noProof/>
        </w:rPr>
      </w:pPr>
      <w:r w:rsidRPr="009B06F8">
        <w:t>25</w:t>
      </w:r>
      <w:r w:rsidR="005701A3" w:rsidRPr="009B06F8">
        <w:t>.</w:t>
      </w:r>
      <w:r w:rsidR="005701A3" w:rsidRPr="009B06F8">
        <w:tab/>
        <w:t xml:space="preserve">poziva države članice, </w:t>
      </w:r>
      <w:proofErr w:type="spellStart"/>
      <w:r w:rsidR="005701A3" w:rsidRPr="009B06F8">
        <w:t>Europol</w:t>
      </w:r>
      <w:proofErr w:type="spellEnd"/>
      <w:r w:rsidR="005701A3" w:rsidRPr="009B06F8">
        <w:t xml:space="preserve"> i Agenciju EU-a za osposobljavanje u području izvršavanja zakonodavstva (CEPOL) da osiguraju osposobljavanje o osviještenosti o transnacionalnoj represiji, </w:t>
      </w:r>
      <w:proofErr w:type="spellStart"/>
      <w:r w:rsidR="005701A3" w:rsidRPr="009B06F8">
        <w:t>protustrategijama</w:t>
      </w:r>
      <w:proofErr w:type="spellEnd"/>
      <w:r w:rsidR="005701A3" w:rsidRPr="009B06F8">
        <w:t xml:space="preserve"> i posebnim protokolima za procjenu rizika za relevantne vladine agencije, vanjske pružatelje usluga i njihovo osoblje, posebno u području </w:t>
      </w:r>
      <w:proofErr w:type="spellStart"/>
      <w:r w:rsidR="005701A3" w:rsidRPr="009B06F8">
        <w:t>kibersigurnosti</w:t>
      </w:r>
      <w:proofErr w:type="spellEnd"/>
      <w:r w:rsidR="005701A3" w:rsidRPr="009B06F8">
        <w:t>, službenike za izvršavanje zakonodavstva i imigraciju te osoblje zaduženo za obradu viznih zahtjeva i preispitivanje zahtjeva za izručenje i drugih oblika pravne suradnje sa zemljama koje nisu članice EU-a, s naglaskom na digitalnom nadzoru, rizicima od odmazde i zlouporabi pravnih mehanizama;</w:t>
      </w:r>
    </w:p>
    <w:p w14:paraId="7E25A054" w14:textId="77777777" w:rsidR="005701A3" w:rsidRPr="009B06F8" w:rsidRDefault="005701A3" w:rsidP="00B061FD">
      <w:pPr>
        <w:pStyle w:val="NormalHanging12a"/>
        <w:ind w:left="0" w:firstLine="0"/>
        <w:rPr>
          <w:b/>
          <w:i/>
          <w:noProof/>
        </w:rPr>
      </w:pPr>
      <w:r w:rsidRPr="009B06F8">
        <w:rPr>
          <w:b/>
          <w:i/>
        </w:rPr>
        <w:t>Uklanjanje rizika koje predstavljaju digitalne tehnologije kao pokretači transnacionalne represije</w:t>
      </w:r>
    </w:p>
    <w:p w14:paraId="0484C136" w14:textId="7B3621A6" w:rsidR="005701A3" w:rsidRPr="009B06F8" w:rsidRDefault="00332B5B" w:rsidP="005701A3">
      <w:pPr>
        <w:pStyle w:val="NormalHanging12a"/>
        <w:rPr>
          <w:noProof/>
        </w:rPr>
      </w:pPr>
      <w:r w:rsidRPr="009B06F8">
        <w:t>26</w:t>
      </w:r>
      <w:r w:rsidR="005701A3" w:rsidRPr="009B06F8">
        <w:t>.</w:t>
      </w:r>
      <w:r w:rsidR="005701A3" w:rsidRPr="009B06F8">
        <w:tab/>
        <w:t>poziva EU i njegove države članice da prepoznaju, spriječe i suzbiju digitalne oblike transnacionalne represije, uključujući kampanje dezinformiranja usmjerene na borce za ljudska prava, te da zajamče da su borci za ljudska prava zaštićeni od uznemiravanja, zastrašivanja i cenzure na internetu, neovisno o podrijetlu pružatelja usluga, lokaciji digitalne infrastrukture ili korištenim alatima; poziva države članice EU-a da kriminaliziraju strane obavještajne aktivnosti usmjerene na disidente u egzilu kao oblik digitalne transnacionalne represije;</w:t>
      </w:r>
    </w:p>
    <w:p w14:paraId="73F4F07B" w14:textId="66B5C873" w:rsidR="005701A3" w:rsidRPr="009B06F8" w:rsidRDefault="00332B5B" w:rsidP="005701A3">
      <w:pPr>
        <w:pStyle w:val="NormalHanging12a"/>
        <w:rPr>
          <w:noProof/>
        </w:rPr>
      </w:pPr>
      <w:r w:rsidRPr="009B06F8">
        <w:t>27</w:t>
      </w:r>
      <w:r w:rsidR="005701A3" w:rsidRPr="009B06F8">
        <w:t>.</w:t>
      </w:r>
      <w:r w:rsidR="005701A3" w:rsidRPr="009B06F8">
        <w:tab/>
        <w:t>traži od država članica da primjenjuju strogi nadzor nad tržištima špijunskih i nadzornih softvera i operacijama na tim tržištima, među ostalim primjenom obvezne dužne pažnje u pogledu ljudskih prava i Uredbe EU-a o robi s dvojnom namjenom</w:t>
      </w:r>
      <w:r w:rsidR="005701A3" w:rsidRPr="009B06F8">
        <w:rPr>
          <w:rStyle w:val="FootnoteReference"/>
          <w:noProof/>
        </w:rPr>
        <w:footnoteReference w:id="4"/>
      </w:r>
      <w:r w:rsidR="005701A3" w:rsidRPr="009B06F8">
        <w:t xml:space="preserve"> za sve izvoznike tehnologije sa sjedištem u EU-u, te oduzmu dozvole za izvoz špijunskih softvera u zemlje s dokumentiranim praksama transnacionalne represije i kršenja ljudskih prava ako postoji predvidljiv rizik da će se ti alati upotrijebiti za ušutkavanje ili kažnjavanje boraca za ljudska prava ili disidenata; podsjeća na Smjernice Komisije o izvozu robe za kibernetički nadzor iz 2024., čiji je cilj podići razinu osviještenosti o rizicima povezanima sa zlouporabom tehnologija za kibernetički nadzor i pružiti izvoznicima praktične alate za evaluaciju situacija u području ljudskih prava; </w:t>
      </w:r>
    </w:p>
    <w:p w14:paraId="112ED3A0" w14:textId="0839AD8E" w:rsidR="005701A3" w:rsidRPr="009B06F8" w:rsidRDefault="00332B5B" w:rsidP="005701A3">
      <w:pPr>
        <w:pStyle w:val="NormalHanging12a"/>
        <w:rPr>
          <w:noProof/>
        </w:rPr>
      </w:pPr>
      <w:r w:rsidRPr="009B06F8">
        <w:t>28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 xml:space="preserve">poziva države članice da uspostave lako dostupne i sigurne mehanizme izvješćivanja, osmišljene za poštovanje i zaštitu privatnosti korisnika, kako bi se borcima za ljudska prava koji žive u egzilu ili zajednicama dijaspore omogućilo da relevantnim vladinim agencijama izraze zabrinutost zbog digitalne transnacionalne represije; naglašava da je potrebno prepoznati specifičan izazov rodno utemeljene digitalne transnacionalne represije i specifične posljedice koje ta vrsta represije ima na borkinje za ljudska prava; </w:t>
      </w:r>
    </w:p>
    <w:p w14:paraId="4C795A85" w14:textId="27C3D364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29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poziva EU i njegove države članice da osiguraju da privatni akteri, posebno u tehnološkom sektoru, odgovaraju za svoju ulogu u slučajevima kada omogućuju digitalnu transnacionalnu represiju; nadalje poziva na objavljivanje izvješća o transparentnosti i uspostavu učinkovitih mehanizama za pritužbe dostupnih borcima za ljudska prava i drugim ugroženim pojedincima;</w:t>
      </w:r>
    </w:p>
    <w:p w14:paraId="66927F66" w14:textId="519C1269" w:rsidR="005701A3" w:rsidRPr="009B06F8" w:rsidRDefault="005701A3" w:rsidP="005701A3">
      <w:pPr>
        <w:pStyle w:val="NormalHanging12a"/>
        <w:ind w:left="0" w:firstLine="0"/>
        <w:rPr>
          <w:b/>
          <w:i/>
          <w:noProof/>
        </w:rPr>
      </w:pPr>
      <w:r w:rsidRPr="009B06F8">
        <w:rPr>
          <w:b/>
          <w:i/>
        </w:rPr>
        <w:lastRenderedPageBreak/>
        <w:t>Osiguravanje odgovornosti i primjena sankcija</w:t>
      </w:r>
    </w:p>
    <w:p w14:paraId="1D2E5927" w14:textId="1E915CA7" w:rsidR="005701A3" w:rsidRPr="009B06F8" w:rsidRDefault="00332B5B" w:rsidP="005701A3">
      <w:pPr>
        <w:pStyle w:val="NormalHanging12a"/>
        <w:rPr>
          <w:noProof/>
        </w:rPr>
      </w:pPr>
      <w:r w:rsidRPr="009B06F8">
        <w:t>30</w:t>
      </w:r>
      <w:r w:rsidR="005701A3" w:rsidRPr="009B06F8">
        <w:t>.</w:t>
      </w:r>
      <w:r w:rsidR="005701A3" w:rsidRPr="009B06F8">
        <w:tab/>
        <w:t>poziva EU da od država i režima koji provode transnacionalnu represiju zahtijeva da preuzmu odgovornost za kršenja ljudskih prava u skladu s Međunarodnim paktom o građanskim i političkim pravima, Europskom konvencijom o ljudskim pravima, Konvencijom protiv mučenja i drugog okrutnog, neljudskog ili ponižavajućeg postupanja ili kažnjavanja, Konvencijom o statusu izbjeglica te da razmotri uvođenje ciljanih sankcija tim državama i počiniteljima transnacionalne represije nad borcima za ljudska prava; potiče EU da pruži potporu žrtvama transnacionalne represije u traženju pravne zaštite strateškim sudskim postupcima pred Europskim sudom za ljudska prava;</w:t>
      </w:r>
    </w:p>
    <w:p w14:paraId="161EF2A1" w14:textId="499C246C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31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osuđuje činjenicu da se transnacionalna represija provodi i na tlu država članica EU-a, a u nekim slučajevima i uz sudjelovanje država članica u transnacionalnoj represiji; napominje da je transnacionalna represija također omogućena suradnjom među vladama;</w:t>
      </w:r>
    </w:p>
    <w:p w14:paraId="3C4ECC93" w14:textId="062E0E17" w:rsidR="005701A3" w:rsidRPr="009B06F8" w:rsidRDefault="00332B5B" w:rsidP="005701A3">
      <w:pPr>
        <w:pStyle w:val="NormalHanging12a"/>
        <w:rPr>
          <w:noProof/>
        </w:rPr>
      </w:pPr>
      <w:r w:rsidRPr="009B06F8">
        <w:rPr>
          <w:snapToGrid w:val="0"/>
        </w:rPr>
        <w:t>32</w:t>
      </w:r>
      <w:r w:rsidR="005701A3" w:rsidRPr="009B06F8">
        <w:rPr>
          <w:snapToGrid w:val="0"/>
        </w:rPr>
        <w:t>.</w:t>
      </w:r>
      <w:r w:rsidR="005701A3" w:rsidRPr="009B06F8">
        <w:rPr>
          <w:snapToGrid w:val="0"/>
        </w:rPr>
        <w:tab/>
      </w:r>
      <w:r w:rsidR="005701A3" w:rsidRPr="009B06F8">
        <w:t>naglašava da EU i njegove države članice moraju poštovati dužnu pažnju u pogledu ljudskih prava u svojim odnosima s vladama za koje se zna da sudjeluju u transnacionalnoj represiji protiv boraca za ljudska prava ili je omogućuju;</w:t>
      </w:r>
    </w:p>
    <w:p w14:paraId="360B052F" w14:textId="2FDF4D71" w:rsidR="005701A3" w:rsidRPr="009B06F8" w:rsidRDefault="00332B5B" w:rsidP="005701A3">
      <w:pPr>
        <w:pStyle w:val="NormalHanging12a"/>
        <w:rPr>
          <w:noProof/>
        </w:rPr>
      </w:pPr>
      <w:r w:rsidRPr="009B06F8">
        <w:t>33</w:t>
      </w:r>
      <w:r w:rsidR="005701A3" w:rsidRPr="009B06F8">
        <w:t>.</w:t>
      </w:r>
      <w:r w:rsidR="005701A3" w:rsidRPr="009B06F8">
        <w:tab/>
        <w:t>poziva EU da poveća financijska sredstva za mehanizam ProtectDefenders.eu, da proširi njegov mandat kako bi uključio borce za ljudska prava kojima prijeti rizik od transnacionalne represije unutar EU-a te da poveća financiranje organizacija civilnog društva aktivnih u zaštiti ugroženih boraca za ljudska prava i pojedinaca;</w:t>
      </w:r>
    </w:p>
    <w:p w14:paraId="5FD2B77C" w14:textId="24AAADA9" w:rsidR="005701A3" w:rsidRPr="009B06F8" w:rsidRDefault="00332B5B" w:rsidP="005701A3">
      <w:pPr>
        <w:pStyle w:val="NormalHanging12a"/>
        <w:rPr>
          <w:noProof/>
        </w:rPr>
      </w:pPr>
      <w:r w:rsidRPr="009B06F8">
        <w:t>34</w:t>
      </w:r>
      <w:r w:rsidR="005701A3" w:rsidRPr="009B06F8">
        <w:t>.</w:t>
      </w:r>
      <w:r w:rsidR="005701A3" w:rsidRPr="009B06F8">
        <w:tab/>
        <w:t xml:space="preserve">poziva Komisiju da proaktivno surađuje i nastavi surađivati s Interpolom i UN-om, među ostalim razvojem zajedničkog sigurnosnog okvira za transnacionalnu represiju kako bi se stalo na kraj zloupotrebi i politički motiviranoj upotrebi crvenih tjeralica, plavih tjeralica, upita i zahtjeva za izručenje; poziva na to da se u mandat </w:t>
      </w:r>
      <w:proofErr w:type="spellStart"/>
      <w:r w:rsidR="005701A3" w:rsidRPr="009B06F8">
        <w:t>Europola</w:t>
      </w:r>
      <w:proofErr w:type="spellEnd"/>
      <w:r w:rsidR="005701A3" w:rsidRPr="009B06F8">
        <w:t xml:space="preserve"> uključe transnacionalna represija i procjena s tim povezanih incidenata i </w:t>
      </w:r>
      <w:proofErr w:type="spellStart"/>
      <w:r w:rsidR="005701A3" w:rsidRPr="009B06F8">
        <w:t>Interpolovih</w:t>
      </w:r>
      <w:proofErr w:type="spellEnd"/>
      <w:r w:rsidR="005701A3" w:rsidRPr="009B06F8">
        <w:t xml:space="preserve"> obavijesti, čija su meta borci za ljudska prava i drugi pojedinci; poziva države članice da postupaju s najvećim oprezom pri rješavanju zahtjeva za pritvaranje i izručenje koje su uputili režimi koji su u prošlosti zloupotrijebili crvene tjeralice;</w:t>
      </w:r>
    </w:p>
    <w:p w14:paraId="31D600F7" w14:textId="42D4FC6B" w:rsidR="005701A3" w:rsidRPr="009B06F8" w:rsidRDefault="00332B5B" w:rsidP="005701A3">
      <w:pPr>
        <w:pStyle w:val="NormalHanging12a"/>
        <w:rPr>
          <w:noProof/>
        </w:rPr>
      </w:pPr>
      <w:r w:rsidRPr="009B06F8">
        <w:t>35</w:t>
      </w:r>
      <w:r w:rsidR="005701A3" w:rsidRPr="009B06F8">
        <w:t>.</w:t>
      </w:r>
      <w:r w:rsidR="005701A3" w:rsidRPr="009B06F8">
        <w:tab/>
        <w:t xml:space="preserve">poziva EU i njegove države članice da se koriste svim dostupnim alatima za zaštitu boraca za ljudska prava i ciljanih pojedinaca te da ojačaju nacionalni suverenitet i demokratske vrijednosti, uključujući sankcije u okviru globalnog režima sankcija EU-a u području ljudskih prava (EU GHRSR/Zakon </w:t>
      </w:r>
      <w:proofErr w:type="spellStart"/>
      <w:r w:rsidR="005701A3" w:rsidRPr="009B06F8">
        <w:t>Magnicki</w:t>
      </w:r>
      <w:proofErr w:type="spellEnd"/>
      <w:r w:rsidR="005701A3" w:rsidRPr="009B06F8">
        <w:t>), zabrane izdavanja viza i izgon diplomata za koje je poznato da su sudjelovali u djelima transnacionalne represije; apelira na potpredsjednicu Komisije/Visoku predstavnicu Unije za vanjske poslove i sigurnosnu politiku i države članice da u globalni režim sankcija EU-a uvrste transnacionalnu represiju kao kategoriju koja podliježe sankcijama te da navedu pojedince za koje je utvrđeno da su počinitelji transnacionalne represije; upozorava da bi neuspjeh u sprečavanju i reagiranju na transnacionalnu represiju mogao ugroziti vjerodostojnost EU-a kao sigurnog utočišta za osobe koje bježe od progona i brane ljudska prava;</w:t>
      </w:r>
    </w:p>
    <w:p w14:paraId="79EFD34D" w14:textId="7FE46E68" w:rsidR="005701A3" w:rsidRPr="009B06F8" w:rsidRDefault="00332B5B" w:rsidP="005701A3">
      <w:pPr>
        <w:pStyle w:val="NormalHanging12a"/>
        <w:rPr>
          <w:noProof/>
        </w:rPr>
      </w:pPr>
      <w:r w:rsidRPr="009B06F8">
        <w:t>36</w:t>
      </w:r>
      <w:r w:rsidR="005701A3" w:rsidRPr="009B06F8">
        <w:t>.</w:t>
      </w:r>
      <w:r w:rsidR="005701A3" w:rsidRPr="009B06F8">
        <w:tab/>
        <w:t xml:space="preserve">poziva EU, njegove države članice, Komisiju i ESVD da mobiliziraju i koordiniraju sve svoje instrumente za rješavanje pitanja transnacionalne represije te da pojačaju diplomatske odnose, među ostalim putem delegacija EU-a, kako bi se spriječila i obeshrabrila transnacionalna taktika represije zemalja koje nisu članice EU-a te da te incidente istaknu u javnim izjavama, čime bi se povećala osviještenost javnosti; poziva </w:t>
      </w:r>
      <w:r w:rsidR="005701A3" w:rsidRPr="009B06F8">
        <w:lastRenderedPageBreak/>
        <w:t>na pojačanu koordinaciju s partnerskim zemljama istomišljenicama u kontekstu članica skupine G7 i drugih relevantnih međunarodnih foruma;</w:t>
      </w:r>
    </w:p>
    <w:p w14:paraId="008A2D6F" w14:textId="77777777" w:rsidR="005701A3" w:rsidRPr="009B06F8" w:rsidRDefault="005701A3" w:rsidP="005701A3">
      <w:pPr>
        <w:pStyle w:val="NormalHanging12a"/>
        <w:jc w:val="center"/>
        <w:rPr>
          <w:noProof/>
        </w:rPr>
      </w:pPr>
      <w:r w:rsidRPr="009B06F8">
        <w:t>°</w:t>
      </w:r>
    </w:p>
    <w:p w14:paraId="4FFDA38F" w14:textId="77777777" w:rsidR="005701A3" w:rsidRPr="009B06F8" w:rsidRDefault="005701A3" w:rsidP="005701A3">
      <w:pPr>
        <w:pStyle w:val="NormalHanging12a"/>
        <w:jc w:val="center"/>
        <w:rPr>
          <w:noProof/>
        </w:rPr>
      </w:pPr>
      <w:r w:rsidRPr="009B06F8">
        <w:t>°</w:t>
      </w:r>
      <w:r w:rsidRPr="009B06F8">
        <w:tab/>
        <w:t>°</w:t>
      </w:r>
    </w:p>
    <w:p w14:paraId="5078938B" w14:textId="796C8E4E" w:rsidR="00F61BEE" w:rsidRPr="00B025B1" w:rsidRDefault="00332B5B" w:rsidP="00F61BEE">
      <w:pPr>
        <w:pStyle w:val="NormalHanging12a"/>
      </w:pPr>
      <w:r w:rsidRPr="009B06F8">
        <w:t>37</w:t>
      </w:r>
      <w:r w:rsidR="005701A3" w:rsidRPr="009B06F8">
        <w:t>.</w:t>
      </w:r>
      <w:r w:rsidR="005701A3" w:rsidRPr="009B06F8">
        <w:tab/>
        <w:t>nalaže svojoj predsjednici da ovu Rezoluciju proslijedi Vijeću i Komisiji.</w:t>
      </w:r>
    </w:p>
    <w:p w14:paraId="4E3B3732" w14:textId="3829A6DE" w:rsidR="00E365E1" w:rsidRPr="00B025B1" w:rsidRDefault="00E365E1" w:rsidP="00BF10CF"/>
    <w:sectPr w:rsidR="00E365E1" w:rsidRPr="00B025B1" w:rsidSect="00F61BE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F4363" w14:textId="77777777" w:rsidR="00BF10CF" w:rsidRPr="00F61BEE" w:rsidRDefault="00BF10CF">
      <w:r w:rsidRPr="00F61BEE">
        <w:separator/>
      </w:r>
    </w:p>
  </w:endnote>
  <w:endnote w:type="continuationSeparator" w:id="0">
    <w:p w14:paraId="5568197B" w14:textId="77777777" w:rsidR="00BF10CF" w:rsidRPr="00F61BEE" w:rsidRDefault="00BF10CF">
      <w:r w:rsidRPr="00F61B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A40E5" w14:textId="77777777" w:rsidR="00BF10CF" w:rsidRPr="00F61BEE" w:rsidRDefault="00BF10CF">
      <w:r w:rsidRPr="00F61BEE">
        <w:separator/>
      </w:r>
    </w:p>
  </w:footnote>
  <w:footnote w:type="continuationSeparator" w:id="0">
    <w:p w14:paraId="5D5A98F9" w14:textId="77777777" w:rsidR="00BF10CF" w:rsidRPr="00F61BEE" w:rsidRDefault="00BF10CF">
      <w:r w:rsidRPr="00F61BEE">
        <w:continuationSeparator/>
      </w:r>
    </w:p>
  </w:footnote>
  <w:footnote w:id="1">
    <w:p w14:paraId="58A99B67" w14:textId="6C5C427D" w:rsidR="005701A3" w:rsidRPr="00F61BEE" w:rsidRDefault="005701A3" w:rsidP="00F61BEE">
      <w:pPr>
        <w:pStyle w:val="FootnoteText"/>
        <w:ind w:left="567" w:hanging="567"/>
        <w:rPr>
          <w:sz w:val="24"/>
          <w:lang w:val="hr-HR"/>
        </w:rPr>
      </w:pPr>
      <w:r w:rsidRPr="00F61BEE">
        <w:rPr>
          <w:rStyle w:val="FootnoteReference"/>
          <w:sz w:val="24"/>
          <w:lang w:val="hr-HR"/>
        </w:rPr>
        <w:footnoteRef/>
      </w:r>
      <w:r w:rsidR="00F61BEE" w:rsidRPr="00F61BEE">
        <w:rPr>
          <w:color w:val="333333"/>
          <w:sz w:val="24"/>
          <w:shd w:val="clear" w:color="auto" w:fill="FFFFFF"/>
          <w:lang w:val="hr-HR"/>
        </w:rPr>
        <w:t xml:space="preserve"> </w:t>
      </w:r>
      <w:r w:rsidR="00F61BEE" w:rsidRPr="00F61BEE">
        <w:rPr>
          <w:color w:val="333333"/>
          <w:sz w:val="24"/>
          <w:shd w:val="clear" w:color="auto" w:fill="FFFFFF"/>
          <w:lang w:val="hr-HR"/>
        </w:rPr>
        <w:tab/>
      </w:r>
      <w:r w:rsidRPr="0090256D">
        <w:rPr>
          <w:sz w:val="24"/>
          <w:shd w:val="clear" w:color="auto" w:fill="FFFFFF"/>
          <w:lang w:val="hr-HR"/>
        </w:rPr>
        <w:t>SL C, C/2023/409, 23.11.2023., ELI: </w:t>
      </w:r>
      <w:hyperlink r:id="rId1" w:tgtFrame="_blank" w:tooltip="Poveznica ELI URI za pristup dokumentu." w:history="1">
        <w:r w:rsidRPr="00F61BEE">
          <w:rPr>
            <w:color w:val="337AB7"/>
            <w:sz w:val="24"/>
            <w:u w:val="single"/>
            <w:lang w:val="hr-HR"/>
          </w:rPr>
          <w:t>http://data.europa.eu/eli/C/2023/409/oj</w:t>
        </w:r>
      </w:hyperlink>
      <w:r w:rsidRPr="00F61BEE">
        <w:rPr>
          <w:color w:val="333333"/>
          <w:sz w:val="24"/>
          <w:shd w:val="clear" w:color="auto" w:fill="FFFFFF"/>
          <w:lang w:val="hr-HR"/>
        </w:rPr>
        <w:t>.</w:t>
      </w:r>
    </w:p>
  </w:footnote>
  <w:footnote w:id="2">
    <w:p w14:paraId="0FB43C83" w14:textId="47183F93" w:rsidR="00452A92" w:rsidRPr="00F61BEE" w:rsidRDefault="00452A92" w:rsidP="00452A92">
      <w:pPr>
        <w:pStyle w:val="FootnoteText"/>
        <w:ind w:left="567" w:hanging="567"/>
        <w:rPr>
          <w:sz w:val="24"/>
          <w:lang w:val="hr-HR"/>
        </w:rPr>
      </w:pPr>
      <w:r w:rsidRPr="00F61BEE">
        <w:rPr>
          <w:rStyle w:val="FootnoteReference"/>
          <w:sz w:val="24"/>
          <w:lang w:val="hr-HR"/>
        </w:rPr>
        <w:footnoteRef/>
      </w:r>
      <w:r w:rsidRPr="00F61BEE">
        <w:rPr>
          <w:sz w:val="24"/>
          <w:lang w:val="hr-HR"/>
        </w:rPr>
        <w:t xml:space="preserve"> </w:t>
      </w:r>
      <w:r w:rsidRPr="00F61BEE">
        <w:rPr>
          <w:sz w:val="24"/>
          <w:lang w:val="hr-HR"/>
        </w:rPr>
        <w:tab/>
      </w:r>
      <w:r w:rsidRPr="0090256D">
        <w:rPr>
          <w:sz w:val="24"/>
          <w:lang w:val="hr-HR"/>
        </w:rPr>
        <w:t xml:space="preserve">SL L 277, 27.10.2022., str. 1., ELI: </w:t>
      </w:r>
      <w:hyperlink r:id="rId2" w:history="1">
        <w:r w:rsidRPr="00F61BEE">
          <w:rPr>
            <w:rStyle w:val="Hyperlink"/>
            <w:sz w:val="24"/>
            <w:lang w:val="hr-HR"/>
          </w:rPr>
          <w:t>http://data.europa.eu/eli/reg/2022/2065/oj</w:t>
        </w:r>
      </w:hyperlink>
      <w:r w:rsidRPr="00F61BEE">
        <w:rPr>
          <w:sz w:val="24"/>
          <w:lang w:val="hr-HR"/>
        </w:rPr>
        <w:t>.</w:t>
      </w:r>
    </w:p>
  </w:footnote>
  <w:footnote w:id="3">
    <w:p w14:paraId="209C0FD9" w14:textId="13230888" w:rsidR="005701A3" w:rsidRPr="00F61BEE" w:rsidRDefault="005701A3" w:rsidP="00F61BEE">
      <w:pPr>
        <w:pStyle w:val="FootnoteText"/>
        <w:ind w:left="567" w:hanging="567"/>
        <w:rPr>
          <w:sz w:val="24"/>
          <w:lang w:val="hr-HR"/>
        </w:rPr>
      </w:pPr>
      <w:r w:rsidRPr="00F61BEE">
        <w:rPr>
          <w:rStyle w:val="FootnoteReference"/>
          <w:sz w:val="24"/>
          <w:lang w:val="hr-HR"/>
        </w:rPr>
        <w:footnoteRef/>
      </w:r>
      <w:r w:rsidR="00F61BEE" w:rsidRPr="00F61BEE">
        <w:rPr>
          <w:sz w:val="24"/>
          <w:lang w:val="hr-HR"/>
        </w:rPr>
        <w:t xml:space="preserve"> </w:t>
      </w:r>
      <w:r w:rsidR="00F61BEE" w:rsidRPr="00F61BEE">
        <w:rPr>
          <w:sz w:val="24"/>
          <w:lang w:val="hr-HR"/>
        </w:rPr>
        <w:tab/>
      </w:r>
      <w:r w:rsidRPr="0090256D">
        <w:rPr>
          <w:sz w:val="24"/>
          <w:lang w:val="hr-HR"/>
        </w:rPr>
        <w:t xml:space="preserve">SL L, 2024/1760, 5.7.2024., ELI: </w:t>
      </w:r>
      <w:hyperlink r:id="rId3" w:history="1">
        <w:r w:rsidRPr="00F61BEE">
          <w:rPr>
            <w:rStyle w:val="Hyperlink"/>
            <w:sz w:val="24"/>
            <w:lang w:val="hr-HR"/>
          </w:rPr>
          <w:t>http://data.europa.eu/eli/dir/2024/1760/oj</w:t>
        </w:r>
      </w:hyperlink>
      <w:r w:rsidRPr="00F61BEE">
        <w:rPr>
          <w:sz w:val="24"/>
          <w:lang w:val="hr-HR"/>
        </w:rPr>
        <w:t xml:space="preserve">. </w:t>
      </w:r>
    </w:p>
  </w:footnote>
  <w:footnote w:id="4">
    <w:p w14:paraId="17964733" w14:textId="52490273" w:rsidR="005701A3" w:rsidRPr="00F61BEE" w:rsidRDefault="005701A3" w:rsidP="00F61BEE">
      <w:pPr>
        <w:pStyle w:val="FootnoteText"/>
        <w:ind w:left="567" w:hanging="567"/>
        <w:rPr>
          <w:sz w:val="24"/>
          <w:lang w:val="hr-HR"/>
        </w:rPr>
      </w:pPr>
      <w:r w:rsidRPr="00F61BEE">
        <w:rPr>
          <w:rStyle w:val="FootnoteReference"/>
          <w:sz w:val="24"/>
          <w:lang w:val="hr-HR"/>
        </w:rPr>
        <w:footnoteRef/>
      </w:r>
      <w:r w:rsidR="00F61BEE" w:rsidRPr="00F61BEE">
        <w:rPr>
          <w:sz w:val="24"/>
          <w:lang w:val="hr-HR"/>
        </w:rPr>
        <w:t xml:space="preserve"> </w:t>
      </w:r>
      <w:r w:rsidR="00F61BEE" w:rsidRPr="00F61BEE">
        <w:rPr>
          <w:sz w:val="24"/>
          <w:lang w:val="hr-HR"/>
        </w:rPr>
        <w:tab/>
      </w:r>
      <w:r w:rsidRPr="0090256D">
        <w:rPr>
          <w:sz w:val="24"/>
          <w:lang w:val="hr-HR"/>
        </w:rPr>
        <w:t xml:space="preserve">Uredba (EU) 2021/821 Europskog parlamenta i Vijeća od 20. svibnja 2021. o uspostavi režima Unije za kontrolu izvoza, </w:t>
      </w:r>
      <w:proofErr w:type="spellStart"/>
      <w:r w:rsidRPr="0090256D">
        <w:rPr>
          <w:sz w:val="24"/>
          <w:lang w:val="hr-HR"/>
        </w:rPr>
        <w:t>brokeringa</w:t>
      </w:r>
      <w:proofErr w:type="spellEnd"/>
      <w:r w:rsidRPr="0090256D">
        <w:rPr>
          <w:sz w:val="24"/>
          <w:lang w:val="hr-HR"/>
        </w:rPr>
        <w:t xml:space="preserve">, tehničke pomoći, provoza i prijenosa robe s dvojnom namjenom (SL L 206, 11.6.2021., str. 1., </w:t>
      </w:r>
      <w:r w:rsidRPr="00F61BEE">
        <w:rPr>
          <w:sz w:val="24"/>
          <w:lang w:val="hr-HR"/>
        </w:rPr>
        <w:t xml:space="preserve">ELI: </w:t>
      </w:r>
      <w:hyperlink r:id="rId4" w:history="1">
        <w:r w:rsidRPr="00F61BEE">
          <w:rPr>
            <w:rStyle w:val="Hyperlink"/>
            <w:sz w:val="24"/>
            <w:lang w:val="hr-HR"/>
          </w:rPr>
          <w:t>http://data.europa.eu/eli/reg/2021/821/oj</w:t>
        </w:r>
      </w:hyperlink>
      <w:r w:rsidRPr="00F61BEE">
        <w:rPr>
          <w:sz w:val="24"/>
          <w:lang w:val="hr-HR"/>
        </w:rPr>
        <w:t xml:space="preserve">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9811793">
    <w:abstractNumId w:val="9"/>
  </w:num>
  <w:num w:numId="2" w16cid:durableId="1746683255">
    <w:abstractNumId w:val="9"/>
  </w:num>
  <w:num w:numId="3" w16cid:durableId="1209729407">
    <w:abstractNumId w:val="7"/>
  </w:num>
  <w:num w:numId="4" w16cid:durableId="1830976078">
    <w:abstractNumId w:val="7"/>
  </w:num>
  <w:num w:numId="5" w16cid:durableId="1386103797">
    <w:abstractNumId w:val="6"/>
  </w:num>
  <w:num w:numId="6" w16cid:durableId="2056269130">
    <w:abstractNumId w:val="6"/>
  </w:num>
  <w:num w:numId="7" w16cid:durableId="427774246">
    <w:abstractNumId w:val="5"/>
  </w:num>
  <w:num w:numId="8" w16cid:durableId="1324895127">
    <w:abstractNumId w:val="5"/>
  </w:num>
  <w:num w:numId="9" w16cid:durableId="1782335597">
    <w:abstractNumId w:val="4"/>
  </w:num>
  <w:num w:numId="10" w16cid:durableId="565335988">
    <w:abstractNumId w:val="4"/>
  </w:num>
  <w:num w:numId="11" w16cid:durableId="1720473513">
    <w:abstractNumId w:val="8"/>
  </w:num>
  <w:num w:numId="12" w16cid:durableId="950480246">
    <w:abstractNumId w:val="8"/>
  </w:num>
  <w:num w:numId="13" w16cid:durableId="1718164869">
    <w:abstractNumId w:val="3"/>
  </w:num>
  <w:num w:numId="14" w16cid:durableId="1668555776">
    <w:abstractNumId w:val="3"/>
  </w:num>
  <w:num w:numId="15" w16cid:durableId="2087265086">
    <w:abstractNumId w:val="2"/>
  </w:num>
  <w:num w:numId="16" w16cid:durableId="1739473719">
    <w:abstractNumId w:val="2"/>
  </w:num>
  <w:num w:numId="17" w16cid:durableId="826288110">
    <w:abstractNumId w:val="1"/>
  </w:num>
  <w:num w:numId="18" w16cid:durableId="1621178734">
    <w:abstractNumId w:val="1"/>
  </w:num>
  <w:num w:numId="19" w16cid:durableId="39719467">
    <w:abstractNumId w:val="0"/>
  </w:num>
  <w:num w:numId="20" w16cid:durableId="680396242">
    <w:abstractNumId w:val="0"/>
  </w:num>
  <w:num w:numId="21" w16cid:durableId="1237934619">
    <w:abstractNumId w:val="9"/>
  </w:num>
  <w:num w:numId="22" w16cid:durableId="765657685">
    <w:abstractNumId w:val="7"/>
  </w:num>
  <w:num w:numId="23" w16cid:durableId="1244754413">
    <w:abstractNumId w:val="6"/>
  </w:num>
  <w:num w:numId="24" w16cid:durableId="1000229505">
    <w:abstractNumId w:val="5"/>
  </w:num>
  <w:num w:numId="25" w16cid:durableId="96754409">
    <w:abstractNumId w:val="4"/>
  </w:num>
  <w:num w:numId="26" w16cid:durableId="723336627">
    <w:abstractNumId w:val="8"/>
  </w:num>
  <w:num w:numId="27" w16cid:durableId="783187265">
    <w:abstractNumId w:val="3"/>
  </w:num>
  <w:num w:numId="28" w16cid:durableId="1197229593">
    <w:abstractNumId w:val="2"/>
  </w:num>
  <w:num w:numId="29" w16cid:durableId="699204655">
    <w:abstractNumId w:val="1"/>
  </w:num>
  <w:num w:numId="30" w16cid:durableId="153766254">
    <w:abstractNumId w:val="0"/>
  </w:num>
  <w:num w:numId="31" w16cid:durableId="1128014843">
    <w:abstractNumId w:val="9"/>
  </w:num>
  <w:num w:numId="32" w16cid:durableId="1635912828">
    <w:abstractNumId w:val="7"/>
  </w:num>
  <w:num w:numId="33" w16cid:durableId="583033534">
    <w:abstractNumId w:val="6"/>
  </w:num>
  <w:num w:numId="34" w16cid:durableId="1820883758">
    <w:abstractNumId w:val="5"/>
  </w:num>
  <w:num w:numId="35" w16cid:durableId="305746152">
    <w:abstractNumId w:val="4"/>
  </w:num>
  <w:num w:numId="36" w16cid:durableId="1724863137">
    <w:abstractNumId w:val="8"/>
  </w:num>
  <w:num w:numId="37" w16cid:durableId="616645957">
    <w:abstractNumId w:val="3"/>
  </w:num>
  <w:num w:numId="38" w16cid:durableId="1880317073">
    <w:abstractNumId w:val="2"/>
  </w:num>
  <w:num w:numId="39" w16cid:durableId="848525051">
    <w:abstractNumId w:val="1"/>
  </w:num>
  <w:num w:numId="40" w16cid:durableId="921372807">
    <w:abstractNumId w:val="0"/>
  </w:num>
  <w:num w:numId="41" w16cid:durableId="800801762">
    <w:abstractNumId w:val="10"/>
  </w:num>
  <w:num w:numId="42" w16cid:durableId="442501030">
    <w:abstractNumId w:val="10"/>
  </w:num>
  <w:num w:numId="43" w16cid:durableId="1227109821">
    <w:abstractNumId w:val="10"/>
  </w:num>
  <w:num w:numId="44" w16cid:durableId="723531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HR"/>
    <w:docVar w:name="dvnumam" w:val="0"/>
    <w:docVar w:name="dvpe" w:val="774.242"/>
    <w:docVar w:name="dvrapporteur" w:val="Izvjestiteljica: "/>
    <w:docVar w:name="dvtitre" w:val="Rezolucija Europskog parlamenta od .... 2025. o rješavanju problema transnacionalne represije nad borcima za ljudska prava(2025/2048(INI))"/>
  </w:docVars>
  <w:rsids>
    <w:rsidRoot w:val="00BF10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B5B"/>
    <w:rsid w:val="00343214"/>
    <w:rsid w:val="00361C00"/>
    <w:rsid w:val="00395FA1"/>
    <w:rsid w:val="003E15D4"/>
    <w:rsid w:val="00411CCE"/>
    <w:rsid w:val="0041666E"/>
    <w:rsid w:val="00421060"/>
    <w:rsid w:val="00431B55"/>
    <w:rsid w:val="00452A9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1A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232"/>
    <w:rsid w:val="007D1690"/>
    <w:rsid w:val="007E22AD"/>
    <w:rsid w:val="00817416"/>
    <w:rsid w:val="00834AD9"/>
    <w:rsid w:val="00842779"/>
    <w:rsid w:val="00851465"/>
    <w:rsid w:val="00865F67"/>
    <w:rsid w:val="00881A7B"/>
    <w:rsid w:val="008840E5"/>
    <w:rsid w:val="00887B3E"/>
    <w:rsid w:val="008C2AC6"/>
    <w:rsid w:val="0090256D"/>
    <w:rsid w:val="00930C23"/>
    <w:rsid w:val="0093193B"/>
    <w:rsid w:val="009509D8"/>
    <w:rsid w:val="00950B64"/>
    <w:rsid w:val="00981893"/>
    <w:rsid w:val="009B06F8"/>
    <w:rsid w:val="00A1687D"/>
    <w:rsid w:val="00A43E52"/>
    <w:rsid w:val="00A4678D"/>
    <w:rsid w:val="00A778C7"/>
    <w:rsid w:val="00AB441E"/>
    <w:rsid w:val="00AB6293"/>
    <w:rsid w:val="00AE0928"/>
    <w:rsid w:val="00AF3B82"/>
    <w:rsid w:val="00B025B1"/>
    <w:rsid w:val="00B061FD"/>
    <w:rsid w:val="00B12E95"/>
    <w:rsid w:val="00B22876"/>
    <w:rsid w:val="00B558F0"/>
    <w:rsid w:val="00BD48FE"/>
    <w:rsid w:val="00BD7BD8"/>
    <w:rsid w:val="00BE6ADC"/>
    <w:rsid w:val="00BF10CF"/>
    <w:rsid w:val="00C05BFE"/>
    <w:rsid w:val="00C23CD4"/>
    <w:rsid w:val="00C61C0C"/>
    <w:rsid w:val="00C941CB"/>
    <w:rsid w:val="00CA239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BE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A6F2D"/>
  <w15:chartTrackingRefBased/>
  <w15:docId w15:val="{AEC0AF86-2182-48A1-BFEF-2172A732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01A3"/>
    <w:pPr>
      <w:spacing w:after="240"/>
      <w:ind w:left="567" w:hanging="567"/>
    </w:pPr>
  </w:style>
  <w:style w:type="paragraph" w:customStyle="1" w:styleId="EPComma">
    <w:name w:val="EPComma"/>
    <w:basedOn w:val="Normal"/>
    <w:rsid w:val="005701A3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5701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061F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52A9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3393</Words>
  <Characters>21493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2025-11-13T14:45:00Z</dcterms:created>
  <dcterms:modified xsi:type="dcterms:W3CDTF">2025-11-13T14:45:00Z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