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F57EEA" w14:paraId="3374FA91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4561EFAE" w14:textId="24AD5307" w:rsidR="00751A4A" w:rsidRPr="00F57EEA" w:rsidRDefault="00292FD9" w:rsidP="0010095E">
            <w:pPr>
              <w:pStyle w:val="EPName"/>
            </w:pPr>
            <w:r w:rsidRPr="00F57EEA">
              <w:t>Parlament Europejski</w:t>
            </w:r>
          </w:p>
          <w:p w14:paraId="5934BCFA" w14:textId="77777777" w:rsidR="00751A4A" w:rsidRPr="00F57EEA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F57EEA">
              <w:t>2024</w:t>
            </w:r>
            <w:r w:rsidR="00817416" w:rsidRPr="00F57EEA">
              <w:t>-202</w:t>
            </w:r>
            <w:r w:rsidRPr="00F57EEA">
              <w:t>9</w:t>
            </w:r>
          </w:p>
        </w:tc>
        <w:tc>
          <w:tcPr>
            <w:tcW w:w="2268" w:type="dxa"/>
            <w:shd w:val="clear" w:color="auto" w:fill="auto"/>
          </w:tcPr>
          <w:p w14:paraId="5742A9B2" w14:textId="77777777" w:rsidR="00751A4A" w:rsidRPr="00F57EEA" w:rsidRDefault="00187494" w:rsidP="0010095E">
            <w:pPr>
              <w:pStyle w:val="EPLogo"/>
            </w:pPr>
            <w:r w:rsidRPr="00F57EEA">
              <w:rPr>
                <w:noProof/>
                <w:lang w:eastAsia="ja-JP"/>
              </w:rPr>
              <w:drawing>
                <wp:inline distT="0" distB="0" distL="0" distR="0" wp14:anchorId="211B9D2D" wp14:editId="3B698A69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29BD4B8B" w14:textId="77777777" w:rsidR="00D058B8" w:rsidRPr="00F57EEA" w:rsidRDefault="00D058B8" w:rsidP="004C5D52">
      <w:pPr>
        <w:pStyle w:val="LineTop"/>
      </w:pPr>
    </w:p>
    <w:p w14:paraId="5E07D62E" w14:textId="2CF44DEF" w:rsidR="00680577" w:rsidRPr="00F57EEA" w:rsidRDefault="00292FD9" w:rsidP="00680577">
      <w:pPr>
        <w:pStyle w:val="EPBodyTA1"/>
      </w:pPr>
      <w:r w:rsidRPr="00F57EEA">
        <w:t>TEKSTY PRZYJĘTE</w:t>
      </w:r>
    </w:p>
    <w:p w14:paraId="6DB095E0" w14:textId="77777777" w:rsidR="00D058B8" w:rsidRPr="00F57EEA" w:rsidRDefault="00D058B8" w:rsidP="00D058B8">
      <w:pPr>
        <w:pStyle w:val="LineBottom"/>
      </w:pPr>
    </w:p>
    <w:p w14:paraId="713BC863" w14:textId="1162D83B" w:rsidR="00292FD9" w:rsidRPr="00F57EEA" w:rsidRDefault="00292FD9" w:rsidP="00292FD9">
      <w:pPr>
        <w:pStyle w:val="ATHeading1"/>
      </w:pPr>
      <w:bookmarkStart w:id="0" w:name="TANumber"/>
      <w:r w:rsidRPr="00F57EEA">
        <w:t>P10_TA(2025)0</w:t>
      </w:r>
      <w:bookmarkEnd w:id="0"/>
      <w:r w:rsidR="00265A36">
        <w:t>258</w:t>
      </w:r>
    </w:p>
    <w:p w14:paraId="4A72C41C" w14:textId="77777777" w:rsidR="00292FD9" w:rsidRPr="00F57EEA" w:rsidRDefault="00292FD9" w:rsidP="00292FD9">
      <w:pPr>
        <w:pStyle w:val="ATHeading2"/>
      </w:pPr>
      <w:bookmarkStart w:id="1" w:name="title"/>
      <w:r w:rsidRPr="00F57EEA">
        <w:t>Zwalczanie ponadnarodowych represji wobec obrońców praw człowieka</w:t>
      </w:r>
      <w:bookmarkEnd w:id="1"/>
    </w:p>
    <w:p w14:paraId="37314E5E" w14:textId="77777777" w:rsidR="00292FD9" w:rsidRPr="00F57EEA" w:rsidRDefault="00292FD9" w:rsidP="00292FD9">
      <w:pPr>
        <w:rPr>
          <w:i/>
          <w:vanish/>
        </w:rPr>
      </w:pPr>
      <w:r w:rsidRPr="00F57EEA">
        <w:rPr>
          <w:i/>
        </w:rPr>
        <w:fldChar w:fldCharType="begin"/>
      </w:r>
      <w:r w:rsidRPr="00F57EEA">
        <w:rPr>
          <w:i/>
        </w:rPr>
        <w:instrText xml:space="preserve"> TC"(</w:instrText>
      </w:r>
      <w:bookmarkStart w:id="2" w:name="DocNumber"/>
      <w:r w:rsidRPr="00F57EEA">
        <w:rPr>
          <w:i/>
        </w:rPr>
        <w:instrText>A10-0206/2025</w:instrText>
      </w:r>
      <w:bookmarkEnd w:id="2"/>
      <w:r w:rsidRPr="00F57EEA">
        <w:rPr>
          <w:i/>
        </w:rPr>
        <w:instrText xml:space="preserve"> - Sprawozdawca: </w:instrText>
      </w:r>
      <w:proofErr w:type="spellStart"/>
      <w:r w:rsidRPr="00F57EEA">
        <w:rPr>
          <w:i/>
        </w:rPr>
        <w:instrText>Chloé</w:instrText>
      </w:r>
      <w:proofErr w:type="spellEnd"/>
      <w:r w:rsidRPr="00F57EEA">
        <w:rPr>
          <w:i/>
        </w:rPr>
        <w:instrText xml:space="preserve"> </w:instrText>
      </w:r>
      <w:proofErr w:type="spellStart"/>
      <w:r w:rsidRPr="00F57EEA">
        <w:rPr>
          <w:i/>
        </w:rPr>
        <w:instrText>Ridel</w:instrText>
      </w:r>
      <w:proofErr w:type="spellEnd"/>
      <w:r w:rsidRPr="00F57EEA">
        <w:rPr>
          <w:i/>
        </w:rPr>
        <w:instrText xml:space="preserve">)"\l3 \n&gt; \* MERGEFORMAT </w:instrText>
      </w:r>
      <w:r w:rsidRPr="00F57EEA">
        <w:rPr>
          <w:i/>
        </w:rPr>
        <w:fldChar w:fldCharType="end"/>
      </w:r>
    </w:p>
    <w:p w14:paraId="66A011CB" w14:textId="77777777" w:rsidR="00292FD9" w:rsidRPr="00F57EEA" w:rsidRDefault="00292FD9" w:rsidP="00292FD9">
      <w:pPr>
        <w:rPr>
          <w:vanish/>
        </w:rPr>
      </w:pPr>
      <w:bookmarkStart w:id="3" w:name="Commission"/>
      <w:r w:rsidRPr="00F57EEA">
        <w:rPr>
          <w:vanish/>
        </w:rPr>
        <w:t>Komisja Spraw Zagranicznych</w:t>
      </w:r>
      <w:bookmarkEnd w:id="3"/>
    </w:p>
    <w:p w14:paraId="750BFDE5" w14:textId="77777777" w:rsidR="00292FD9" w:rsidRPr="00F57EEA" w:rsidRDefault="00292FD9" w:rsidP="00292FD9">
      <w:pPr>
        <w:rPr>
          <w:vanish/>
        </w:rPr>
      </w:pPr>
      <w:bookmarkStart w:id="4" w:name="PE"/>
      <w:r w:rsidRPr="00F57EEA">
        <w:rPr>
          <w:vanish/>
        </w:rPr>
        <w:t>PE774.242</w:t>
      </w:r>
      <w:bookmarkEnd w:id="4"/>
    </w:p>
    <w:p w14:paraId="6A3661D9" w14:textId="64073CAF" w:rsidR="00292FD9" w:rsidRPr="00F57EEA" w:rsidRDefault="00292FD9" w:rsidP="00292FD9">
      <w:pPr>
        <w:pStyle w:val="ATHeading3"/>
      </w:pPr>
      <w:bookmarkStart w:id="5" w:name="Sujet"/>
      <w:r w:rsidRPr="00F57EEA">
        <w:t xml:space="preserve">Rezolucja Parlamentu Europejskiego z dnia </w:t>
      </w:r>
      <w:r w:rsidR="00824252">
        <w:t>13 listopada</w:t>
      </w:r>
      <w:r w:rsidRPr="00F57EEA">
        <w:t xml:space="preserve"> 2025 r. w sprawie zwalczania ponadnarodowych represji wobec obrońców praw człowieka</w:t>
      </w:r>
      <w:bookmarkEnd w:id="5"/>
      <w:r w:rsidRPr="00F57EEA">
        <w:t xml:space="preserve"> </w:t>
      </w:r>
      <w:bookmarkStart w:id="6" w:name="References"/>
      <w:r w:rsidRPr="00F57EEA">
        <w:t>(2025/2048(INI))</w:t>
      </w:r>
      <w:bookmarkEnd w:id="6"/>
    </w:p>
    <w:p w14:paraId="163162D2" w14:textId="77777777" w:rsidR="00C468E6" w:rsidRPr="00F57EEA" w:rsidRDefault="00C468E6" w:rsidP="00C468E6">
      <w:pPr>
        <w:pStyle w:val="EPComma"/>
      </w:pPr>
      <w:r w:rsidRPr="00F57EEA">
        <w:rPr>
          <w:i/>
        </w:rPr>
        <w:t>Parlament Europejski</w:t>
      </w:r>
      <w:r w:rsidRPr="00F57EEA">
        <w:t>,</w:t>
      </w:r>
    </w:p>
    <w:p w14:paraId="7FA8C829" w14:textId="064169FB" w:rsidR="00C468E6" w:rsidRPr="00F57EEA" w:rsidRDefault="00C468E6" w:rsidP="00C468E6">
      <w:pPr>
        <w:pStyle w:val="NormalHanging12a"/>
        <w:rPr>
          <w:noProof/>
          <w:snapToGrid w:val="0"/>
        </w:rPr>
      </w:pPr>
      <w:r w:rsidRPr="00F57EEA">
        <w:t>–</w:t>
      </w:r>
      <w:r w:rsidRPr="00F57EEA">
        <w:tab/>
      </w:r>
      <w:r w:rsidRPr="00F57EEA">
        <w:rPr>
          <w:snapToGrid w:val="0"/>
        </w:rPr>
        <w:t xml:space="preserve">uwzględniając deklarację ONZ w sprawie obrońców praw człowieka oraz rezolucję Rady Praw Człowieka ONZ z 4 kwietnia 2025 r. pt. „Human </w:t>
      </w:r>
      <w:proofErr w:type="spellStart"/>
      <w:r w:rsidRPr="00F57EEA">
        <w:rPr>
          <w:snapToGrid w:val="0"/>
        </w:rPr>
        <w:t>rights</w:t>
      </w:r>
      <w:proofErr w:type="spellEnd"/>
      <w:r w:rsidRPr="00F57EEA">
        <w:rPr>
          <w:snapToGrid w:val="0"/>
        </w:rPr>
        <w:t xml:space="preserve"> </w:t>
      </w:r>
      <w:proofErr w:type="spellStart"/>
      <w:r w:rsidRPr="00F57EEA">
        <w:rPr>
          <w:snapToGrid w:val="0"/>
        </w:rPr>
        <w:t>defenders</w:t>
      </w:r>
      <w:proofErr w:type="spellEnd"/>
      <w:r w:rsidRPr="00F57EEA">
        <w:rPr>
          <w:snapToGrid w:val="0"/>
        </w:rPr>
        <w:t xml:space="preserve"> and </w:t>
      </w:r>
      <w:proofErr w:type="spellStart"/>
      <w:r w:rsidRPr="00F57EEA">
        <w:rPr>
          <w:snapToGrid w:val="0"/>
        </w:rPr>
        <w:t>new</w:t>
      </w:r>
      <w:proofErr w:type="spellEnd"/>
      <w:r w:rsidRPr="00F57EEA">
        <w:rPr>
          <w:snapToGrid w:val="0"/>
        </w:rPr>
        <w:t xml:space="preserve"> and </w:t>
      </w:r>
      <w:proofErr w:type="spellStart"/>
      <w:r w:rsidRPr="00F57EEA">
        <w:rPr>
          <w:snapToGrid w:val="0"/>
        </w:rPr>
        <w:t>emerging</w:t>
      </w:r>
      <w:proofErr w:type="spellEnd"/>
      <w:r w:rsidRPr="00F57EEA">
        <w:rPr>
          <w:snapToGrid w:val="0"/>
        </w:rPr>
        <w:t xml:space="preserve"> </w:t>
      </w:r>
      <w:proofErr w:type="spellStart"/>
      <w:r w:rsidRPr="00F57EEA">
        <w:rPr>
          <w:snapToGrid w:val="0"/>
        </w:rPr>
        <w:t>technologies</w:t>
      </w:r>
      <w:proofErr w:type="spellEnd"/>
      <w:r w:rsidRPr="00F57EEA">
        <w:rPr>
          <w:snapToGrid w:val="0"/>
        </w:rPr>
        <w:t xml:space="preserve">: </w:t>
      </w:r>
      <w:proofErr w:type="spellStart"/>
      <w:r w:rsidRPr="00F57EEA">
        <w:rPr>
          <w:snapToGrid w:val="0"/>
        </w:rPr>
        <w:t>protecting</w:t>
      </w:r>
      <w:proofErr w:type="spellEnd"/>
      <w:r w:rsidRPr="00F57EEA">
        <w:rPr>
          <w:snapToGrid w:val="0"/>
        </w:rPr>
        <w:t xml:space="preserve"> </w:t>
      </w:r>
      <w:proofErr w:type="spellStart"/>
      <w:r w:rsidRPr="00F57EEA">
        <w:rPr>
          <w:snapToGrid w:val="0"/>
        </w:rPr>
        <w:t>human</w:t>
      </w:r>
      <w:proofErr w:type="spellEnd"/>
      <w:r w:rsidRPr="00F57EEA">
        <w:rPr>
          <w:snapToGrid w:val="0"/>
        </w:rPr>
        <w:t xml:space="preserve"> </w:t>
      </w:r>
      <w:proofErr w:type="spellStart"/>
      <w:r w:rsidRPr="00F57EEA">
        <w:rPr>
          <w:snapToGrid w:val="0"/>
        </w:rPr>
        <w:t>rights</w:t>
      </w:r>
      <w:proofErr w:type="spellEnd"/>
      <w:r w:rsidRPr="00F57EEA">
        <w:rPr>
          <w:snapToGrid w:val="0"/>
        </w:rPr>
        <w:t xml:space="preserve"> </w:t>
      </w:r>
      <w:proofErr w:type="spellStart"/>
      <w:r w:rsidRPr="00F57EEA">
        <w:rPr>
          <w:snapToGrid w:val="0"/>
        </w:rPr>
        <w:t>defenders</w:t>
      </w:r>
      <w:proofErr w:type="spellEnd"/>
      <w:r w:rsidRPr="00F57EEA">
        <w:rPr>
          <w:snapToGrid w:val="0"/>
        </w:rPr>
        <w:t xml:space="preserve">, </w:t>
      </w:r>
      <w:proofErr w:type="spellStart"/>
      <w:r w:rsidRPr="00F57EEA">
        <w:rPr>
          <w:snapToGrid w:val="0"/>
        </w:rPr>
        <w:t>including</w:t>
      </w:r>
      <w:proofErr w:type="spellEnd"/>
      <w:r w:rsidRPr="00F57EEA">
        <w:rPr>
          <w:snapToGrid w:val="0"/>
        </w:rPr>
        <w:t xml:space="preserve"> </w:t>
      </w:r>
      <w:proofErr w:type="spellStart"/>
      <w:r w:rsidRPr="00F57EEA">
        <w:rPr>
          <w:snapToGrid w:val="0"/>
        </w:rPr>
        <w:t>women</w:t>
      </w:r>
      <w:proofErr w:type="spellEnd"/>
      <w:r w:rsidRPr="00F57EEA">
        <w:rPr>
          <w:snapToGrid w:val="0"/>
        </w:rPr>
        <w:t xml:space="preserve"> </w:t>
      </w:r>
      <w:proofErr w:type="spellStart"/>
      <w:r w:rsidRPr="00F57EEA">
        <w:rPr>
          <w:snapToGrid w:val="0"/>
        </w:rPr>
        <w:t>human</w:t>
      </w:r>
      <w:proofErr w:type="spellEnd"/>
      <w:r w:rsidRPr="00F57EEA">
        <w:rPr>
          <w:snapToGrid w:val="0"/>
        </w:rPr>
        <w:t xml:space="preserve"> </w:t>
      </w:r>
      <w:proofErr w:type="spellStart"/>
      <w:r w:rsidRPr="00F57EEA">
        <w:rPr>
          <w:snapToGrid w:val="0"/>
        </w:rPr>
        <w:t>rights</w:t>
      </w:r>
      <w:proofErr w:type="spellEnd"/>
      <w:r w:rsidRPr="00F57EEA">
        <w:rPr>
          <w:snapToGrid w:val="0"/>
        </w:rPr>
        <w:t xml:space="preserve"> </w:t>
      </w:r>
      <w:proofErr w:type="spellStart"/>
      <w:r w:rsidRPr="00F57EEA">
        <w:rPr>
          <w:snapToGrid w:val="0"/>
        </w:rPr>
        <w:t>defenders</w:t>
      </w:r>
      <w:proofErr w:type="spellEnd"/>
      <w:r w:rsidRPr="00F57EEA">
        <w:rPr>
          <w:snapToGrid w:val="0"/>
        </w:rPr>
        <w:t xml:space="preserve">, in the </w:t>
      </w:r>
      <w:proofErr w:type="spellStart"/>
      <w:r w:rsidRPr="00F57EEA">
        <w:rPr>
          <w:snapToGrid w:val="0"/>
        </w:rPr>
        <w:t>digital</w:t>
      </w:r>
      <w:proofErr w:type="spellEnd"/>
      <w:r w:rsidRPr="00F57EEA">
        <w:rPr>
          <w:snapToGrid w:val="0"/>
        </w:rPr>
        <w:t xml:space="preserve"> </w:t>
      </w:r>
      <w:proofErr w:type="spellStart"/>
      <w:r w:rsidRPr="00F57EEA">
        <w:rPr>
          <w:snapToGrid w:val="0"/>
        </w:rPr>
        <w:t>age</w:t>
      </w:r>
      <w:proofErr w:type="spellEnd"/>
      <w:r w:rsidRPr="00F57EEA">
        <w:rPr>
          <w:snapToGrid w:val="0"/>
        </w:rPr>
        <w:t xml:space="preserve">” [Obrońcy praw człowieka oraz nowe i powstające technologie: ochrona obrońców praw </w:t>
      </w:r>
      <w:proofErr w:type="spellStart"/>
      <w:r w:rsidRPr="00F57EEA">
        <w:rPr>
          <w:snapToGrid w:val="0"/>
        </w:rPr>
        <w:t>czowieka</w:t>
      </w:r>
      <w:proofErr w:type="spellEnd"/>
      <w:r w:rsidRPr="00F57EEA">
        <w:rPr>
          <w:snapToGrid w:val="0"/>
        </w:rPr>
        <w:t>, w tym obrończyń praw człowieka, w epoce cyfrowej],</w:t>
      </w:r>
    </w:p>
    <w:p w14:paraId="0913BDBD" w14:textId="77777777" w:rsidR="00C468E6" w:rsidRPr="00F57EEA" w:rsidRDefault="00C468E6" w:rsidP="00C468E6">
      <w:pPr>
        <w:pStyle w:val="NormalHanging12a"/>
        <w:rPr>
          <w:noProof/>
          <w:snapToGrid w:val="0"/>
        </w:rPr>
      </w:pPr>
      <w:r w:rsidRPr="00F57EEA">
        <w:t>–</w:t>
      </w:r>
      <w:r w:rsidRPr="00F57EEA">
        <w:tab/>
      </w:r>
      <w:r w:rsidRPr="00F57EEA">
        <w:rPr>
          <w:snapToGrid w:val="0"/>
        </w:rPr>
        <w:t>uwzględniając Traktat o Unii Europejskiej, w szczególności jego art. 3 i 21,</w:t>
      </w:r>
    </w:p>
    <w:p w14:paraId="5562C46A" w14:textId="77777777" w:rsidR="00C468E6" w:rsidRPr="00F57EEA" w:rsidRDefault="00C468E6" w:rsidP="00C468E6">
      <w:pPr>
        <w:pStyle w:val="NormalHanging12a"/>
        <w:rPr>
          <w:noProof/>
          <w:snapToGrid w:val="0"/>
        </w:rPr>
      </w:pPr>
      <w:r w:rsidRPr="00F57EEA">
        <w:t>–</w:t>
      </w:r>
      <w:r w:rsidRPr="00F57EEA">
        <w:tab/>
      </w:r>
      <w:r w:rsidRPr="00F57EEA">
        <w:rPr>
          <w:snapToGrid w:val="0"/>
        </w:rPr>
        <w:t>uwzględniając Kartę praw podstawowych Unii Europejskiej,</w:t>
      </w:r>
    </w:p>
    <w:p w14:paraId="4915FEA8" w14:textId="77777777" w:rsidR="00C468E6" w:rsidRPr="00F57EEA" w:rsidRDefault="00C468E6" w:rsidP="00C468E6">
      <w:pPr>
        <w:pStyle w:val="NormalHanging12a"/>
        <w:rPr>
          <w:noProof/>
          <w:snapToGrid w:val="0"/>
        </w:rPr>
      </w:pPr>
      <w:r w:rsidRPr="00F57EEA">
        <w:t>–</w:t>
      </w:r>
      <w:r w:rsidRPr="00F57EEA">
        <w:tab/>
      </w:r>
      <w:r w:rsidRPr="00F57EEA">
        <w:rPr>
          <w:snapToGrid w:val="0"/>
        </w:rPr>
        <w:t>uwzględniając Wytyczne UE w sprawie obrońców praw człowieka przyjęte w czerwcu 2004 r. oraz swoją rezolucję z 16 marca 2023 r. na temat wytycznych UE w sprawie obrońców praw człowieka</w:t>
      </w:r>
      <w:r w:rsidRPr="00F57EEA">
        <w:rPr>
          <w:rStyle w:val="FootnoteReference"/>
          <w:noProof/>
          <w:snapToGrid w:val="0"/>
          <w:lang w:eastAsia="en-US"/>
        </w:rPr>
        <w:footnoteReference w:id="1"/>
      </w:r>
      <w:r w:rsidRPr="00F57EEA">
        <w:rPr>
          <w:snapToGrid w:val="0"/>
        </w:rPr>
        <w:t>,</w:t>
      </w:r>
    </w:p>
    <w:p w14:paraId="6BD75F4D" w14:textId="77777777" w:rsidR="00C468E6" w:rsidRPr="00F57EEA" w:rsidRDefault="00C468E6" w:rsidP="00C468E6">
      <w:pPr>
        <w:pStyle w:val="NormalHanging12a"/>
        <w:rPr>
          <w:noProof/>
          <w:snapToGrid w:val="0"/>
        </w:rPr>
      </w:pPr>
      <w:r w:rsidRPr="00F57EEA">
        <w:rPr>
          <w:snapToGrid w:val="0"/>
        </w:rPr>
        <w:t>–</w:t>
      </w:r>
      <w:r w:rsidRPr="00F57EEA">
        <w:rPr>
          <w:snapToGrid w:val="0"/>
        </w:rPr>
        <w:tab/>
        <w:t>uwzględniając konkluzje Rady z 27 stycznia 2025 r. w sprawie priorytetów UE w 2025 r. na forach ONZ zajmujących się prawami człowieka,</w:t>
      </w:r>
    </w:p>
    <w:p w14:paraId="406FF8DF" w14:textId="77777777" w:rsidR="00C468E6" w:rsidRPr="00F57EEA" w:rsidRDefault="00C468E6" w:rsidP="00C468E6">
      <w:pPr>
        <w:pStyle w:val="NormalHanging12a"/>
        <w:rPr>
          <w:noProof/>
          <w:snapToGrid w:val="0"/>
        </w:rPr>
      </w:pPr>
      <w:r w:rsidRPr="00F57EEA">
        <w:rPr>
          <w:snapToGrid w:val="0"/>
        </w:rPr>
        <w:t>–</w:t>
      </w:r>
      <w:r w:rsidRPr="00F57EEA">
        <w:rPr>
          <w:snapToGrid w:val="0"/>
        </w:rPr>
        <w:tab/>
        <w:t>uwzględniając plan działania UE dotyczący praw człowieka i demokracji na lata 2020–2024, który przedłużono do 2027 r.,</w:t>
      </w:r>
    </w:p>
    <w:p w14:paraId="22AB4C12" w14:textId="3C4ED9A6" w:rsidR="00C468E6" w:rsidRPr="00F57EEA" w:rsidRDefault="00C468E6" w:rsidP="00C468E6">
      <w:pPr>
        <w:pStyle w:val="NormalHanging12a"/>
        <w:rPr>
          <w:noProof/>
          <w:snapToGrid w:val="0"/>
        </w:rPr>
      </w:pPr>
      <w:r w:rsidRPr="00F57EEA">
        <w:rPr>
          <w:snapToGrid w:val="0"/>
        </w:rPr>
        <w:t>–</w:t>
      </w:r>
      <w:r w:rsidRPr="00F57EEA">
        <w:rPr>
          <w:snapToGrid w:val="0"/>
        </w:rPr>
        <w:tab/>
      </w:r>
      <w:r w:rsidRPr="00F57EEA">
        <w:t>uwzględniając rozporządzenie Parlamentu Europejskiego i Rady (UE) 2022/2065 z 19 października 2022 r. w sprawie jednolitego rynku usług cyfrowych oraz zmiany dyrektywy 2000/31/WE(</w:t>
      </w:r>
      <w:r w:rsidRPr="00F57EEA">
        <w:rPr>
          <w:snapToGrid w:val="0"/>
        </w:rPr>
        <w:t>akt o usługach cyfrowych)</w:t>
      </w:r>
      <w:r w:rsidR="00824252" w:rsidRPr="00F57EEA">
        <w:rPr>
          <w:rStyle w:val="FootnoteReference"/>
          <w:noProof/>
          <w:snapToGrid w:val="0"/>
          <w:lang w:eastAsia="en-US"/>
        </w:rPr>
        <w:footnoteReference w:id="2"/>
      </w:r>
      <w:r w:rsidR="00824252" w:rsidRPr="00F57EEA">
        <w:t xml:space="preserve"> </w:t>
      </w:r>
      <w:r w:rsidRPr="00F57EEA">
        <w:rPr>
          <w:snapToGrid w:val="0"/>
        </w:rPr>
        <w:t>,</w:t>
      </w:r>
    </w:p>
    <w:p w14:paraId="209205D7" w14:textId="77777777" w:rsidR="00C468E6" w:rsidRPr="00F57EEA" w:rsidRDefault="00C468E6" w:rsidP="00C468E6">
      <w:pPr>
        <w:pStyle w:val="NormalHanging12a"/>
        <w:rPr>
          <w:noProof/>
          <w:snapToGrid w:val="0"/>
        </w:rPr>
      </w:pPr>
      <w:r w:rsidRPr="00F57EEA">
        <w:rPr>
          <w:snapToGrid w:val="0"/>
        </w:rPr>
        <w:t>–</w:t>
      </w:r>
      <w:r w:rsidRPr="00F57EEA">
        <w:rPr>
          <w:snapToGrid w:val="0"/>
        </w:rPr>
        <w:tab/>
      </w:r>
      <w:r w:rsidRPr="00F57EEA">
        <w:t xml:space="preserve">uwzględniając dyrektywę Parlamentu Europejskiego i Rady (UE) 2024/1760 z dnia 13 czerwca 2024 r. w sprawie należytej staranności przedsiębiorstw w zakresie </w:t>
      </w:r>
      <w:r w:rsidRPr="00F57EEA">
        <w:lastRenderedPageBreak/>
        <w:t>zrównoważonego rozwoju oraz zmieniającą dyrektywę (UE) 2019/1937 i rozporządzenie (UE) 2023/2859</w:t>
      </w:r>
      <w:r w:rsidRPr="00F57EEA">
        <w:rPr>
          <w:rStyle w:val="FootnoteReference"/>
          <w:noProof/>
          <w:snapToGrid w:val="0"/>
          <w:lang w:eastAsia="en-US"/>
        </w:rPr>
        <w:footnoteReference w:id="3"/>
      </w:r>
      <w:r w:rsidRPr="00F57EEA">
        <w:rPr>
          <w:snapToGrid w:val="0"/>
        </w:rPr>
        <w:t>,</w:t>
      </w:r>
    </w:p>
    <w:p w14:paraId="1CF6BE88" w14:textId="77777777" w:rsidR="00C468E6" w:rsidRPr="00F57EEA" w:rsidRDefault="00C468E6" w:rsidP="00C468E6">
      <w:pPr>
        <w:pStyle w:val="NormalHanging12a"/>
        <w:rPr>
          <w:noProof/>
          <w:snapToGrid w:val="0"/>
        </w:rPr>
      </w:pPr>
      <w:r w:rsidRPr="00F57EEA">
        <w:rPr>
          <w:snapToGrid w:val="0"/>
        </w:rPr>
        <w:t>–</w:t>
      </w:r>
      <w:r w:rsidRPr="00F57EEA">
        <w:rPr>
          <w:snapToGrid w:val="0"/>
        </w:rPr>
        <w:tab/>
        <w:t>uwzględniając sprawozdanie roczne Komisji za 2024 r. w sprawie praw człowieka i demokracji na świecie sporządzone przez Wysoką Przedstawicielkę Unii do Spraw Zagranicznych i Polityki Bezpieczeństwa,</w:t>
      </w:r>
    </w:p>
    <w:p w14:paraId="40F82E70" w14:textId="77777777" w:rsidR="00C468E6" w:rsidRPr="00F57EEA" w:rsidRDefault="00C468E6" w:rsidP="00C468E6">
      <w:pPr>
        <w:pStyle w:val="NormalHanging12a"/>
        <w:tabs>
          <w:tab w:val="left" w:pos="3063"/>
        </w:tabs>
        <w:rPr>
          <w:noProof/>
          <w:snapToGrid w:val="0"/>
        </w:rPr>
      </w:pPr>
      <w:r w:rsidRPr="00F57EEA">
        <w:rPr>
          <w:snapToGrid w:val="0"/>
        </w:rPr>
        <w:t>–</w:t>
      </w:r>
      <w:r w:rsidRPr="00F57EEA">
        <w:rPr>
          <w:snapToGrid w:val="0"/>
        </w:rPr>
        <w:tab/>
        <w:t xml:space="preserve">uwzględniając swoje sprawozdanie w sprawie dochodzenia w sprawie zarzutów naruszenia prawa Unii i niewłaściwego administrowania w jego stosowaniu w odniesieniu do oprogramowania </w:t>
      </w:r>
      <w:proofErr w:type="spellStart"/>
      <w:r w:rsidRPr="00F57EEA">
        <w:rPr>
          <w:snapToGrid w:val="0"/>
        </w:rPr>
        <w:t>Pegasus</w:t>
      </w:r>
      <w:proofErr w:type="spellEnd"/>
      <w:r w:rsidRPr="00F57EEA">
        <w:rPr>
          <w:snapToGrid w:val="0"/>
        </w:rPr>
        <w:t xml:space="preserve"> i równoważnego oprogramowania szpiegowskiego,</w:t>
      </w:r>
    </w:p>
    <w:p w14:paraId="0C1A6006" w14:textId="77777777" w:rsidR="00C468E6" w:rsidRPr="00F57EEA" w:rsidRDefault="00C468E6" w:rsidP="00C468E6">
      <w:pPr>
        <w:pStyle w:val="NormalHanging12a"/>
        <w:rPr>
          <w:noProof/>
          <w:snapToGrid w:val="0"/>
        </w:rPr>
      </w:pPr>
      <w:r w:rsidRPr="00F57EEA">
        <w:rPr>
          <w:snapToGrid w:val="0"/>
        </w:rPr>
        <w:t>–</w:t>
      </w:r>
      <w:r w:rsidRPr="00F57EEA">
        <w:rPr>
          <w:snapToGrid w:val="0"/>
        </w:rPr>
        <w:tab/>
        <w:t>uwzględniając oświadczenie przywódców grupy G-7 z 17 czerwca 2025 r. w sprawie ponadnarodowych represji oraz wielostronny dialog G-7 na temat ponadnarodowych represji z lutego 2025 r.,</w:t>
      </w:r>
    </w:p>
    <w:p w14:paraId="6AE277C8" w14:textId="77777777" w:rsidR="00C468E6" w:rsidRPr="00F57EEA" w:rsidRDefault="00C468E6" w:rsidP="00C468E6">
      <w:pPr>
        <w:pStyle w:val="NormalHanging12a"/>
        <w:rPr>
          <w:noProof/>
          <w:snapToGrid w:val="0"/>
        </w:rPr>
      </w:pPr>
      <w:r w:rsidRPr="00F57EEA">
        <w:rPr>
          <w:snapToGrid w:val="0"/>
        </w:rPr>
        <w:t>–</w:t>
      </w:r>
      <w:r w:rsidRPr="00F57EEA">
        <w:rPr>
          <w:snapToGrid w:val="0"/>
        </w:rPr>
        <w:tab/>
        <w:t>uwzględniając badanie Dyrekcji Generalnej ds. Polityki Zewnętrznej Unii Europejskiej z czerwca 2025 r. pt. „Ponadnarodowe represje wobec obrońców praw człowieka: wpływ na przestrzeń społeczeństwa obywatelskiego i odpowiedzialność państw przyjmujących”,</w:t>
      </w:r>
    </w:p>
    <w:p w14:paraId="0D1A16F1" w14:textId="77777777" w:rsidR="00C468E6" w:rsidRPr="00F57EEA" w:rsidRDefault="00C468E6" w:rsidP="00C468E6">
      <w:pPr>
        <w:pStyle w:val="NormalHanging12a"/>
      </w:pPr>
      <w:r w:rsidRPr="00F57EEA">
        <w:t>–</w:t>
      </w:r>
      <w:r w:rsidRPr="00F57EEA">
        <w:tab/>
        <w:t>uwzględniając art. 55 Regulaminu,</w:t>
      </w:r>
    </w:p>
    <w:p w14:paraId="3CEEC297" w14:textId="77777777" w:rsidR="00C468E6" w:rsidRPr="00F57EEA" w:rsidRDefault="00C468E6" w:rsidP="00C468E6">
      <w:pPr>
        <w:pStyle w:val="NormalHanging12a"/>
        <w:rPr>
          <w:noProof/>
        </w:rPr>
      </w:pPr>
      <w:r w:rsidRPr="00F57EEA">
        <w:t>–</w:t>
      </w:r>
      <w:r w:rsidRPr="00F57EEA">
        <w:tab/>
        <w:t>uwzględniając sprawozdanie Komisji Spraw Zagranicznych (A10-0206/2025),</w:t>
      </w:r>
    </w:p>
    <w:p w14:paraId="2EABE6AF" w14:textId="77777777" w:rsidR="00C468E6" w:rsidRPr="00F57EEA" w:rsidRDefault="00C468E6" w:rsidP="00C468E6">
      <w:pPr>
        <w:pStyle w:val="NormalHanging12a"/>
        <w:rPr>
          <w:noProof/>
        </w:rPr>
      </w:pPr>
      <w:r w:rsidRPr="00F57EEA">
        <w:rPr>
          <w:snapToGrid w:val="0"/>
        </w:rPr>
        <w:t>A.</w:t>
      </w:r>
      <w:r w:rsidRPr="00F57EEA">
        <w:rPr>
          <w:snapToGrid w:val="0"/>
        </w:rPr>
        <w:tab/>
      </w:r>
      <w:r w:rsidRPr="00F57EEA">
        <w:t>mając na uwadze, że ponadnarodowe represje są dobrze udokumentowanym zjawiskiem mającym miejsce w globalnym kontekście pogarszającej się sytuacji w zakresie praw człowieka, kurczącej się przestrzeni społeczeństwa obywatelskiego i coraz powszechniejszych reżimów autorytarnych, które są coraz bardziej represyjne i asertywne;</w:t>
      </w:r>
    </w:p>
    <w:p w14:paraId="13BD9A86" w14:textId="1CB90455" w:rsidR="00C468E6" w:rsidRPr="00F57EEA" w:rsidRDefault="00C468E6" w:rsidP="00C468E6">
      <w:pPr>
        <w:pStyle w:val="NormalHanging12a"/>
        <w:rPr>
          <w:noProof/>
        </w:rPr>
      </w:pPr>
      <w:r w:rsidRPr="00F57EEA">
        <w:rPr>
          <w:snapToGrid w:val="0"/>
        </w:rPr>
        <w:t>B.</w:t>
      </w:r>
      <w:r w:rsidRPr="00F57EEA">
        <w:rPr>
          <w:snapToGrid w:val="0"/>
        </w:rPr>
        <w:tab/>
      </w:r>
      <w:r w:rsidRPr="00F57EEA">
        <w:t xml:space="preserve">mając na uwadze, że nie istnieje powszechnie przyjęta definicja ponadnarodowych represji, a oficjalne dane są ograniczone, co utrudnia walkę z tym zjawiskiem; mając na uwadze, że według organizacji </w:t>
      </w:r>
      <w:proofErr w:type="spellStart"/>
      <w:r w:rsidRPr="00F57EEA">
        <w:t>Freedom</w:t>
      </w:r>
      <w:proofErr w:type="spellEnd"/>
      <w:r w:rsidRPr="00F57EEA">
        <w:t xml:space="preserve"> House w okresie 2014–2024 ponad 25 % rządów na świecie uczestniczyło w ponadnarodowych represjach i odnotowano 1 219 bezpośrednich incydentów fizycznych w 103 krajach docelowych; mając na uwadze, że dziesięć reżimów odpowiada za prawie 80 % wszystkich przypadków ponadnarodowych represji, a mianowicie Chiny, Turcja, Tadżykistan, Rosja, Egipt, Kambodża, Turkmenistan, Uzbekistan, Iran i Białoruś; mając na uwadze, że kraje w innych regionach, takie jak </w:t>
      </w:r>
      <w:r w:rsidR="00863A0B" w:rsidRPr="00863A0B">
        <w:t>Kuba,</w:t>
      </w:r>
      <w:r w:rsidR="00863A0B">
        <w:t xml:space="preserve"> </w:t>
      </w:r>
      <w:r w:rsidRPr="00F57EEA">
        <w:t>Nikaragua i Wenezuela w Ameryce Łacińskiej, Arabia Saudyjska w Zatoce Perskiej i Erytrea w Afryce, są również zarejestrowane jako sprawcy ponadnarodowych represji;</w:t>
      </w:r>
    </w:p>
    <w:p w14:paraId="6BDDBD13" w14:textId="77777777" w:rsidR="00C468E6" w:rsidRPr="00F57EEA" w:rsidRDefault="00C468E6" w:rsidP="00C468E6">
      <w:pPr>
        <w:pStyle w:val="NormalHanging12a"/>
        <w:rPr>
          <w:noProof/>
        </w:rPr>
      </w:pPr>
      <w:r w:rsidRPr="00F57EEA">
        <w:rPr>
          <w:snapToGrid w:val="0"/>
        </w:rPr>
        <w:t>C.</w:t>
      </w:r>
      <w:r w:rsidRPr="00F57EEA">
        <w:rPr>
          <w:snapToGrid w:val="0"/>
        </w:rPr>
        <w:tab/>
      </w:r>
      <w:r w:rsidRPr="00F57EEA">
        <w:t>mając na uwadze, że deklaracja ONZ o obrońcach praw człowieka określa obrońców praw człowieka jako osoby lub grupy, które propagują, chronią lub starają się chronić i urzeczywistniać prawa człowieka i podstawowe wolności pokojowymi metodami na poziomie krajowym i międzynarodowym;</w:t>
      </w:r>
    </w:p>
    <w:p w14:paraId="34AB7D29" w14:textId="77777777" w:rsidR="00C468E6" w:rsidRPr="00F57EEA" w:rsidRDefault="00C468E6" w:rsidP="00C468E6">
      <w:pPr>
        <w:pStyle w:val="NormalHanging12a"/>
        <w:rPr>
          <w:noProof/>
        </w:rPr>
      </w:pPr>
      <w:r w:rsidRPr="00F57EEA">
        <w:rPr>
          <w:snapToGrid w:val="0"/>
        </w:rPr>
        <w:t>D.</w:t>
      </w:r>
      <w:r w:rsidRPr="00F57EEA">
        <w:rPr>
          <w:snapToGrid w:val="0"/>
        </w:rPr>
        <w:tab/>
        <w:t xml:space="preserve">mając na uwadze, że obrońcy praw człowieka są kluczowymi sojusznikami UE w obronie i promowaniu praw człowieka, demokracji i praworządności, a także w </w:t>
      </w:r>
      <w:r w:rsidRPr="00F57EEA">
        <w:rPr>
          <w:snapToGrid w:val="0"/>
        </w:rPr>
        <w:lastRenderedPageBreak/>
        <w:t>potępianiu naruszeń tych praw; mając na uwadze, że wdrażanie Wytycznych UE w sprawie obrońców praw człowieka i powiązanych zobowiązań pozostaje nierównomierne;</w:t>
      </w:r>
    </w:p>
    <w:p w14:paraId="31ED6018" w14:textId="77777777" w:rsidR="00C468E6" w:rsidRPr="00F57EEA" w:rsidRDefault="00C468E6" w:rsidP="00C468E6">
      <w:pPr>
        <w:pStyle w:val="NormalHanging12a"/>
        <w:rPr>
          <w:noProof/>
          <w:snapToGrid w:val="0"/>
        </w:rPr>
      </w:pPr>
      <w:r w:rsidRPr="00F57EEA">
        <w:rPr>
          <w:snapToGrid w:val="0"/>
        </w:rPr>
        <w:t>E.</w:t>
      </w:r>
      <w:r w:rsidRPr="00F57EEA">
        <w:rPr>
          <w:snapToGrid w:val="0"/>
        </w:rPr>
        <w:tab/>
        <w:t>mając na uwadze, że obrońcom praw człowieka na całym świecie grożą ponadnarodowe represje i że w ostatnich latach odnotowuje się coraz więcej przypadków takich represji; mając na uwadze, że wiele spraw pozostaje niezarejestrowanych z powodu strachu przed działaniami odwetowymi;</w:t>
      </w:r>
    </w:p>
    <w:p w14:paraId="7A8C3628" w14:textId="77777777" w:rsidR="00C468E6" w:rsidRPr="00F57EEA" w:rsidRDefault="00C468E6" w:rsidP="00C468E6">
      <w:pPr>
        <w:pStyle w:val="NormalHanging12a"/>
        <w:rPr>
          <w:noProof/>
          <w:snapToGrid w:val="0"/>
        </w:rPr>
      </w:pPr>
      <w:r w:rsidRPr="00F57EEA">
        <w:rPr>
          <w:snapToGrid w:val="0"/>
        </w:rPr>
        <w:t>F.</w:t>
      </w:r>
      <w:r w:rsidRPr="00F57EEA">
        <w:rPr>
          <w:snapToGrid w:val="0"/>
        </w:rPr>
        <w:tab/>
        <w:t>mając na uwadze, że ponadnarodowe represje często zagrażają bezpieczeństwu, suwerenności i porządkowi prawnemu państw przyjmujących oraz stwarzają systemowe zagrożenia dla przestrzeni społeczeństwa obywatelskiego, instytucji demokratycznych i praworządności zarówno na szczeblu międzynarodowym, jak i w obrębie danego państwa, o czym świadczą sprawozdania służb wywiadowczych państw członkowskich i krajów o podobnych poglądach;</w:t>
      </w:r>
    </w:p>
    <w:p w14:paraId="70069AA2" w14:textId="77777777" w:rsidR="00C468E6" w:rsidRPr="00F57EEA" w:rsidRDefault="00C468E6" w:rsidP="00C468E6">
      <w:pPr>
        <w:pStyle w:val="NormalHanging12a"/>
        <w:rPr>
          <w:noProof/>
          <w:snapToGrid w:val="0"/>
        </w:rPr>
      </w:pPr>
      <w:r w:rsidRPr="00F57EEA">
        <w:rPr>
          <w:snapToGrid w:val="0"/>
        </w:rPr>
        <w:t>G.</w:t>
      </w:r>
      <w:r w:rsidRPr="00F57EEA">
        <w:rPr>
          <w:snapToGrid w:val="0"/>
        </w:rPr>
        <w:tab/>
        <w:t>mając na uwadze, że pomimo rosnącej świadomości istnienia i skali ponadnarodowych represji reakcje na nie w polityce zagranicznej i wewnętrznej UE są nadal ograniczone i fragmentaryczne, co powoduje niepokojącą lukę w ochronie zagrożonych obrońców praw człowieka;</w:t>
      </w:r>
    </w:p>
    <w:p w14:paraId="48672DAA" w14:textId="77777777" w:rsidR="00C468E6" w:rsidRPr="00F57EEA" w:rsidRDefault="00C468E6" w:rsidP="00C468E6">
      <w:pPr>
        <w:pStyle w:val="NormalHanging12a"/>
        <w:rPr>
          <w:noProof/>
          <w:snapToGrid w:val="0"/>
        </w:rPr>
      </w:pPr>
      <w:r w:rsidRPr="00F57EEA">
        <w:rPr>
          <w:snapToGrid w:val="0"/>
        </w:rPr>
        <w:t>H.</w:t>
      </w:r>
      <w:r w:rsidRPr="00F57EEA">
        <w:rPr>
          <w:snapToGrid w:val="0"/>
        </w:rPr>
        <w:tab/>
        <w:t xml:space="preserve">mając na uwadze, że nowe technologie, w szczególności oprogramowanie szpiegujące, takie jak </w:t>
      </w:r>
      <w:proofErr w:type="spellStart"/>
      <w:r w:rsidRPr="00F57EEA">
        <w:rPr>
          <w:snapToGrid w:val="0"/>
        </w:rPr>
        <w:t>Pegasus</w:t>
      </w:r>
      <w:proofErr w:type="spellEnd"/>
      <w:r w:rsidRPr="00F57EEA">
        <w:rPr>
          <w:snapToGrid w:val="0"/>
        </w:rPr>
        <w:t>, są podstawowym narzędziem nowoczesnych ponadnarodowych represji, które rządy wykorzystują do szpiegowania i nadzorowania obrońców praw człowieka;</w:t>
      </w:r>
    </w:p>
    <w:p w14:paraId="394FB37E" w14:textId="77777777" w:rsidR="00C468E6" w:rsidRPr="00F57EEA" w:rsidRDefault="00C468E6" w:rsidP="00C468E6">
      <w:pPr>
        <w:pStyle w:val="NormalHanging12a"/>
        <w:rPr>
          <w:noProof/>
          <w:snapToGrid w:val="0"/>
        </w:rPr>
      </w:pPr>
      <w:r w:rsidRPr="00F57EEA">
        <w:rPr>
          <w:snapToGrid w:val="0"/>
        </w:rPr>
        <w:t>I.</w:t>
      </w:r>
      <w:r w:rsidRPr="00F57EEA">
        <w:rPr>
          <w:snapToGrid w:val="0"/>
        </w:rPr>
        <w:tab/>
        <w:t xml:space="preserve">mając na uwadze, że media społecznościowe i inne platformy cyfrowe zapewniają środowisko sprzyjające ponadnarodowym represjom, w tym w formie ataków </w:t>
      </w:r>
      <w:proofErr w:type="spellStart"/>
      <w:r w:rsidRPr="00F57EEA">
        <w:rPr>
          <w:snapToGrid w:val="0"/>
        </w:rPr>
        <w:t>hakerskich</w:t>
      </w:r>
      <w:proofErr w:type="spellEnd"/>
      <w:r w:rsidRPr="00F57EEA">
        <w:rPr>
          <w:snapToGrid w:val="0"/>
        </w:rPr>
        <w:t xml:space="preserve">, nękania w </w:t>
      </w:r>
      <w:proofErr w:type="spellStart"/>
      <w:r w:rsidRPr="00F57EEA">
        <w:rPr>
          <w:snapToGrid w:val="0"/>
        </w:rPr>
        <w:t>internecie</w:t>
      </w:r>
      <w:proofErr w:type="spellEnd"/>
      <w:r w:rsidRPr="00F57EEA">
        <w:rPr>
          <w:snapToGrid w:val="0"/>
        </w:rPr>
        <w:t>, zastraszania i zniesławienia oraz kampanii dezinformacyjnych, które są głęboko powiązane z tradycyjnymi metodami ponadnarodowych represji wobec obrońców praw człowieka;</w:t>
      </w:r>
    </w:p>
    <w:p w14:paraId="41A5AF5B" w14:textId="77777777" w:rsidR="00C468E6" w:rsidRPr="00F57EEA" w:rsidRDefault="00C468E6" w:rsidP="00C468E6">
      <w:pPr>
        <w:pStyle w:val="NormalHanging12a"/>
        <w:rPr>
          <w:noProof/>
          <w:snapToGrid w:val="0"/>
        </w:rPr>
      </w:pPr>
      <w:r w:rsidRPr="00F57EEA">
        <w:rPr>
          <w:snapToGrid w:val="0"/>
        </w:rPr>
        <w:t>J.</w:t>
      </w:r>
      <w:r w:rsidRPr="00F57EEA">
        <w:rPr>
          <w:snapToGrid w:val="0"/>
        </w:rPr>
        <w:tab/>
        <w:t xml:space="preserve">mając na uwadze, że ponadnarodowe represje cyfrowe w coraz większym stopniu wykorzystują podwójne zastosowanie technologii internetowych, w tym mediów społecznościowych i platform cyfrowych, które stanowią podstawową przestrzeń publiczną wykorzystywaną przez organizacje społeczeństwa obywatelskiego, obrońców praw człowieka, dziennikarzy, prawników, </w:t>
      </w:r>
      <w:proofErr w:type="spellStart"/>
      <w:r w:rsidRPr="00F57EEA">
        <w:rPr>
          <w:snapToGrid w:val="0"/>
        </w:rPr>
        <w:t>blogerów</w:t>
      </w:r>
      <w:proofErr w:type="spellEnd"/>
      <w:r w:rsidRPr="00F57EEA">
        <w:rPr>
          <w:snapToGrid w:val="0"/>
        </w:rPr>
        <w:t xml:space="preserve"> i inne niezależne głosy do ujawniania nadużyć i wspierania podstawowych wolności; mając na uwadze, że podmioty autorytarne starają się zaśmiecać, monitorować, manipulować lub uciszać te platformy poprzez nękanie, dezinformację i nadzór; mając na uwadze, że niektóre przedsiębiorstwa technologiczne czasami odgrywały bierną, a nawet aktywną rolę w ułatwianiu represji cyfrowych, stając się w ten sposób znaczącymi czynnikami umożliwiającymi ponadnarodowe represje;</w:t>
      </w:r>
    </w:p>
    <w:p w14:paraId="0C4513F2" w14:textId="77777777" w:rsidR="00C468E6" w:rsidRPr="00F57EEA" w:rsidRDefault="00C468E6" w:rsidP="00C468E6">
      <w:pPr>
        <w:pStyle w:val="NormalHanging12a"/>
        <w:rPr>
          <w:noProof/>
          <w:snapToGrid w:val="0"/>
        </w:rPr>
      </w:pPr>
      <w:r w:rsidRPr="00F57EEA">
        <w:rPr>
          <w:snapToGrid w:val="0"/>
        </w:rPr>
        <w:t>K.</w:t>
      </w:r>
      <w:r w:rsidRPr="00F57EEA">
        <w:rPr>
          <w:snapToGrid w:val="0"/>
        </w:rPr>
        <w:tab/>
        <w:t>mając na uwadze, że potrzebujemy większej przejrzystości w odniesieniu do sposobu, w jaki przedsiębiorstwa technologiczne reagują na rządowe wnioski o usunięcie treści lub dostęp do informacji o użytkownikach;</w:t>
      </w:r>
    </w:p>
    <w:p w14:paraId="511AF53E" w14:textId="77777777" w:rsidR="00C468E6" w:rsidRPr="00F57EEA" w:rsidRDefault="00C468E6" w:rsidP="00C468E6">
      <w:pPr>
        <w:pStyle w:val="NormalHanging12a"/>
        <w:rPr>
          <w:noProof/>
          <w:snapToGrid w:val="0"/>
        </w:rPr>
      </w:pPr>
      <w:r w:rsidRPr="00F57EEA">
        <w:rPr>
          <w:snapToGrid w:val="0"/>
        </w:rPr>
        <w:t>L.</w:t>
      </w:r>
      <w:r w:rsidRPr="00F57EEA">
        <w:rPr>
          <w:snapToGrid w:val="0"/>
        </w:rPr>
        <w:tab/>
        <w:t xml:space="preserve">mając na uwadze, że obrończynie praw człowieka na uchodźstwie i w diasporze doświadczają specyficznych dla płci form ponadnarodowych represji, takich jak nękanie ze względu na płeć, wykorzystywanie i zastraszanie, prowadzących do </w:t>
      </w:r>
      <w:r w:rsidRPr="00F57EEA">
        <w:rPr>
          <w:snapToGrid w:val="0"/>
        </w:rPr>
        <w:lastRenderedPageBreak/>
        <w:t>stygmatyzacji i izolacji społecznej; mając na uwadze, że ponadnarodowe represje cyfrowe ze względu na płeć mają miejsce, gdy podmioty państwowe i powiązane z państwem stosują technologie cyfrowe oraz wykorzystują płeć i mizoginię jako narzędzie represji wobec obrończyń praw człowieka mieszkających poza swoimi krajami pochodzenia;</w:t>
      </w:r>
    </w:p>
    <w:p w14:paraId="123F2C8F" w14:textId="77777777" w:rsidR="00C468E6" w:rsidRPr="00F57EEA" w:rsidRDefault="00C468E6" w:rsidP="00C468E6">
      <w:pPr>
        <w:pStyle w:val="NormalHanging12a"/>
        <w:rPr>
          <w:noProof/>
          <w:snapToGrid w:val="0"/>
        </w:rPr>
      </w:pPr>
      <w:r w:rsidRPr="00F57EEA">
        <w:rPr>
          <w:snapToGrid w:val="0"/>
        </w:rPr>
        <w:t>M.</w:t>
      </w:r>
      <w:r w:rsidRPr="00F57EEA">
        <w:rPr>
          <w:snapToGrid w:val="0"/>
        </w:rPr>
        <w:tab/>
        <w:t>mając na uwadze, że pełne poszanowanie zharmonizowanych ram prawnych dotyczących praw człowieka oraz bezpieczny status prawny na szczeblu krajowym i unijnym zmniejszają narażenie obrońców praw człowieka na ponadnarodowe represje;</w:t>
      </w:r>
    </w:p>
    <w:p w14:paraId="1C9D260B" w14:textId="77777777" w:rsidR="00C468E6" w:rsidRPr="00F57EEA" w:rsidRDefault="00C468E6" w:rsidP="00C468E6">
      <w:pPr>
        <w:pStyle w:val="NormalHanging12a"/>
        <w:rPr>
          <w:b/>
          <w:i/>
          <w:noProof/>
        </w:rPr>
      </w:pPr>
      <w:r w:rsidRPr="00F57EEA">
        <w:rPr>
          <w:b/>
          <w:i/>
        </w:rPr>
        <w:t xml:space="preserve">Ponadnarodowe represje wobec obrońców praw człowieka: rosnące tendencje i zagrożenia </w:t>
      </w:r>
    </w:p>
    <w:p w14:paraId="53C94165" w14:textId="77777777" w:rsidR="00C468E6" w:rsidRPr="00F57EEA" w:rsidRDefault="00C468E6" w:rsidP="00C468E6">
      <w:pPr>
        <w:pStyle w:val="NormalHanging12a"/>
        <w:rPr>
          <w:noProof/>
        </w:rPr>
      </w:pPr>
      <w:r w:rsidRPr="00F57EEA">
        <w:t>1.</w:t>
      </w:r>
      <w:r w:rsidRPr="00F57EEA">
        <w:tab/>
        <w:t xml:space="preserve">proponuje, by zdefiniować ponadnarodowe represje jako ataki i groźby ze strony państw (w tym reżimów autorytarnych i ich popleczników), które z myślą o wspieraniu i obronie swoich interesów przekraczają granice państwowe i próbują kontrolować i uciszać dysydentów, przeciwników politycznych, dziennikarzy, działaczy, obrońców praw człowieka i członków diaspory lub stosować wobec nich przymus; stosują do tego szeroki zakres metod fizycznych, takich jak ukierunkowane zabójstwa, uprowadzenia, przemoc, nękanie i przymusowe powroty, zaginięcia i deportacje, a także strategicznie nadużywają instrumentów prawnych, w tym usług konsularnych, procedur ekstradycyjnych lub czerwonych not i aresztowań, oraz wykorzystują metody </w:t>
      </w:r>
      <w:proofErr w:type="spellStart"/>
      <w:r w:rsidRPr="00F57EEA">
        <w:t>niefizyczne</w:t>
      </w:r>
      <w:proofErr w:type="spellEnd"/>
      <w:r w:rsidRPr="00F57EEA">
        <w:t>, takie jak nadzór cyfrowy, zastraszanie, szantaż i groźby wobec rodzin obrońców praw człowieka;</w:t>
      </w:r>
    </w:p>
    <w:p w14:paraId="6ADEB1E1" w14:textId="77777777" w:rsidR="00C468E6" w:rsidRPr="00F57EEA" w:rsidRDefault="00C468E6" w:rsidP="00C468E6">
      <w:pPr>
        <w:pStyle w:val="NormalHanging12a"/>
        <w:rPr>
          <w:noProof/>
        </w:rPr>
      </w:pPr>
      <w:r w:rsidRPr="00F57EEA">
        <w:t>2.</w:t>
      </w:r>
      <w:r w:rsidRPr="00F57EEA">
        <w:tab/>
        <w:t>potępia wszelkie formy ponadnarodowych represji, które stanowią poważne zagrożenie dla prawa międzynarodowego praw człowieka, a także naruszenie suwerenności krajów przyjmujących w związku ze stosowaniem taktyk ingerencji zewnętrznej; podkreśla w tym kontekście, że trzeba przyjąć ogólnie uzgodnioną definicję ponadnarodowych represji oraz nasilić wspólną walkę z tym zjawiskiem za pomocą ugruntowanych ram prawnych na szczeblu wielostronnym, regionalnym i krajowym;</w:t>
      </w:r>
    </w:p>
    <w:p w14:paraId="7C5AFE0B" w14:textId="77777777" w:rsidR="00C468E6" w:rsidRPr="00F57EEA" w:rsidRDefault="00C468E6" w:rsidP="00C468E6">
      <w:pPr>
        <w:pStyle w:val="NormalHanging12a"/>
        <w:rPr>
          <w:noProof/>
        </w:rPr>
      </w:pPr>
      <w:r w:rsidRPr="00F57EEA">
        <w:t>3.</w:t>
      </w:r>
      <w:r w:rsidRPr="00F57EEA">
        <w:tab/>
        <w:t>wyraża głębokie zaniepokojenie eskalacją ponadnarodowych represji; zauważa, że liczba przypadków ponadnarodowych represji jest najprawdopodobniej niedoszacowana, ponieważ ponadnarodowe represje są często prowadzone w sposób ukryty;</w:t>
      </w:r>
    </w:p>
    <w:p w14:paraId="49D0EF32" w14:textId="77777777" w:rsidR="00C468E6" w:rsidRDefault="00C468E6" w:rsidP="00C468E6">
      <w:pPr>
        <w:pStyle w:val="NormalHanging12a"/>
      </w:pPr>
      <w:r w:rsidRPr="00F57EEA">
        <w:t>4.</w:t>
      </w:r>
      <w:r w:rsidRPr="00F57EEA">
        <w:tab/>
        <w:t>podkreśla, że popierane przez państwo ponadnarodowe represje przyjmują coraz bardziej podstępne formy obejmujące szkody fizyczne, tortury, deportacje, nadzór, presję prawną, kampanie zniesławiające, groźby cyfrowe, wymuszone zaginięcia i uprowadzenia, przymusową repatriację, wnioski o ekstradycję, zamrożenie aktywów, groźby wobec członków rodziny i egzekucje pozasądowe;</w:t>
      </w:r>
    </w:p>
    <w:p w14:paraId="48ABB94D" w14:textId="78FA98B4" w:rsidR="00863A0B" w:rsidRPr="00F57EEA" w:rsidRDefault="00863A0B" w:rsidP="00C468E6">
      <w:pPr>
        <w:pStyle w:val="NormalHanging12a"/>
        <w:rPr>
          <w:noProof/>
        </w:rPr>
      </w:pPr>
      <w:r>
        <w:rPr>
          <w:noProof/>
        </w:rPr>
        <w:t>5</w:t>
      </w:r>
      <w:r w:rsidRPr="00863A0B">
        <w:rPr>
          <w:noProof/>
        </w:rPr>
        <w:t>.</w:t>
      </w:r>
      <w:r w:rsidRPr="00863A0B">
        <w:rPr>
          <w:noProof/>
        </w:rPr>
        <w:tab/>
        <w:t>podkreśla i potępia fakt, że były wiceprzewodniczący Parlamentu Europejskiego Alejo Vidal-Quadras był ofiarą ponadnarodowych represji ze strony Iranu w postaci ataku terrorystycznego zorganizowanego w państwie członkowskim UE;</w:t>
      </w:r>
    </w:p>
    <w:p w14:paraId="6F752D19" w14:textId="5050321A" w:rsidR="00C468E6" w:rsidRPr="00F57EEA" w:rsidRDefault="00863A0B" w:rsidP="00C468E6">
      <w:pPr>
        <w:pStyle w:val="NormalHanging12a"/>
        <w:rPr>
          <w:noProof/>
        </w:rPr>
      </w:pPr>
      <w:r>
        <w:t>6</w:t>
      </w:r>
      <w:r w:rsidR="00C468E6" w:rsidRPr="00F57EEA">
        <w:t>.</w:t>
      </w:r>
      <w:r w:rsidR="00C468E6" w:rsidRPr="00F57EEA">
        <w:tab/>
        <w:t xml:space="preserve">potępia reżimy autorytarne i innych sprawców oraz ich popleczników na całym świecie za coraz częstsze stosowanie ponadnarodowych represji cyfrowych; odnotowuje korzystanie z technologii opartych na sztucznej inteligencji, z oprogramowania szpiegowskiego, hakowania i </w:t>
      </w:r>
      <w:proofErr w:type="spellStart"/>
      <w:r w:rsidR="00C468E6" w:rsidRPr="00F57EEA">
        <w:t>doxingu</w:t>
      </w:r>
      <w:proofErr w:type="spellEnd"/>
      <w:r w:rsidR="00C468E6" w:rsidRPr="00F57EEA">
        <w:t xml:space="preserve">, aby nękać, obserwować, kompromitować i zastraszać obrońców praw człowieka i represjonowane osoby; podkreśla, że </w:t>
      </w:r>
      <w:r w:rsidR="00C468E6" w:rsidRPr="00F57EEA">
        <w:lastRenderedPageBreak/>
        <w:t>ponadnarodowe represje cyfrowe obejmują również cenzurę treści, w tym wykorzystywanie wniosków o usunięcie, groźby prawne, presję na moderowanie treści oraz blokowanie mediów prowadzonych na uchodźstwie, aby ukrywać lub usuwać treści krytykujące reżimy autorytarne;</w:t>
      </w:r>
    </w:p>
    <w:p w14:paraId="7D501369" w14:textId="0195E299" w:rsidR="00C468E6" w:rsidRPr="00F57EEA" w:rsidRDefault="00863A0B" w:rsidP="00C468E6">
      <w:pPr>
        <w:pStyle w:val="NormalHanging12a"/>
        <w:rPr>
          <w:noProof/>
        </w:rPr>
      </w:pPr>
      <w:r>
        <w:rPr>
          <w:snapToGrid w:val="0"/>
        </w:rPr>
        <w:t>7</w:t>
      </w:r>
      <w:r w:rsidR="00C468E6" w:rsidRPr="00F57EEA">
        <w:rPr>
          <w:snapToGrid w:val="0"/>
        </w:rPr>
        <w:t>.</w:t>
      </w:r>
      <w:r w:rsidR="00C468E6" w:rsidRPr="00F57EEA">
        <w:rPr>
          <w:snapToGrid w:val="0"/>
        </w:rPr>
        <w:tab/>
      </w:r>
      <w:r w:rsidR="00C468E6" w:rsidRPr="00F57EEA">
        <w:t>potępia taktykę ponadnarodowych represji cyfrowych ze względu na płeć, które w niewspółmierny sposób wymierzone są w obrończynie praw człowieka przebywające poza ich krajami pochodzenia; jest głęboko zaniepokojony, że coraz częściej odnotowuje się wykorzystywanie seksualne i groźby przy użyciu technologii cyfrowych – ma to na celu dyskredytowanie obrończyń praw człowieka i zniechęcanie ich do kontynuowania działalności;</w:t>
      </w:r>
    </w:p>
    <w:p w14:paraId="0405A2C0" w14:textId="43107B69" w:rsidR="00C468E6" w:rsidRPr="00F57EEA" w:rsidRDefault="00863A0B" w:rsidP="00C468E6">
      <w:pPr>
        <w:pStyle w:val="NormalHanging12a"/>
        <w:rPr>
          <w:noProof/>
        </w:rPr>
      </w:pPr>
      <w:r>
        <w:t>8</w:t>
      </w:r>
      <w:r w:rsidR="00C468E6" w:rsidRPr="00F57EEA">
        <w:t>.</w:t>
      </w:r>
      <w:r w:rsidR="00C468E6" w:rsidRPr="00F57EEA">
        <w:tab/>
        <w:t xml:space="preserve">potępia sprawców, którzy wywierają presję prawną i dyplomatyczną – w tym przy wykorzystaniu umotywowanych politycznie czerwonych not Interpolu i międzynarodowej instytucjonalnej struktury zwalczania terroryzmu – w celu uzyskania aresztowania i ekstradycji obrońców praw człowieka przebywających na uchodźstwie oraz osób represjonowanych; potępia również nadużywanie etykiety „terrorysty”, ściganie przestępstw in </w:t>
      </w:r>
      <w:proofErr w:type="spellStart"/>
      <w:r w:rsidR="00C468E6" w:rsidRPr="00F57EEA">
        <w:t>absentia</w:t>
      </w:r>
      <w:proofErr w:type="spellEnd"/>
      <w:r w:rsidR="00C468E6" w:rsidRPr="00F57EEA">
        <w:t xml:space="preserve"> oraz inne środki o charakterze administracyjnym, takie jak cofnięcie obywatelstwa, odmowa wydania dokumentów wizowych, zakaz podróżowania lub zakaz wjazdu oraz odmowa wydania dokumentów tożsamości i świadczenia usług konsularnych czy bankowych;</w:t>
      </w:r>
    </w:p>
    <w:p w14:paraId="6741601D" w14:textId="4A330C10" w:rsidR="00C468E6" w:rsidRPr="00F57EEA" w:rsidRDefault="00863A0B" w:rsidP="00C468E6">
      <w:pPr>
        <w:pStyle w:val="NormalHanging12a"/>
        <w:rPr>
          <w:noProof/>
        </w:rPr>
      </w:pPr>
      <w:r>
        <w:t>9</w:t>
      </w:r>
      <w:r w:rsidR="00C468E6" w:rsidRPr="00F57EEA">
        <w:t>.</w:t>
      </w:r>
      <w:r w:rsidR="00C468E6" w:rsidRPr="00F57EEA">
        <w:tab/>
        <w:t xml:space="preserve">wyraża poważne zaniepokojenie rolą niektórych państw przyjmujących, w tym niektórych państw członkowskich </w:t>
      </w:r>
      <w:proofErr w:type="gramStart"/>
      <w:r w:rsidR="00C468E6" w:rsidRPr="00F57EEA">
        <w:t>UE,</w:t>
      </w:r>
      <w:proofErr w:type="gramEnd"/>
      <w:r w:rsidR="00C468E6" w:rsidRPr="00F57EEA">
        <w:t xml:space="preserve"> i podmiotów niepaństwowych, takich jak dostawcy usług cyfrowych i inni pośrednicy technologii, prywatny sektor oprogramowania szpiegowskiego, firmy ochroniarskie, prywatni detektywi, organizacje przestępcze i poplecznicy, w tym członkowie diaspory, w ułatwianiu ponadnarodowych represji, również dzięki współpracy między krajowymi służbami granicznymi i bezpieczeństwa;</w:t>
      </w:r>
    </w:p>
    <w:p w14:paraId="5211137F" w14:textId="59468250" w:rsidR="00C468E6" w:rsidRPr="00F57EEA" w:rsidRDefault="00863A0B" w:rsidP="00C468E6">
      <w:pPr>
        <w:pStyle w:val="NormalHanging12a"/>
        <w:rPr>
          <w:noProof/>
        </w:rPr>
      </w:pPr>
      <w:r>
        <w:rPr>
          <w:snapToGrid w:val="0"/>
        </w:rPr>
        <w:t>10</w:t>
      </w:r>
      <w:r w:rsidR="00C468E6" w:rsidRPr="00F57EEA">
        <w:rPr>
          <w:snapToGrid w:val="0"/>
        </w:rPr>
        <w:t>.</w:t>
      </w:r>
      <w:r w:rsidR="00C468E6" w:rsidRPr="00F57EEA">
        <w:rPr>
          <w:snapToGrid w:val="0"/>
        </w:rPr>
        <w:tab/>
      </w:r>
      <w:r w:rsidR="00C468E6" w:rsidRPr="00F57EEA">
        <w:t>podkreśla ponadto, że ponadnarodowe represje stanowią bezpośrednie zagrożenie dla suwerenności i bezpieczeństwa państw, w tym państw członkowskich Unii, ponieważ umożliwiają zagranicznym podmiotom państwowym zastraszanie, stosowanie przymusu i sprawowanie kontroli poza ich granicami; przypomina, że chociaż bezpieczeństwo narodowe pozostaje w wyłącznej gestii państw członkowskich, skala i transgraniczny charakter tych praktyk wymagają skoordynowanej reakcji na szczeblu Unii, w tym inicjatyw współpracy między organami krajowymi, instytucjami unijnymi i podmiotami społeczeństwa obywatelskiego;</w:t>
      </w:r>
    </w:p>
    <w:p w14:paraId="7425DC9B" w14:textId="245DBDC6" w:rsidR="00C468E6" w:rsidRPr="00F57EEA" w:rsidRDefault="00863A0B" w:rsidP="00C468E6">
      <w:pPr>
        <w:pStyle w:val="NormalHanging12a"/>
        <w:rPr>
          <w:noProof/>
        </w:rPr>
      </w:pPr>
      <w:r>
        <w:t>11</w:t>
      </w:r>
      <w:r w:rsidR="00C468E6" w:rsidRPr="00F57EEA">
        <w:t>.</w:t>
      </w:r>
      <w:r w:rsidR="00C468E6" w:rsidRPr="00F57EEA">
        <w:tab/>
        <w:t>wyraża głębokie zaniepokojenie kurczącą się przestrzenią społeczeństwa obywatelskiego i uciszaniem osób na uchodźstwie, których głos odgrywa zasadniczą rolę w dokumentowaniu sytuacji dotyczących praw człowieka i nadużyć, jakich dopuszczają się państwa autorytarne; przypomina, że obrona i wspieranie wolnych i demokratycznych społeczeństw, w tym w bezpośrednim sąsiedztwie UE, leżą w strategicznym interesie UE;</w:t>
      </w:r>
    </w:p>
    <w:p w14:paraId="6B8D0E9B" w14:textId="41D96D55" w:rsidR="00C468E6" w:rsidRPr="00F57EEA" w:rsidRDefault="00863A0B" w:rsidP="00C468E6">
      <w:pPr>
        <w:pStyle w:val="NormalHanging12a"/>
        <w:rPr>
          <w:noProof/>
        </w:rPr>
      </w:pPr>
      <w:r>
        <w:t>12</w:t>
      </w:r>
      <w:r w:rsidR="00C468E6" w:rsidRPr="00F57EEA">
        <w:t>.</w:t>
      </w:r>
      <w:r w:rsidR="00C468E6" w:rsidRPr="00F57EEA">
        <w:tab/>
        <w:t xml:space="preserve">podkreśla trwały wpływ ponadnarodowych represji na zdrowie psychiczne i ogólny dobrostan ofiar i ich rodzin, w tym ich poczucie bezpieczeństwa, integralność psychiczną, relacje społeczne i zdolność do kontynuowania działalności publicznej, co w wielu przypadkach prowadzi do długotrwałej traumy, izolacji i wykluczenia; zdecydowanie potępia działania odwetowe sprawców wobec rodzin obrońców praw </w:t>
      </w:r>
      <w:r w:rsidR="00C468E6" w:rsidRPr="00F57EEA">
        <w:lastRenderedPageBreak/>
        <w:t>człowieka mieszkających za granicą jako środek ponadnarodowych represji; zwraca uwagę na szczególnie mrożący efekt, jaki ponadnarodowe represje wywierają również wśród diaspory i społeczeństwa obywatelskiego na uchodźstwie;</w:t>
      </w:r>
    </w:p>
    <w:p w14:paraId="1D764A85" w14:textId="19947149" w:rsidR="00C468E6" w:rsidRPr="00F57EEA" w:rsidRDefault="00863A0B" w:rsidP="00C468E6">
      <w:pPr>
        <w:pStyle w:val="NormalHanging12a"/>
        <w:rPr>
          <w:noProof/>
        </w:rPr>
      </w:pPr>
      <w:r>
        <w:rPr>
          <w:snapToGrid w:val="0"/>
        </w:rPr>
        <w:t>13</w:t>
      </w:r>
      <w:r w:rsidR="00C468E6" w:rsidRPr="00F57EEA">
        <w:rPr>
          <w:snapToGrid w:val="0"/>
        </w:rPr>
        <w:t>.</w:t>
      </w:r>
      <w:r w:rsidR="00C468E6" w:rsidRPr="00F57EEA">
        <w:rPr>
          <w:snapToGrid w:val="0"/>
        </w:rPr>
        <w:tab/>
      </w:r>
      <w:r w:rsidR="00C468E6" w:rsidRPr="00F57EEA">
        <w:t>podkreśla, jak ważne jest uznanie, że ponadnarodowe represje wobec obrońców praw człowieka w nieproporcjonalny sposób dotykają osoby znajdujące się w trudnej sytuacji w związku z rasą, pochodzeniem etnicznym, religią, płcią, seksualnością, niepełnosprawnością lub statusem społeczno-ekonomicznym;</w:t>
      </w:r>
    </w:p>
    <w:p w14:paraId="5E158DAE" w14:textId="0AC693CF" w:rsidR="00C468E6" w:rsidRPr="00F57EEA" w:rsidRDefault="00863A0B" w:rsidP="00C468E6">
      <w:pPr>
        <w:pStyle w:val="NormalHanging12a"/>
        <w:rPr>
          <w:noProof/>
        </w:rPr>
      </w:pPr>
      <w:r>
        <w:rPr>
          <w:snapToGrid w:val="0"/>
        </w:rPr>
        <w:t>14</w:t>
      </w:r>
      <w:r w:rsidR="00C468E6" w:rsidRPr="00F57EEA">
        <w:rPr>
          <w:snapToGrid w:val="0"/>
        </w:rPr>
        <w:t>.</w:t>
      </w:r>
      <w:r w:rsidR="00C468E6" w:rsidRPr="00F57EEA">
        <w:rPr>
          <w:snapToGrid w:val="0"/>
        </w:rPr>
        <w:tab/>
      </w:r>
      <w:r w:rsidR="00C468E6" w:rsidRPr="00F57EEA">
        <w:t>podkreśla, że w niektórych częściach świata dziennikarze mogą być narażeni na ponadnarodowe represje, które mają długotrwały wpływ na ich karierę zawodową i bezpieczeństwo osobiste;</w:t>
      </w:r>
    </w:p>
    <w:p w14:paraId="7BE94358" w14:textId="77777777" w:rsidR="00C468E6" w:rsidRPr="00F57EEA" w:rsidRDefault="00C468E6" w:rsidP="00C468E6">
      <w:pPr>
        <w:pStyle w:val="NormalHanging12a"/>
        <w:rPr>
          <w:b/>
          <w:i/>
          <w:noProof/>
        </w:rPr>
      </w:pPr>
      <w:r w:rsidRPr="00F57EEA">
        <w:rPr>
          <w:b/>
          <w:i/>
        </w:rPr>
        <w:t>Włączanie kwestii ponadnarodowych represji do głównego nurtu polityki UE</w:t>
      </w:r>
    </w:p>
    <w:p w14:paraId="3EC97FD4" w14:textId="08E3E3BB" w:rsidR="00C468E6" w:rsidRPr="00F57EEA" w:rsidRDefault="00863A0B" w:rsidP="00C468E6">
      <w:pPr>
        <w:pStyle w:val="NormalHanging12a"/>
        <w:rPr>
          <w:noProof/>
        </w:rPr>
      </w:pPr>
      <w:r>
        <w:t>15</w:t>
      </w:r>
      <w:r w:rsidR="00C468E6" w:rsidRPr="00F57EEA">
        <w:t>.</w:t>
      </w:r>
      <w:r w:rsidR="00C468E6" w:rsidRPr="00F57EEA">
        <w:tab/>
        <w:t>wzywa Komisję, państwa członkowskie i Europejską Służbę Działań Zewnętrznych (ESDZ) do systematycznego zajmowania się w stosownych przypadkach problemem ponadnarodowych represji w kontekście klauzul dotyczących praw człowieka w umowach zawieranych przez UE oraz w dialogach dotyczących praw człowieka prowadzonych z państwami trzecimi oraz na innych forach współpracy dwustronnej i wielostronnej, takich jak Rada Praw Człowieka ONZ;</w:t>
      </w:r>
    </w:p>
    <w:p w14:paraId="5339C167" w14:textId="6724694B" w:rsidR="00C468E6" w:rsidRPr="00F57EEA" w:rsidRDefault="00863A0B" w:rsidP="00C468E6">
      <w:pPr>
        <w:pStyle w:val="NormalHanging12a"/>
        <w:rPr>
          <w:noProof/>
        </w:rPr>
      </w:pPr>
      <w:r>
        <w:rPr>
          <w:snapToGrid w:val="0"/>
        </w:rPr>
        <w:t>16</w:t>
      </w:r>
      <w:r w:rsidR="00C468E6" w:rsidRPr="00F57EEA">
        <w:rPr>
          <w:snapToGrid w:val="0"/>
        </w:rPr>
        <w:t>.</w:t>
      </w:r>
      <w:r w:rsidR="00C468E6" w:rsidRPr="00F57EEA">
        <w:rPr>
          <w:snapToGrid w:val="0"/>
        </w:rPr>
        <w:tab/>
      </w:r>
      <w:r w:rsidR="00C468E6" w:rsidRPr="00F57EEA">
        <w:t>wzywa ESDZ do udzielania pomocy obrońcom praw człowieka i represjonowanym osobom, w tym dysydentom, padającym ofiarą ponadnarodowych represji w państwach trzecich, za pośrednictwem specjalnych programów służących umożliwieniu im dalszego działania na uchodźstwie przy jednoczesnym zabezpieczeniu ich przed represjami i agresją;</w:t>
      </w:r>
    </w:p>
    <w:p w14:paraId="69BD8101" w14:textId="4F8E142E" w:rsidR="00C468E6" w:rsidRPr="00F57EEA" w:rsidRDefault="00863A0B" w:rsidP="00C468E6">
      <w:pPr>
        <w:pStyle w:val="NormalHanging12a"/>
        <w:rPr>
          <w:noProof/>
        </w:rPr>
      </w:pPr>
      <w:r>
        <w:t>17</w:t>
      </w:r>
      <w:r w:rsidR="00C468E6" w:rsidRPr="00F57EEA">
        <w:t>.</w:t>
      </w:r>
      <w:r w:rsidR="00C468E6" w:rsidRPr="00F57EEA">
        <w:tab/>
        <w:t>wzywa Komisję i ESDZ do włączenia kwestii ponadnarodowych represji (jako rosnącego zagrożenia dla obrońców praw człowieka i represjonowanych osób) do planu działania UE dotyczącego praw człowieka i demokracji na okres po 2027 r. oraz do Wytycznych UE w sprawie obrońców praw człowieka, a także do uwzględnienia w nich konkretnych przepisów dotyczących ochrony i bezpieczeństwa obrońców praw człowieka;</w:t>
      </w:r>
    </w:p>
    <w:p w14:paraId="260AF57B" w14:textId="2F887490" w:rsidR="00C468E6" w:rsidRPr="00F57EEA" w:rsidRDefault="00863A0B" w:rsidP="00C468E6">
      <w:pPr>
        <w:pStyle w:val="NormalHanging12a"/>
        <w:rPr>
          <w:noProof/>
        </w:rPr>
      </w:pPr>
      <w:r>
        <w:rPr>
          <w:snapToGrid w:val="0"/>
        </w:rPr>
        <w:t>18</w:t>
      </w:r>
      <w:r w:rsidR="00C468E6" w:rsidRPr="00F57EEA">
        <w:rPr>
          <w:snapToGrid w:val="0"/>
        </w:rPr>
        <w:t>.</w:t>
      </w:r>
      <w:r w:rsidR="00C468E6" w:rsidRPr="00F57EEA">
        <w:rPr>
          <w:snapToGrid w:val="0"/>
        </w:rPr>
        <w:tab/>
      </w:r>
      <w:r w:rsidR="00C468E6" w:rsidRPr="00F57EEA">
        <w:t xml:space="preserve">nalega, że trzeba pilnie zająć się, zarówno na szczeblu krajowym, jak i unijnym, lukami w ochronie, z jakimi borykają się obrońcy praw człowieka, którzy padają ofiarą ponadnarodowych represji; apeluje o zapewnienie im przyspieszonego, elastycznego, dostępnego i trwałego wsparcia, w tym wsparcia w sytuacjach nadzwyczajnych, tymczasowej relokacji oraz narzędzi i szkoleń, aby mogli lepiej chronić się przed wszelkiego rodzaju zagrożeniami i bezprawną inwigilacją, które mogą być równoznaczne z ponadnarodowymi represjami; podkreśla, że trzeba zapewnić obrońcom praw człowieka dotkniętym ponadnarodowymi represjami szkolenia w zakresie umiejętności cyfrowych i </w:t>
      </w:r>
      <w:proofErr w:type="spellStart"/>
      <w:r w:rsidR="00C468E6" w:rsidRPr="00F57EEA">
        <w:t>cyberbezpieczeństwa</w:t>
      </w:r>
      <w:proofErr w:type="spellEnd"/>
      <w:r w:rsidR="00C468E6" w:rsidRPr="00F57EEA">
        <w:t xml:space="preserve">, a także pomoc prawną i wsparcie psychospołeczne; uważa, że niezwykle ważne jest, aby strategie polityczne i programy ochrony uwzględniały aspekt płci oraz były ukierunkowane na ofiary, </w:t>
      </w:r>
      <w:proofErr w:type="spellStart"/>
      <w:r w:rsidR="00C468E6" w:rsidRPr="00F57EEA">
        <w:t>intersekcjonalne</w:t>
      </w:r>
      <w:proofErr w:type="spellEnd"/>
      <w:r w:rsidR="00C468E6" w:rsidRPr="00F57EEA">
        <w:t xml:space="preserve">, </w:t>
      </w:r>
      <w:proofErr w:type="spellStart"/>
      <w:r w:rsidR="00C468E6" w:rsidRPr="00F57EEA">
        <w:t>inkluzywne</w:t>
      </w:r>
      <w:proofErr w:type="spellEnd"/>
      <w:r w:rsidR="00C468E6" w:rsidRPr="00F57EEA">
        <w:t xml:space="preserve"> i niedyskryminujące;</w:t>
      </w:r>
    </w:p>
    <w:p w14:paraId="7FA5AF4F" w14:textId="566DE816" w:rsidR="00C468E6" w:rsidRPr="00F57EEA" w:rsidRDefault="00863A0B" w:rsidP="00C468E6">
      <w:pPr>
        <w:pStyle w:val="NormalHanging12a"/>
        <w:rPr>
          <w:noProof/>
        </w:rPr>
      </w:pPr>
      <w:r>
        <w:rPr>
          <w:snapToGrid w:val="0"/>
        </w:rPr>
        <w:t>19</w:t>
      </w:r>
      <w:r w:rsidR="00C468E6" w:rsidRPr="00F57EEA">
        <w:rPr>
          <w:snapToGrid w:val="0"/>
        </w:rPr>
        <w:t>.</w:t>
      </w:r>
      <w:r w:rsidR="00C468E6" w:rsidRPr="00F57EEA">
        <w:rPr>
          <w:snapToGrid w:val="0"/>
        </w:rPr>
        <w:tab/>
      </w:r>
      <w:r w:rsidR="00C468E6" w:rsidRPr="00F57EEA">
        <w:t xml:space="preserve">wzywa UE i jej państwa członkowskie do przestrzegania międzynarodowych zobowiązań i podkreśla, że prawo do ubiegania się o azyl ma podstawowe znaczenie dla ochrony osób zagrożonych prześladowaniem na mocy konwencji genewskiej; </w:t>
      </w:r>
    </w:p>
    <w:p w14:paraId="124365B5" w14:textId="6EEE38A6" w:rsidR="00C468E6" w:rsidRPr="00F57EEA" w:rsidRDefault="00863A0B" w:rsidP="00C468E6">
      <w:pPr>
        <w:pStyle w:val="NormalHanging12a"/>
        <w:rPr>
          <w:noProof/>
        </w:rPr>
      </w:pPr>
      <w:r>
        <w:lastRenderedPageBreak/>
        <w:t>20</w:t>
      </w:r>
      <w:r w:rsidR="00C468E6" w:rsidRPr="00F57EEA">
        <w:t>.</w:t>
      </w:r>
      <w:r w:rsidR="00C468E6" w:rsidRPr="00F57EEA">
        <w:tab/>
        <w:t xml:space="preserve">wzywa państwa członkowskie do jak najlepszego wykorzystania ich polityk krajowych i dostępnych marginesów w celu sformułowania bardziej spójnej, skoordynowanej i przewidywalnej </w:t>
      </w:r>
      <w:proofErr w:type="gramStart"/>
      <w:r w:rsidR="00C468E6" w:rsidRPr="00F57EEA">
        <w:t>polityki  dla</w:t>
      </w:r>
      <w:proofErr w:type="gramEnd"/>
      <w:r w:rsidR="00C468E6" w:rsidRPr="00F57EEA">
        <w:t xml:space="preserve"> osób podlegających ponadnarodowym represjom;</w:t>
      </w:r>
    </w:p>
    <w:p w14:paraId="58E6F43D" w14:textId="36A6603D" w:rsidR="00C468E6" w:rsidRPr="00F57EEA" w:rsidRDefault="00863A0B" w:rsidP="00C468E6">
      <w:pPr>
        <w:pStyle w:val="NormalHanging12a"/>
        <w:rPr>
          <w:noProof/>
        </w:rPr>
      </w:pPr>
      <w:r>
        <w:rPr>
          <w:snapToGrid w:val="0"/>
        </w:rPr>
        <w:t>21</w:t>
      </w:r>
      <w:r w:rsidR="00C468E6" w:rsidRPr="00F57EEA">
        <w:rPr>
          <w:snapToGrid w:val="0"/>
        </w:rPr>
        <w:t>.</w:t>
      </w:r>
      <w:r w:rsidR="00C468E6" w:rsidRPr="00F57EEA">
        <w:rPr>
          <w:snapToGrid w:val="0"/>
        </w:rPr>
        <w:tab/>
      </w:r>
      <w:r w:rsidR="00C468E6" w:rsidRPr="00F57EEA">
        <w:t>wyraża zaniepokojenie rolą, jaką odgrywają ambasady państw zaangażowanych w ponadnarodowe represje; zwraca uwagę na zwiększone ryzyko dla obrońców praw człowieka, którzy potrzebują usług konsularnych, gdy są zmuszeni do korzystania z tych ambasad; wzywa państwa członkowskie do zwiększenia presji na znajdujące się na ich terytorium ambasady krajów powiązanych z ponadnarodowymi represjami oraz do dopilnowania, by te placówki dyplomatyczne nie były wykorzystywane do działań na rzecz uciszania sprzeciwu za granicą, zgodnie z Konwencją wiedeńską o stosunkach konsularnych;</w:t>
      </w:r>
    </w:p>
    <w:p w14:paraId="2F34A3A6" w14:textId="77777777" w:rsidR="00C468E6" w:rsidRPr="00F57EEA" w:rsidRDefault="00C468E6" w:rsidP="00C468E6">
      <w:pPr>
        <w:pStyle w:val="NormalHanging12a"/>
        <w:rPr>
          <w:b/>
          <w:i/>
          <w:noProof/>
        </w:rPr>
      </w:pPr>
      <w:r w:rsidRPr="00F57EEA">
        <w:rPr>
          <w:b/>
          <w:i/>
        </w:rPr>
        <w:t>Usprawnienie skoordynowanego monitorowania i gromadzenia danych</w:t>
      </w:r>
    </w:p>
    <w:p w14:paraId="1176E8D4" w14:textId="27C6E51F" w:rsidR="00C468E6" w:rsidRPr="00F57EEA" w:rsidRDefault="00863A0B" w:rsidP="00C468E6">
      <w:pPr>
        <w:pStyle w:val="NormalHanging12a"/>
        <w:rPr>
          <w:noProof/>
        </w:rPr>
      </w:pPr>
      <w:r>
        <w:t>22</w:t>
      </w:r>
      <w:r w:rsidR="00C468E6" w:rsidRPr="00F57EEA">
        <w:t>.</w:t>
      </w:r>
      <w:r w:rsidR="00C468E6" w:rsidRPr="00F57EEA">
        <w:tab/>
        <w:t>wzywa ESDZ i państwa członkowskie, by – we współpracy z odpowiednimi instytucjami, jak Europol – koordynowały wysiłki i ustanowiły dostępne mechanizmy informowania, gromadzenia danych, śledzenia i zgłaszania w celu poprawy dokumentowania przypadków ponadnarodowych represji na ich terytoriach, a także ułatwienia szybkiej reakcji i prowadzenia dochodzeń w razie potrzeby; wzywa ESDZ do wzmocnienia sieci działających w delegaturach UE punktów kontaktowych dla represjonowanych osób i obrońców praw człowieka, którym to punktom powierzono zadanie zgłaszania przypadków represji władzom państwa przyjmującego; uważa, że takie mechanizmy powinny być dostępne dla społeczeństwa obywatelskiego, aby umożliwić należyte rejestrowanie jego wkładu;</w:t>
      </w:r>
    </w:p>
    <w:p w14:paraId="19CED879" w14:textId="14508B64" w:rsidR="00C468E6" w:rsidRPr="00F57EEA" w:rsidRDefault="00863A0B" w:rsidP="00C468E6">
      <w:pPr>
        <w:pStyle w:val="NormalHanging12a"/>
        <w:rPr>
          <w:noProof/>
        </w:rPr>
      </w:pPr>
      <w:r>
        <w:t>23</w:t>
      </w:r>
      <w:r w:rsidR="00C468E6" w:rsidRPr="00F57EEA">
        <w:t>.</w:t>
      </w:r>
      <w:r w:rsidR="00C468E6" w:rsidRPr="00F57EEA">
        <w:tab/>
        <w:t>wzywa Komisję do ustanowienia scentralizowanego mechanizmu mapowania w celu identyfikowania, monitorowania i oceny incydentów oraz wymiany ostrzeżeń związanych z ponadnarodowymi represjami wobec obrońców praw człowieka w UE, co pomoże zidentyfikować luki w polityce UE, formułować odpowiednie reakcje strategiczne i wesprzeć skoordynowane działania państw członkowskich;</w:t>
      </w:r>
    </w:p>
    <w:p w14:paraId="2F534A10" w14:textId="7100267C" w:rsidR="00C468E6" w:rsidRPr="00F57EEA" w:rsidRDefault="00863A0B" w:rsidP="00C468E6">
      <w:pPr>
        <w:pStyle w:val="NormalHanging12a"/>
        <w:rPr>
          <w:noProof/>
        </w:rPr>
      </w:pPr>
      <w:r>
        <w:t>24</w:t>
      </w:r>
      <w:r w:rsidR="00C468E6" w:rsidRPr="00F57EEA">
        <w:t>.</w:t>
      </w:r>
      <w:r w:rsidR="00C468E6" w:rsidRPr="00F57EEA">
        <w:tab/>
        <w:t>wzywa państwa członkowskie do kodyfikacji ponadnarodowych represji w ich ustawodawstwie krajowym, aby wesprzeć instytucje rządowe w identyfikowaniu ich i zapobieganiu im; wzywa państwa członkowskie, by ustanowiły w swoich strukturach rządowych krajowe punkty kontaktowe dla potencjalnych i faktycznych ofiar ponadnarodowych represji oraz by przedstawiły zestaw narzędzi wyjaśniający, jak należy zgłaszać przypadki takich represji;</w:t>
      </w:r>
    </w:p>
    <w:p w14:paraId="294D12D1" w14:textId="2DD154DD" w:rsidR="00C468E6" w:rsidRPr="00F57EEA" w:rsidRDefault="00863A0B" w:rsidP="00C468E6">
      <w:pPr>
        <w:pStyle w:val="NormalHanging12a"/>
        <w:rPr>
          <w:noProof/>
        </w:rPr>
      </w:pPr>
      <w:r>
        <w:t>25</w:t>
      </w:r>
      <w:r w:rsidR="00C468E6" w:rsidRPr="00F57EEA">
        <w:t>.</w:t>
      </w:r>
      <w:r w:rsidR="00C468E6" w:rsidRPr="00F57EEA">
        <w:tab/>
        <w:t xml:space="preserve">zwraca się do państw członkowskich, Europolu i Agencji UE ds. Szkolenia w Dziedzinie Ścigania (CEPOL) o zapewnienie szkoleń w zakresie świadomości na temat ponadnarodowych represji, strategii przeciwdziałania represjom i szczegółowych protokołów oceny ryzyka odpowiednim agencjom rządowym, usługodawcom zewnętrznym i ich pracownikom, zwłaszcza urzędnikom ds. </w:t>
      </w:r>
      <w:proofErr w:type="spellStart"/>
      <w:r w:rsidR="00C468E6" w:rsidRPr="00F57EEA">
        <w:t>cyberbezpieczeństwa</w:t>
      </w:r>
      <w:proofErr w:type="spellEnd"/>
      <w:r w:rsidR="00C468E6" w:rsidRPr="00F57EEA">
        <w:t>, funkcjonariuszom organów ścigania i urzędnikom imigracyjnym oraz pracownikom odpowiedzialnym za rozpatrywanie wniosków wizowych i analizowanie wniosków o ekstradycję oraz innych form współpracy prawnej z państwami trzecimi, ze szczególnym uwzględnieniem nadzoru cyfrowego, ryzyka odwetu i niewłaściwego wykorzystywania mechanizmów prawnych;</w:t>
      </w:r>
    </w:p>
    <w:p w14:paraId="0CD7AEF3" w14:textId="77777777" w:rsidR="00C468E6" w:rsidRPr="00F57EEA" w:rsidRDefault="00C468E6" w:rsidP="00C468E6">
      <w:pPr>
        <w:pStyle w:val="NormalHanging12a"/>
        <w:rPr>
          <w:b/>
          <w:i/>
          <w:noProof/>
        </w:rPr>
      </w:pPr>
      <w:r w:rsidRPr="00F57EEA">
        <w:rPr>
          <w:b/>
          <w:i/>
        </w:rPr>
        <w:t xml:space="preserve">Przeciwdziałanie zagrożeniom, jakie stwarzają technologie cyfrowe jako czynniki </w:t>
      </w:r>
      <w:r w:rsidRPr="00F57EEA">
        <w:rPr>
          <w:b/>
          <w:i/>
        </w:rPr>
        <w:lastRenderedPageBreak/>
        <w:t>ułatwiające ponadnarodowe represje</w:t>
      </w:r>
    </w:p>
    <w:p w14:paraId="495F5DA5" w14:textId="52B178D4" w:rsidR="00C468E6" w:rsidRPr="00F57EEA" w:rsidRDefault="00863A0B" w:rsidP="00C468E6">
      <w:pPr>
        <w:pStyle w:val="NormalHanging12a"/>
        <w:rPr>
          <w:noProof/>
        </w:rPr>
      </w:pPr>
      <w:r>
        <w:t>26</w:t>
      </w:r>
      <w:r w:rsidR="00C468E6" w:rsidRPr="00F57EEA">
        <w:t>.</w:t>
      </w:r>
      <w:r w:rsidR="00C468E6" w:rsidRPr="00F57EEA">
        <w:tab/>
        <w:t xml:space="preserve">wzywa UE i jej państwa członkowskie do zajęcia się cyfrowymi formami ponadnarodowych represji, w tym kampaniami dezinformacyjnymi skierowanymi przeciwko obrońcom praw człowieka, do uznania ich i zapobiegania im oraz do dopilnowania, by obrońcy praw człowieka byli chronieni przed nękaniem, zastraszaniem i cenzurą w </w:t>
      </w:r>
      <w:proofErr w:type="spellStart"/>
      <w:r w:rsidR="00C468E6" w:rsidRPr="00F57EEA">
        <w:t>internecie</w:t>
      </w:r>
      <w:proofErr w:type="spellEnd"/>
      <w:r w:rsidR="00C468E6" w:rsidRPr="00F57EEA">
        <w:t>, niezależnie od pochodzenia usługodawcy, lokalizacji infrastruktury cyfrowej lub wykorzystywanych narzędzi; wzywa państwa członkowskie UE do kryminalizacji zagranicznych działań wywiadowczych skierowanych przeciwko dysydentom przebywającym na uchodźstwie jako formy ponadnarodowych represji cyfrowych;</w:t>
      </w:r>
    </w:p>
    <w:p w14:paraId="6A9853B6" w14:textId="7D752EFC" w:rsidR="00C468E6" w:rsidRPr="00F57EEA" w:rsidRDefault="00863A0B" w:rsidP="00C468E6">
      <w:pPr>
        <w:pStyle w:val="NormalHanging12a"/>
        <w:rPr>
          <w:noProof/>
        </w:rPr>
      </w:pPr>
      <w:r>
        <w:t>27</w:t>
      </w:r>
      <w:r w:rsidR="00824252">
        <w:t>.</w:t>
      </w:r>
      <w:r w:rsidR="00C468E6" w:rsidRPr="00F57EEA">
        <w:tab/>
        <w:t>zwraca się do państw członkowskich o ścisłe nadzorowanie rynków i operacji związanych z oprogramowaniem szpiegowskim i nadzorem, w tym przez stosowanie obowiązkowej należytej staranności w zakresie praw człowieka i rozporządzenia w sprawie produktów podwójnego zastosowania</w:t>
      </w:r>
      <w:r w:rsidR="00C468E6" w:rsidRPr="00F57EEA">
        <w:rPr>
          <w:rStyle w:val="FootnoteReference"/>
          <w:noProof/>
        </w:rPr>
        <w:footnoteReference w:id="4"/>
      </w:r>
      <w:r w:rsidR="00C468E6" w:rsidRPr="00F57EEA">
        <w:t xml:space="preserve"> w odniesieniu do wszystkich eksporterów technologii z siedzibą w UE, a także o uchylenie pozwoleń na wywóz oprogramowania szpiegowskiego do krajów, w których odnotowuje się udokumentowane praktyki ponadnarodowych represji i naruszenia praw człowieka, gdy istnieje przewidywalne ryzyko, że narzędzia te będą wykorzystywane do uciszania lub karania obrońców praw człowieka lub głosów sprzeciwu; przypomina wytyczne Komisji z 2024 r. w sprawie wywozu produktów służących do </w:t>
      </w:r>
      <w:proofErr w:type="spellStart"/>
      <w:r w:rsidR="00C468E6" w:rsidRPr="00F57EEA">
        <w:t>cyberinwigilacji</w:t>
      </w:r>
      <w:proofErr w:type="spellEnd"/>
      <w:r w:rsidR="00C468E6" w:rsidRPr="00F57EEA">
        <w:t xml:space="preserve">, których celem jest zwiększenie świadomości na temat ryzyka związanego z niewłaściwym wykorzystaniem technologii </w:t>
      </w:r>
      <w:proofErr w:type="spellStart"/>
      <w:r w:rsidR="00C468E6" w:rsidRPr="00F57EEA">
        <w:t>cyberinwigilacji</w:t>
      </w:r>
      <w:proofErr w:type="spellEnd"/>
      <w:r w:rsidR="00C468E6" w:rsidRPr="00F57EEA">
        <w:t xml:space="preserve"> i zapewnienie eksporterom praktycznych narzędzi oceny sytuacji w zakresie praw człowieka; </w:t>
      </w:r>
    </w:p>
    <w:p w14:paraId="05E50124" w14:textId="7C896074" w:rsidR="00C468E6" w:rsidRPr="00F57EEA" w:rsidRDefault="00863A0B" w:rsidP="00C468E6">
      <w:pPr>
        <w:pStyle w:val="NormalHanging12a"/>
        <w:rPr>
          <w:noProof/>
        </w:rPr>
      </w:pPr>
      <w:r>
        <w:rPr>
          <w:snapToGrid w:val="0"/>
        </w:rPr>
        <w:t>28</w:t>
      </w:r>
      <w:r w:rsidR="00C468E6" w:rsidRPr="00F57EEA">
        <w:rPr>
          <w:snapToGrid w:val="0"/>
        </w:rPr>
        <w:t>.</w:t>
      </w:r>
      <w:r w:rsidR="00C468E6" w:rsidRPr="00F57EEA">
        <w:rPr>
          <w:snapToGrid w:val="0"/>
        </w:rPr>
        <w:tab/>
      </w:r>
      <w:r w:rsidR="00C468E6" w:rsidRPr="00F57EEA">
        <w:t xml:space="preserve">wzywa państwa członkowskie do ustanowienia łatwo dostępnych i bezpiecznych mechanizmów zgłaszania, zaprojektowanych w celu poszanowania i ochrony prywatności użytkowników, aby umożliwić obrońcom praw człowieka żyjącym na uchodźstwie lub w społecznościach diaspory zgłaszanie odpowiednim agencjom rządowym obaw dotyczących ponadnarodowych represji cyfrowych; podkreśla potrzebę uznania szczególnego wyzwania związanego z ponadnarodowymi represjami cyfrowymi ze względu na płeć oraz szczególnych konsekwencji tego rodzaju represji dla obrończyń praw człowieka; </w:t>
      </w:r>
    </w:p>
    <w:p w14:paraId="3D6962F9" w14:textId="3D4648A3" w:rsidR="00C468E6" w:rsidRPr="00F57EEA" w:rsidRDefault="00863A0B" w:rsidP="00C468E6">
      <w:pPr>
        <w:pStyle w:val="NormalHanging12a"/>
        <w:rPr>
          <w:noProof/>
        </w:rPr>
      </w:pPr>
      <w:r>
        <w:rPr>
          <w:snapToGrid w:val="0"/>
        </w:rPr>
        <w:t>29</w:t>
      </w:r>
      <w:r w:rsidR="00C468E6" w:rsidRPr="00F57EEA">
        <w:rPr>
          <w:snapToGrid w:val="0"/>
        </w:rPr>
        <w:t>.</w:t>
      </w:r>
      <w:r w:rsidR="00C468E6" w:rsidRPr="00F57EEA">
        <w:rPr>
          <w:snapToGrid w:val="0"/>
        </w:rPr>
        <w:tab/>
      </w:r>
      <w:r w:rsidR="00C468E6" w:rsidRPr="00F57EEA">
        <w:t>wzywa UE i jej państwa członkowskie do zadbania o to, by podmioty prywatne, zwłaszcza w sektorze technologicznym, były rozliczane z ich roli w umożliwianiu ponadnarodowych represji cyfrowych; ponadto apeluje o publikację sprawozdań z przejrzystości oraz o ustanowienie skutecznych mechanizmów rozpatrywania skarg, dostępnych dla obrońców praw człowieka i innych zagrożonych osób;</w:t>
      </w:r>
    </w:p>
    <w:p w14:paraId="0F06BA55" w14:textId="77777777" w:rsidR="00C468E6" w:rsidRPr="00F57EEA" w:rsidRDefault="00C468E6" w:rsidP="00C468E6">
      <w:pPr>
        <w:pStyle w:val="NormalHanging12a"/>
        <w:ind w:left="0" w:firstLine="0"/>
        <w:rPr>
          <w:b/>
          <w:i/>
          <w:noProof/>
        </w:rPr>
      </w:pPr>
      <w:r w:rsidRPr="00F57EEA">
        <w:rPr>
          <w:b/>
          <w:i/>
        </w:rPr>
        <w:t xml:space="preserve">Zapewnienie rozliczalności i stosowanie sankcji </w:t>
      </w:r>
    </w:p>
    <w:p w14:paraId="10271A7C" w14:textId="4C5D70DA" w:rsidR="00C468E6" w:rsidRPr="00F57EEA" w:rsidRDefault="00863A0B" w:rsidP="00C468E6">
      <w:pPr>
        <w:pStyle w:val="NormalHanging12a"/>
        <w:rPr>
          <w:noProof/>
        </w:rPr>
      </w:pPr>
      <w:r>
        <w:t>30</w:t>
      </w:r>
      <w:r w:rsidR="00C468E6" w:rsidRPr="00F57EEA">
        <w:t>.</w:t>
      </w:r>
      <w:r w:rsidR="00C468E6" w:rsidRPr="00F57EEA">
        <w:tab/>
        <w:t xml:space="preserve">wzywa UE, aby pociągała państwa i reżimy dopuszczające się ponadnarodowych represji do odpowiedzialności za naruszenia praw człowieka na mocy Międzynarodowego paktu praw obywatelskich i politycznych, europejskiej konwencji </w:t>
      </w:r>
      <w:r w:rsidR="00C468E6" w:rsidRPr="00F57EEA">
        <w:lastRenderedPageBreak/>
        <w:t>praw człowieka, Konwencji w sprawie zakazu stosowania tortur oraz innego okrutnego, nieludzkiego lub poniżającego traktowania albo karania i Konwencji dotyczącej statusu uchodźców, a także by rozważyła nakładanie ukierunkowanych sankcji na te państwa i na sprawców ponadnarodowych represji wobec obrońców praw człowieka; wzywa UE do wspierania ofiar ponadnarodowych represji w dochodzeniu roszczeń w drodze strategicznych sporów sądowych przed Europejskim Trybunałem Praw Człowieka;</w:t>
      </w:r>
    </w:p>
    <w:p w14:paraId="472FC516" w14:textId="37BF3AA8" w:rsidR="00C468E6" w:rsidRPr="00F57EEA" w:rsidRDefault="00863A0B" w:rsidP="00C468E6">
      <w:pPr>
        <w:pStyle w:val="NormalHanging12a"/>
        <w:rPr>
          <w:noProof/>
        </w:rPr>
      </w:pPr>
      <w:r>
        <w:rPr>
          <w:snapToGrid w:val="0"/>
        </w:rPr>
        <w:t>31</w:t>
      </w:r>
      <w:r w:rsidR="00C468E6" w:rsidRPr="00F57EEA">
        <w:rPr>
          <w:snapToGrid w:val="0"/>
        </w:rPr>
        <w:t>.</w:t>
      </w:r>
      <w:r w:rsidR="00C468E6" w:rsidRPr="00F57EEA">
        <w:rPr>
          <w:snapToGrid w:val="0"/>
        </w:rPr>
        <w:tab/>
      </w:r>
      <w:r w:rsidR="00C468E6" w:rsidRPr="00F57EEA">
        <w:t>potępia fakt, że ponadnarodowe represje mają miejsce również na terytorium państw członkowskich UE, a w niektórych przypadkach ze współudziałem państw członkowskich; zauważa, że represje ponadnarodowe są możliwe również dzięki współpracy między rządami;</w:t>
      </w:r>
    </w:p>
    <w:p w14:paraId="0EA8C61F" w14:textId="3E3A023E" w:rsidR="00C468E6" w:rsidRPr="00F57EEA" w:rsidRDefault="00863A0B" w:rsidP="00C468E6">
      <w:pPr>
        <w:pStyle w:val="NormalHanging12a"/>
        <w:rPr>
          <w:noProof/>
        </w:rPr>
      </w:pPr>
      <w:r>
        <w:rPr>
          <w:snapToGrid w:val="0"/>
        </w:rPr>
        <w:t>32</w:t>
      </w:r>
      <w:r w:rsidR="00C468E6" w:rsidRPr="00F57EEA">
        <w:rPr>
          <w:snapToGrid w:val="0"/>
        </w:rPr>
        <w:t>.</w:t>
      </w:r>
      <w:r w:rsidR="00C468E6" w:rsidRPr="00F57EEA">
        <w:rPr>
          <w:snapToGrid w:val="0"/>
        </w:rPr>
        <w:tab/>
      </w:r>
      <w:r w:rsidR="00C468E6" w:rsidRPr="00F57EEA">
        <w:t>podkreśla, że UE i jej państwa członkowskie muszą stać na straży należytej staranności w zakresie praw człowieka w kontaktach z rządami, o których wiadomo, że angażują się w ponadnarodowe represje wobec obrońców praw człowieka lub umożliwiają takie represje;</w:t>
      </w:r>
    </w:p>
    <w:p w14:paraId="7BC540AA" w14:textId="5274DBBD" w:rsidR="00C468E6" w:rsidRPr="00F57EEA" w:rsidRDefault="00863A0B" w:rsidP="00C468E6">
      <w:pPr>
        <w:pStyle w:val="NormalHanging12a"/>
        <w:rPr>
          <w:noProof/>
        </w:rPr>
      </w:pPr>
      <w:r>
        <w:t>33</w:t>
      </w:r>
      <w:r w:rsidR="00C468E6" w:rsidRPr="00F57EEA">
        <w:t>.</w:t>
      </w:r>
      <w:r w:rsidR="00C468E6" w:rsidRPr="00F57EEA">
        <w:tab/>
        <w:t xml:space="preserve">wzywa UE do zwiększenia finansowania mechanizmu ProtectDefenders.eu, rozszerzenia jego mandatu, by obejmował obrońców praw człowieka zagrożonych ponadnarodowymi represjami w </w:t>
      </w:r>
      <w:proofErr w:type="gramStart"/>
      <w:r w:rsidR="00C468E6" w:rsidRPr="00F57EEA">
        <w:t>UE,</w:t>
      </w:r>
      <w:proofErr w:type="gramEnd"/>
      <w:r w:rsidR="00C468E6" w:rsidRPr="00F57EEA">
        <w:t xml:space="preserve"> oraz do zwiększenia finansowania organizacji społeczeństwa obywatelskiego działających na rzecz ochrony zagrożonych osób i obrońców praw człowieka;</w:t>
      </w:r>
    </w:p>
    <w:p w14:paraId="594EBCCE" w14:textId="681ECBFB" w:rsidR="00C468E6" w:rsidRPr="00F57EEA" w:rsidRDefault="00863A0B" w:rsidP="00C468E6">
      <w:pPr>
        <w:pStyle w:val="NormalHanging12a"/>
        <w:rPr>
          <w:noProof/>
        </w:rPr>
      </w:pPr>
      <w:r>
        <w:t>34</w:t>
      </w:r>
      <w:r w:rsidR="00C468E6" w:rsidRPr="00F57EEA">
        <w:t>.</w:t>
      </w:r>
      <w:r w:rsidR="00C468E6" w:rsidRPr="00F57EEA">
        <w:tab/>
        <w:t>wzywa Komisję do proaktywnego zaangażowania i dalszej współpracy z Interpolem i ONZ, również w drodze opracowania wspólnych ram bezpieczeństwa w zakresie ponadnarodowych represji, aby położyć kres niewłaściwemu, politycznie motywowanemu stosowaniu czerwonych not, niebieskich not, dyfuzji i wniosków o ekstradycję; apeluje o uwzględnienie w mandacie Europolu ponadnarodowych represji oraz oceny powiązanych incydentów i not Interpolu dotyczących obrońców praw człowieka i innych osób; wzywa państwa członkowskie do zachowania najwyższej ostrożności przy rozpatrywaniu wniosków o zatrzymanie i ekstradycję pochodzących z reżimów, które w przeszłości nadużywały czerwonych not;</w:t>
      </w:r>
    </w:p>
    <w:p w14:paraId="3CAE1F33" w14:textId="008452B9" w:rsidR="00C468E6" w:rsidRPr="00F57EEA" w:rsidRDefault="00863A0B" w:rsidP="00C468E6">
      <w:pPr>
        <w:pStyle w:val="NormalHanging12a"/>
        <w:rPr>
          <w:noProof/>
        </w:rPr>
      </w:pPr>
      <w:r>
        <w:t>35</w:t>
      </w:r>
      <w:r w:rsidR="00C468E6" w:rsidRPr="00F57EEA">
        <w:t>.</w:t>
      </w:r>
      <w:r w:rsidR="00C468E6" w:rsidRPr="00F57EEA">
        <w:tab/>
        <w:t xml:space="preserve">wzywa UE i jej państwa członkowskie, aby – z myślą o ochronie obrońców praw człowieka i represjonowanych osób oraz wzmocnieniu suwerenności narodowej i wartości demokratycznych – stosowały wszystkie dostępne narzędzia, w tym sankcje w ramach globalnego systemu sankcji UE za naruszenia praw człowieka (unijna ustawa </w:t>
      </w:r>
      <w:proofErr w:type="spellStart"/>
      <w:r w:rsidR="00C468E6" w:rsidRPr="00F57EEA">
        <w:t>Magnickiego</w:t>
      </w:r>
      <w:proofErr w:type="spellEnd"/>
      <w:r w:rsidR="00C468E6" w:rsidRPr="00F57EEA">
        <w:t xml:space="preserve">), zakazy wydawania wiz i wydalanie dyplomatów, co do których wiadomo, że dopuścili się aktów ponadnarodowych represji; wzywa wiceprzewodniczącą Komisji / wysoką przedstawicielkę Unii do spraw zagranicznych i polityki bezpieczeństwa oraz państwa członkowskie do uwzględnienia ponadnarodowych represji jako kategorii podlegającej sankcjom na mocy unijnej ustawy </w:t>
      </w:r>
      <w:proofErr w:type="spellStart"/>
      <w:r w:rsidR="00C468E6" w:rsidRPr="00F57EEA">
        <w:t>Magnickiego</w:t>
      </w:r>
      <w:proofErr w:type="spellEnd"/>
      <w:r w:rsidR="00C468E6" w:rsidRPr="00F57EEA">
        <w:t xml:space="preserve"> oraz do umieszczenia w wykazie osób uznanych za sprawców ponadnarodowych represji; ostrzega, że niezapobieganie ponadnarodowym represjom i niereagowanie na nie grozi podważeniem wiarygodności UE jako bezpiecznego schronienia dla osób uciekających przed prześladowaniami i broniących praw człowieka;</w:t>
      </w:r>
    </w:p>
    <w:p w14:paraId="7EEFC4BC" w14:textId="6F664451" w:rsidR="00C468E6" w:rsidRPr="00F57EEA" w:rsidRDefault="00863A0B" w:rsidP="00C468E6">
      <w:pPr>
        <w:pStyle w:val="NormalHanging12a"/>
        <w:rPr>
          <w:noProof/>
        </w:rPr>
      </w:pPr>
      <w:r>
        <w:t>36</w:t>
      </w:r>
      <w:r w:rsidR="00C468E6" w:rsidRPr="00F57EEA">
        <w:t>.</w:t>
      </w:r>
      <w:r w:rsidR="00C468E6" w:rsidRPr="00F57EEA">
        <w:tab/>
        <w:t xml:space="preserve">wzywa UE, jej państwa członkowskie, Komisję i ESDZ, aby uruchomiły i koordynowały wszystkie swoje instrumenty w celu rozwiązania problemu ponadnarodowych represji oraz aby zintensyfikowały działania dyplomatyczne, w tym </w:t>
      </w:r>
      <w:r w:rsidR="00C468E6" w:rsidRPr="00F57EEA">
        <w:lastRenderedPageBreak/>
        <w:t>za pośrednictwem delegatur UE, w celu zapobiegania taktykom ponadnarodowych represji ze strony państw trzecich i powstrzymywania ich, a także by zwracały uwagę na te incydenty w publicznych oświadczeniach, co pozwoli zwiększyć świadomość społeczeństwa; apeluje o wzmocnioną koordynację z krajami partnerskimi o podobnych poglądach w kontekście grupy G-7 i innych odpowiednich forów międzynarodowych;</w:t>
      </w:r>
    </w:p>
    <w:p w14:paraId="4F5B5F00" w14:textId="77777777" w:rsidR="00C468E6" w:rsidRPr="00F57EEA" w:rsidRDefault="00C468E6" w:rsidP="00C468E6">
      <w:pPr>
        <w:pStyle w:val="NormalHanging12a"/>
        <w:jc w:val="center"/>
        <w:rPr>
          <w:noProof/>
        </w:rPr>
      </w:pPr>
      <w:r w:rsidRPr="00F57EEA">
        <w:t>°</w:t>
      </w:r>
    </w:p>
    <w:p w14:paraId="7F5862D4" w14:textId="77777777" w:rsidR="00C468E6" w:rsidRPr="00F57EEA" w:rsidRDefault="00C468E6" w:rsidP="00C468E6">
      <w:pPr>
        <w:pStyle w:val="NormalHanging12a"/>
        <w:jc w:val="center"/>
        <w:rPr>
          <w:noProof/>
        </w:rPr>
      </w:pPr>
      <w:r w:rsidRPr="00F57EEA">
        <w:t>°</w:t>
      </w:r>
      <w:r w:rsidRPr="00F57EEA">
        <w:tab/>
        <w:t>°</w:t>
      </w:r>
    </w:p>
    <w:p w14:paraId="029D0B4B" w14:textId="4157D1B6" w:rsidR="00E365E1" w:rsidRPr="00F57EEA" w:rsidRDefault="00863A0B" w:rsidP="00824252">
      <w:pPr>
        <w:pStyle w:val="NormalHanging12a"/>
      </w:pPr>
      <w:r>
        <w:t>37</w:t>
      </w:r>
      <w:r w:rsidR="00C468E6" w:rsidRPr="00F57EEA">
        <w:t>.</w:t>
      </w:r>
      <w:r w:rsidR="00C468E6" w:rsidRPr="00F57EEA">
        <w:tab/>
        <w:t>zobowiązuje swoją przewodniczącą do przekazania niniejszej rezolucji Radzie i Komisji.</w:t>
      </w:r>
    </w:p>
    <w:sectPr w:rsidR="00E365E1" w:rsidRPr="00F57EEA" w:rsidSect="00F57EEA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16696FB" w14:textId="77777777" w:rsidR="00292FD9" w:rsidRPr="00F57EEA" w:rsidRDefault="00292FD9">
      <w:r w:rsidRPr="00F57EEA">
        <w:separator/>
      </w:r>
    </w:p>
  </w:endnote>
  <w:endnote w:type="continuationSeparator" w:id="0">
    <w:p w14:paraId="58908D49" w14:textId="77777777" w:rsidR="00292FD9" w:rsidRPr="00F57EEA" w:rsidRDefault="00292FD9">
      <w:r w:rsidRPr="00F57EEA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17CD0F0" w14:textId="77777777" w:rsidR="00064002" w:rsidRPr="00F57EEA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9E2D03" w14:textId="77777777" w:rsidR="00064002" w:rsidRPr="00F57EEA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C999DD7" w14:textId="77777777" w:rsidR="00064002" w:rsidRPr="00F57EEA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6F6CCCD" w14:textId="77777777" w:rsidR="00292FD9" w:rsidRPr="00F57EEA" w:rsidRDefault="00292FD9">
      <w:r w:rsidRPr="00F57EEA">
        <w:separator/>
      </w:r>
    </w:p>
  </w:footnote>
  <w:footnote w:type="continuationSeparator" w:id="0">
    <w:p w14:paraId="006B76B7" w14:textId="77777777" w:rsidR="00292FD9" w:rsidRPr="00F57EEA" w:rsidRDefault="00292FD9">
      <w:r w:rsidRPr="00F57EEA">
        <w:continuationSeparator/>
      </w:r>
    </w:p>
  </w:footnote>
  <w:footnote w:id="1">
    <w:p w14:paraId="7C82D3D5" w14:textId="2017B5AA" w:rsidR="00C468E6" w:rsidRPr="00F57EEA" w:rsidRDefault="00C468E6" w:rsidP="00F57EEA">
      <w:pPr>
        <w:pStyle w:val="FootnoteText"/>
        <w:ind w:left="567" w:hanging="567"/>
        <w:rPr>
          <w:sz w:val="24"/>
          <w:lang w:val="pl-PL"/>
        </w:rPr>
      </w:pPr>
      <w:r w:rsidRPr="00F57EEA">
        <w:rPr>
          <w:rStyle w:val="FootnoteReference"/>
          <w:sz w:val="24"/>
          <w:lang w:val="pl-PL"/>
        </w:rPr>
        <w:footnoteRef/>
      </w:r>
      <w:r w:rsidR="00F57EEA" w:rsidRPr="00F57EEA">
        <w:rPr>
          <w:color w:val="333333"/>
          <w:sz w:val="24"/>
          <w:shd w:val="clear" w:color="auto" w:fill="FFFFFF"/>
          <w:lang w:val="pl-PL"/>
        </w:rPr>
        <w:t xml:space="preserve"> </w:t>
      </w:r>
      <w:r w:rsidR="00F57EEA" w:rsidRPr="00F57EEA">
        <w:rPr>
          <w:color w:val="333333"/>
          <w:sz w:val="24"/>
          <w:shd w:val="clear" w:color="auto" w:fill="FFFFFF"/>
          <w:lang w:val="pl-PL"/>
        </w:rPr>
        <w:tab/>
      </w:r>
      <w:r w:rsidRPr="00F57EEA">
        <w:rPr>
          <w:color w:val="333333"/>
          <w:sz w:val="24"/>
          <w:shd w:val="clear" w:color="auto" w:fill="FFFFFF"/>
          <w:lang w:val="pl-PL"/>
        </w:rPr>
        <w:t>Dz.U. C, C/2023/409, 23.11.2023, ELI: </w:t>
      </w:r>
      <w:hyperlink r:id="rId1" w:tgtFrame="_blank" w:tooltip="Dokument dostępny poprzez ELI URI." w:history="1">
        <w:r w:rsidRPr="00F57EEA">
          <w:rPr>
            <w:color w:val="337AB7"/>
            <w:sz w:val="24"/>
            <w:u w:val="single"/>
            <w:lang w:val="pl-PL"/>
          </w:rPr>
          <w:t>http://data.europa.eu/eli/C/2023/409/oj</w:t>
        </w:r>
      </w:hyperlink>
      <w:r w:rsidRPr="00F57EEA">
        <w:rPr>
          <w:color w:val="333333"/>
          <w:sz w:val="24"/>
          <w:shd w:val="clear" w:color="auto" w:fill="FFFFFF"/>
          <w:lang w:val="pl-PL"/>
        </w:rPr>
        <w:t>. </w:t>
      </w:r>
    </w:p>
  </w:footnote>
  <w:footnote w:id="2">
    <w:p w14:paraId="38008029" w14:textId="77777777" w:rsidR="00824252" w:rsidRPr="00F57EEA" w:rsidRDefault="00824252" w:rsidP="00824252">
      <w:pPr>
        <w:pStyle w:val="FootnoteText"/>
        <w:ind w:left="567" w:hanging="567"/>
        <w:rPr>
          <w:sz w:val="24"/>
          <w:lang w:val="pl-PL"/>
        </w:rPr>
      </w:pPr>
      <w:r w:rsidRPr="00F57EEA">
        <w:rPr>
          <w:rStyle w:val="FootnoteReference"/>
          <w:sz w:val="24"/>
          <w:lang w:val="pl-PL"/>
        </w:rPr>
        <w:footnoteRef/>
      </w:r>
      <w:r w:rsidRPr="00F57EEA">
        <w:rPr>
          <w:sz w:val="24"/>
          <w:lang w:val="pl-PL"/>
        </w:rPr>
        <w:t xml:space="preserve"> </w:t>
      </w:r>
      <w:r w:rsidRPr="00F57EEA">
        <w:rPr>
          <w:sz w:val="24"/>
          <w:lang w:val="pl-PL"/>
        </w:rPr>
        <w:tab/>
        <w:t xml:space="preserve">Dz.U. L 277 z 27.10.2022, s. 1, ELI: </w:t>
      </w:r>
      <w:hyperlink r:id="rId2" w:history="1">
        <w:r w:rsidRPr="00F57EEA">
          <w:rPr>
            <w:rStyle w:val="Hyperlink"/>
            <w:sz w:val="24"/>
            <w:lang w:val="pl-PL"/>
          </w:rPr>
          <w:t>http://data.europa.eu/eli/reg/2022/2065/oj</w:t>
        </w:r>
      </w:hyperlink>
      <w:r w:rsidRPr="00F57EEA">
        <w:rPr>
          <w:sz w:val="24"/>
          <w:lang w:val="pl-PL"/>
        </w:rPr>
        <w:t xml:space="preserve">. </w:t>
      </w:r>
    </w:p>
  </w:footnote>
  <w:footnote w:id="3">
    <w:p w14:paraId="6C509ECD" w14:textId="6BD0E5B3" w:rsidR="00C468E6" w:rsidRPr="00265A36" w:rsidRDefault="00C468E6" w:rsidP="00F57EEA">
      <w:pPr>
        <w:pStyle w:val="FootnoteText"/>
        <w:ind w:left="567" w:hanging="567"/>
        <w:rPr>
          <w:sz w:val="24"/>
          <w:lang w:val="fi-FI"/>
        </w:rPr>
      </w:pPr>
      <w:r w:rsidRPr="00F57EEA">
        <w:rPr>
          <w:rStyle w:val="FootnoteReference"/>
          <w:sz w:val="24"/>
          <w:lang w:val="pl-PL"/>
        </w:rPr>
        <w:footnoteRef/>
      </w:r>
      <w:r w:rsidR="00F57EEA" w:rsidRPr="00265A36">
        <w:rPr>
          <w:sz w:val="24"/>
          <w:lang w:val="fi-FI"/>
        </w:rPr>
        <w:t xml:space="preserve"> </w:t>
      </w:r>
      <w:r w:rsidR="00F57EEA" w:rsidRPr="00265A36">
        <w:rPr>
          <w:sz w:val="24"/>
          <w:lang w:val="fi-FI"/>
        </w:rPr>
        <w:tab/>
      </w:r>
      <w:proofErr w:type="spellStart"/>
      <w:r w:rsidRPr="00265A36">
        <w:rPr>
          <w:sz w:val="24"/>
          <w:lang w:val="fi-FI"/>
        </w:rPr>
        <w:t>Dz.U</w:t>
      </w:r>
      <w:proofErr w:type="spellEnd"/>
      <w:r w:rsidRPr="00265A36">
        <w:rPr>
          <w:sz w:val="24"/>
          <w:lang w:val="fi-FI"/>
        </w:rPr>
        <w:t xml:space="preserve">. L, 2024/1760, 5.7.2024, ELI: </w:t>
      </w:r>
      <w:hyperlink r:id="rId3" w:history="1">
        <w:r w:rsidRPr="00265A36">
          <w:rPr>
            <w:rStyle w:val="Hyperlink"/>
            <w:sz w:val="24"/>
            <w:lang w:val="fi-FI"/>
          </w:rPr>
          <w:t>http://data.europa.eu/eli/dir/2024/1760/oj</w:t>
        </w:r>
      </w:hyperlink>
      <w:r w:rsidRPr="00265A36">
        <w:rPr>
          <w:sz w:val="24"/>
          <w:lang w:val="fi-FI"/>
        </w:rPr>
        <w:t xml:space="preserve">. </w:t>
      </w:r>
    </w:p>
  </w:footnote>
  <w:footnote w:id="4">
    <w:p w14:paraId="483C0A12" w14:textId="678A5B78" w:rsidR="00C468E6" w:rsidRPr="00F57EEA" w:rsidRDefault="00C468E6" w:rsidP="00F57EEA">
      <w:pPr>
        <w:pStyle w:val="FootnoteText"/>
        <w:ind w:left="567" w:hanging="567"/>
        <w:rPr>
          <w:sz w:val="24"/>
          <w:lang w:val="pl-PL"/>
        </w:rPr>
      </w:pPr>
      <w:r w:rsidRPr="00F57EEA">
        <w:rPr>
          <w:rStyle w:val="FootnoteReference"/>
          <w:sz w:val="24"/>
          <w:lang w:val="pl-PL"/>
        </w:rPr>
        <w:footnoteRef/>
      </w:r>
      <w:r w:rsidR="00F57EEA" w:rsidRPr="00F57EEA">
        <w:rPr>
          <w:sz w:val="24"/>
          <w:lang w:val="pl-PL"/>
        </w:rPr>
        <w:t xml:space="preserve"> </w:t>
      </w:r>
      <w:r w:rsidR="00F57EEA" w:rsidRPr="00F57EEA">
        <w:rPr>
          <w:sz w:val="24"/>
          <w:lang w:val="pl-PL"/>
        </w:rPr>
        <w:tab/>
      </w:r>
      <w:r w:rsidRPr="00F57EEA">
        <w:rPr>
          <w:sz w:val="24"/>
          <w:lang w:val="pl-PL"/>
        </w:rPr>
        <w:t xml:space="preserve">Rozporządzenie Parlamentu Europejskiego i Rady (UE) 2021/821 z dnia 20 maja 2021 r. ustanawiające unijny system kontroli wywozu, pośrednictwa, pomocy technicznej, tranzytu i transferu produktów podwójnego zastosowania (Dz.U. L 206 z 11.6.2021, s. 1, ELI: </w:t>
      </w:r>
      <w:hyperlink r:id="rId4" w:history="1">
        <w:r w:rsidRPr="00F57EEA">
          <w:rPr>
            <w:rStyle w:val="Hyperlink"/>
            <w:sz w:val="24"/>
            <w:lang w:val="pl-PL"/>
          </w:rPr>
          <w:t>http://data.europa.eu/eli/reg/2021/821/oj</w:t>
        </w:r>
      </w:hyperlink>
      <w:r w:rsidRPr="00F57EEA">
        <w:rPr>
          <w:sz w:val="24"/>
          <w:lang w:val="pl-PL"/>
        </w:rPr>
        <w:t xml:space="preserve">). 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F1934AD" w14:textId="77777777" w:rsidR="00064002" w:rsidRPr="00F57EEA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257E86A" w14:textId="77777777" w:rsidR="00064002" w:rsidRPr="00F57EEA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76D3306" w14:textId="77777777" w:rsidR="00064002" w:rsidRPr="00F57EEA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1252548070">
    <w:abstractNumId w:val="9"/>
  </w:num>
  <w:num w:numId="2" w16cid:durableId="1501236515">
    <w:abstractNumId w:val="9"/>
  </w:num>
  <w:num w:numId="3" w16cid:durableId="2127658496">
    <w:abstractNumId w:val="7"/>
  </w:num>
  <w:num w:numId="4" w16cid:durableId="1678851933">
    <w:abstractNumId w:val="7"/>
  </w:num>
  <w:num w:numId="5" w16cid:durableId="1238200593">
    <w:abstractNumId w:val="6"/>
  </w:num>
  <w:num w:numId="6" w16cid:durableId="264575744">
    <w:abstractNumId w:val="6"/>
  </w:num>
  <w:num w:numId="7" w16cid:durableId="1698240752">
    <w:abstractNumId w:val="5"/>
  </w:num>
  <w:num w:numId="8" w16cid:durableId="1431467381">
    <w:abstractNumId w:val="5"/>
  </w:num>
  <w:num w:numId="9" w16cid:durableId="932277472">
    <w:abstractNumId w:val="4"/>
  </w:num>
  <w:num w:numId="10" w16cid:durableId="333532908">
    <w:abstractNumId w:val="4"/>
  </w:num>
  <w:num w:numId="11" w16cid:durableId="596403876">
    <w:abstractNumId w:val="8"/>
  </w:num>
  <w:num w:numId="12" w16cid:durableId="1428959286">
    <w:abstractNumId w:val="8"/>
  </w:num>
  <w:num w:numId="13" w16cid:durableId="2065057683">
    <w:abstractNumId w:val="3"/>
  </w:num>
  <w:num w:numId="14" w16cid:durableId="819536304">
    <w:abstractNumId w:val="3"/>
  </w:num>
  <w:num w:numId="15" w16cid:durableId="854726940">
    <w:abstractNumId w:val="2"/>
  </w:num>
  <w:num w:numId="16" w16cid:durableId="827210838">
    <w:abstractNumId w:val="2"/>
  </w:num>
  <w:num w:numId="17" w16cid:durableId="1128014132">
    <w:abstractNumId w:val="1"/>
  </w:num>
  <w:num w:numId="18" w16cid:durableId="2068071577">
    <w:abstractNumId w:val="1"/>
  </w:num>
  <w:num w:numId="19" w16cid:durableId="925264871">
    <w:abstractNumId w:val="0"/>
  </w:num>
  <w:num w:numId="20" w16cid:durableId="1436634335">
    <w:abstractNumId w:val="0"/>
  </w:num>
  <w:num w:numId="21" w16cid:durableId="1388264086">
    <w:abstractNumId w:val="9"/>
  </w:num>
  <w:num w:numId="22" w16cid:durableId="1346861108">
    <w:abstractNumId w:val="7"/>
  </w:num>
  <w:num w:numId="23" w16cid:durableId="2078362486">
    <w:abstractNumId w:val="6"/>
  </w:num>
  <w:num w:numId="24" w16cid:durableId="866528523">
    <w:abstractNumId w:val="5"/>
  </w:num>
  <w:num w:numId="25" w16cid:durableId="1896814167">
    <w:abstractNumId w:val="4"/>
  </w:num>
  <w:num w:numId="26" w16cid:durableId="1658923377">
    <w:abstractNumId w:val="8"/>
  </w:num>
  <w:num w:numId="27" w16cid:durableId="124352829">
    <w:abstractNumId w:val="3"/>
  </w:num>
  <w:num w:numId="28" w16cid:durableId="1662006974">
    <w:abstractNumId w:val="2"/>
  </w:num>
  <w:num w:numId="29" w16cid:durableId="1706756458">
    <w:abstractNumId w:val="1"/>
  </w:num>
  <w:num w:numId="30" w16cid:durableId="1564171617">
    <w:abstractNumId w:val="0"/>
  </w:num>
  <w:num w:numId="31" w16cid:durableId="712844634">
    <w:abstractNumId w:val="9"/>
  </w:num>
  <w:num w:numId="32" w16cid:durableId="1136529580">
    <w:abstractNumId w:val="7"/>
  </w:num>
  <w:num w:numId="33" w16cid:durableId="475414051">
    <w:abstractNumId w:val="6"/>
  </w:num>
  <w:num w:numId="34" w16cid:durableId="314846101">
    <w:abstractNumId w:val="5"/>
  </w:num>
  <w:num w:numId="35" w16cid:durableId="136994200">
    <w:abstractNumId w:val="4"/>
  </w:num>
  <w:num w:numId="36" w16cid:durableId="1289168994">
    <w:abstractNumId w:val="8"/>
  </w:num>
  <w:num w:numId="37" w16cid:durableId="693265749">
    <w:abstractNumId w:val="3"/>
  </w:num>
  <w:num w:numId="38" w16cid:durableId="975333261">
    <w:abstractNumId w:val="2"/>
  </w:num>
  <w:num w:numId="39" w16cid:durableId="180825716">
    <w:abstractNumId w:val="1"/>
  </w:num>
  <w:num w:numId="40" w16cid:durableId="385108554">
    <w:abstractNumId w:val="0"/>
  </w:num>
  <w:num w:numId="41" w16cid:durableId="230502257">
    <w:abstractNumId w:val="10"/>
  </w:num>
  <w:num w:numId="42" w16cid:durableId="1223713864">
    <w:abstractNumId w:val="10"/>
  </w:num>
  <w:num w:numId="43" w16cid:durableId="539971606">
    <w:abstractNumId w:val="10"/>
  </w:num>
  <w:num w:numId="44" w16cid:durableId="985089783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10-0206/2025"/>
    <w:docVar w:name="dvlangue" w:val="PL"/>
    <w:docVar w:name="dvnumam" w:val="0"/>
    <w:docVar w:name="dvpe" w:val="774.242"/>
    <w:docVar w:name="dvrapporteur" w:val="Sprawozdawca: "/>
    <w:docVar w:name="dvtitre" w:val="Rezolucja Parlamentu Europejskiego z dnia  2025 r. w sprawie zwalczania ponadnarodowych represji wobec obrońców praw człowieka(2025/2048(INI))"/>
  </w:docVars>
  <w:rsids>
    <w:rsidRoot w:val="00292FD9"/>
    <w:rsid w:val="00002272"/>
    <w:rsid w:val="00064002"/>
    <w:rsid w:val="000677B9"/>
    <w:rsid w:val="000831BA"/>
    <w:rsid w:val="000A42CC"/>
    <w:rsid w:val="000E7DD9"/>
    <w:rsid w:val="000F0362"/>
    <w:rsid w:val="0010095E"/>
    <w:rsid w:val="00125B37"/>
    <w:rsid w:val="00187494"/>
    <w:rsid w:val="001F32AE"/>
    <w:rsid w:val="00265A36"/>
    <w:rsid w:val="002767FF"/>
    <w:rsid w:val="00292FD9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86442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F1B17"/>
    <w:rsid w:val="006037C0"/>
    <w:rsid w:val="006631B6"/>
    <w:rsid w:val="00680577"/>
    <w:rsid w:val="006F74FA"/>
    <w:rsid w:val="00731ADD"/>
    <w:rsid w:val="00734777"/>
    <w:rsid w:val="007404C1"/>
    <w:rsid w:val="00747932"/>
    <w:rsid w:val="00751A4A"/>
    <w:rsid w:val="00756632"/>
    <w:rsid w:val="00762C74"/>
    <w:rsid w:val="0078447C"/>
    <w:rsid w:val="00786EC0"/>
    <w:rsid w:val="007D1690"/>
    <w:rsid w:val="007E22AD"/>
    <w:rsid w:val="00817416"/>
    <w:rsid w:val="00824252"/>
    <w:rsid w:val="00842779"/>
    <w:rsid w:val="00863A0B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468E6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57EEA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9F6563C"/>
  <w15:chartTrackingRefBased/>
  <w15:docId w15:val="{4F95F3C4-6471-40C5-A2FB-14FF85C759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pl-PL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Hanging12a">
    <w:name w:val="NormalHanging12a"/>
    <w:basedOn w:val="Normal"/>
    <w:rsid w:val="00C468E6"/>
    <w:pPr>
      <w:spacing w:after="240"/>
      <w:ind w:left="567" w:hanging="567"/>
    </w:pPr>
  </w:style>
  <w:style w:type="paragraph" w:customStyle="1" w:styleId="EPComma">
    <w:name w:val="EPComma"/>
    <w:basedOn w:val="Normal"/>
    <w:rsid w:val="00C468E6"/>
    <w:pPr>
      <w:spacing w:before="480" w:after="240"/>
    </w:pPr>
  </w:style>
  <w:style w:type="character" w:styleId="Hyperlink">
    <w:name w:val="Hyperlink"/>
    <w:basedOn w:val="DefaultParagraphFont"/>
    <w:uiPriority w:val="99"/>
    <w:unhideWhenUsed/>
    <w:rsid w:val="00C468E6"/>
    <w:rPr>
      <w:color w:val="0563C1" w:themeColor="hyperlink"/>
      <w:u w:val="single"/>
    </w:rPr>
  </w:style>
  <w:style w:type="paragraph" w:styleId="Revision">
    <w:name w:val="Revision"/>
    <w:hidden/>
    <w:uiPriority w:val="99"/>
    <w:semiHidden/>
    <w:rsid w:val="00863A0B"/>
    <w:rPr>
      <w:sz w:val="24"/>
      <w:lang w:val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notes.xml.rels><?xml version="1.0" encoding="UTF-8" standalone="yes"?>
<Relationships xmlns="http://schemas.openxmlformats.org/package/2006/relationships"><Relationship Id="rId3" Type="http://schemas.openxmlformats.org/officeDocument/2006/relationships/hyperlink" Target="http://data.europa.eu/eli/dir/2024/1760/oj" TargetMode="External"/><Relationship Id="rId2" Type="http://schemas.openxmlformats.org/officeDocument/2006/relationships/hyperlink" Target="http://data.europa.eu/eli/reg/2022/2065/oj" TargetMode="External"/><Relationship Id="rId1" Type="http://schemas.openxmlformats.org/officeDocument/2006/relationships/hyperlink" Target="http://data.europa.eu/eli/C/2023/409/oj" TargetMode="External"/><Relationship Id="rId4" Type="http://schemas.openxmlformats.org/officeDocument/2006/relationships/hyperlink" Target="http://data.europa.eu/eli/reg/2021/821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10</Pages>
  <Words>3374</Words>
  <Characters>23552</Characters>
  <Application>Microsoft Office Word</Application>
  <DocSecurity>0</DocSecurity>
  <Lines>196</Lines>
  <Paragraphs>53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26873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ZALESKI Tomasz</dc:creator>
  <cp:keywords/>
  <cp:lastModifiedBy>ZALESKI Tomasz</cp:lastModifiedBy>
  <cp:revision>2</cp:revision>
  <cp:lastPrinted>2004-11-19T15:42:00Z</cp:lastPrinted>
  <dcterms:created xsi:type="dcterms:W3CDTF">2025-11-13T14:14:00Z</dcterms:created>
  <dcterms:modified xsi:type="dcterms:W3CDTF">2025-11-13T14:14:00Z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PL</vt:lpwstr>
  </property>
  <property fmtid="{D5CDD505-2E9C-101B-9397-08002B2CF9AE}" pid="3" name="&lt;FdR&gt;">
    <vt:lpwstr>A10-0206/2025</vt:lpwstr>
  </property>
  <property fmtid="{D5CDD505-2E9C-101B-9397-08002B2CF9AE}" pid="4" name="&lt;Type&gt;">
    <vt:lpwstr>RR</vt:lpwstr>
  </property>
</Properties>
</file>