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1A2A" w14:paraId="210701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A59457" w14:textId="4A447BAE" w:rsidR="00751A4A" w:rsidRPr="00901A2A" w:rsidRDefault="005269CC" w:rsidP="0010095E">
            <w:pPr>
              <w:pStyle w:val="EPName"/>
            </w:pPr>
            <w:r w:rsidRPr="00901A2A">
              <w:t>Evropský parlament</w:t>
            </w:r>
          </w:p>
          <w:p w14:paraId="6438BA40" w14:textId="77777777" w:rsidR="00751A4A" w:rsidRPr="00901A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1A2A">
              <w:t>2024</w:t>
            </w:r>
            <w:r w:rsidR="00817416" w:rsidRPr="00901A2A">
              <w:t>-202</w:t>
            </w:r>
            <w:r w:rsidRPr="00901A2A">
              <w:t>9</w:t>
            </w:r>
          </w:p>
        </w:tc>
        <w:tc>
          <w:tcPr>
            <w:tcW w:w="2268" w:type="dxa"/>
            <w:shd w:val="clear" w:color="auto" w:fill="auto"/>
          </w:tcPr>
          <w:p w14:paraId="6F4E119F" w14:textId="77777777" w:rsidR="00751A4A" w:rsidRPr="00901A2A" w:rsidRDefault="00187494" w:rsidP="0010095E">
            <w:pPr>
              <w:pStyle w:val="EPLogo"/>
            </w:pPr>
            <w:r w:rsidRPr="00901A2A">
              <w:rPr>
                <w:noProof/>
                <w:lang w:eastAsia="ja-JP"/>
              </w:rPr>
              <w:drawing>
                <wp:inline distT="0" distB="0" distL="0" distR="0" wp14:anchorId="2C4AF216" wp14:editId="5235FD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E233B9" w14:textId="77777777" w:rsidR="00D058B8" w:rsidRPr="00901A2A" w:rsidRDefault="00D058B8" w:rsidP="004C5D52">
      <w:pPr>
        <w:pStyle w:val="LineTop"/>
      </w:pPr>
    </w:p>
    <w:p w14:paraId="14E70A64" w14:textId="62285993" w:rsidR="00680577" w:rsidRPr="00901A2A" w:rsidRDefault="005269CC" w:rsidP="00680577">
      <w:pPr>
        <w:pStyle w:val="EPBodyTA1"/>
      </w:pPr>
      <w:r w:rsidRPr="00901A2A">
        <w:t>PŘIJATÉ TEXTY</w:t>
      </w:r>
    </w:p>
    <w:p w14:paraId="7E864B0F" w14:textId="77777777" w:rsidR="00D058B8" w:rsidRPr="00901A2A" w:rsidRDefault="00D058B8" w:rsidP="00D058B8">
      <w:pPr>
        <w:pStyle w:val="LineBottom"/>
      </w:pPr>
    </w:p>
    <w:p w14:paraId="4FD7F948" w14:textId="4E80EFA6" w:rsidR="005269CC" w:rsidRPr="00901A2A" w:rsidRDefault="005269CC" w:rsidP="005269CC">
      <w:pPr>
        <w:pStyle w:val="ATHeading1"/>
      </w:pPr>
      <w:bookmarkStart w:id="0" w:name="TANumber"/>
      <w:r w:rsidRPr="00901A2A">
        <w:t>P10_TA(2025)0</w:t>
      </w:r>
      <w:bookmarkEnd w:id="0"/>
      <w:r w:rsidR="00EC6E0F">
        <w:t>261</w:t>
      </w:r>
    </w:p>
    <w:p w14:paraId="4669B256" w14:textId="77777777" w:rsidR="005269CC" w:rsidRPr="00901A2A" w:rsidRDefault="005269CC" w:rsidP="005269CC">
      <w:pPr>
        <w:pStyle w:val="ATHeading2"/>
      </w:pPr>
      <w:bookmarkStart w:id="1" w:name="title"/>
      <w:r w:rsidRPr="00901A2A">
        <w:t>Statistiky obyvatelstva a bydlení</w:t>
      </w:r>
      <w:bookmarkEnd w:id="1"/>
    </w:p>
    <w:p w14:paraId="18E52CB0" w14:textId="77777777" w:rsidR="005269CC" w:rsidRPr="00901A2A" w:rsidRDefault="005269CC" w:rsidP="005269CC">
      <w:pPr>
        <w:rPr>
          <w:i/>
          <w:vanish/>
        </w:rPr>
      </w:pPr>
      <w:r w:rsidRPr="00901A2A">
        <w:rPr>
          <w:i/>
        </w:rPr>
        <w:fldChar w:fldCharType="begin"/>
      </w:r>
      <w:r w:rsidRPr="00901A2A">
        <w:rPr>
          <w:i/>
        </w:rPr>
        <w:instrText xml:space="preserve"> TC"(</w:instrText>
      </w:r>
      <w:bookmarkStart w:id="2" w:name="DocNumber"/>
      <w:r w:rsidRPr="00901A2A">
        <w:rPr>
          <w:i/>
        </w:rPr>
        <w:instrText>A10-0207/2025</w:instrText>
      </w:r>
      <w:bookmarkEnd w:id="2"/>
      <w:r w:rsidRPr="00901A2A">
        <w:rPr>
          <w:i/>
        </w:rPr>
        <w:instrText xml:space="preserve"> - Zpravodajka: Irena </w:instrText>
      </w:r>
      <w:proofErr w:type="spellStart"/>
      <w:r w:rsidRPr="00901A2A">
        <w:rPr>
          <w:i/>
        </w:rPr>
        <w:instrText>Joveva</w:instrText>
      </w:r>
      <w:proofErr w:type="spellEnd"/>
      <w:r w:rsidRPr="00901A2A">
        <w:rPr>
          <w:i/>
        </w:rPr>
        <w:instrText xml:space="preserve">)"\l3 \n&gt; \* MERGEFORMAT </w:instrText>
      </w:r>
      <w:r w:rsidRPr="00901A2A">
        <w:rPr>
          <w:i/>
        </w:rPr>
        <w:fldChar w:fldCharType="end"/>
      </w:r>
    </w:p>
    <w:p w14:paraId="6D0B0BF3" w14:textId="77777777" w:rsidR="005269CC" w:rsidRPr="00901A2A" w:rsidRDefault="005269CC" w:rsidP="005269CC">
      <w:pPr>
        <w:rPr>
          <w:vanish/>
        </w:rPr>
      </w:pPr>
      <w:bookmarkStart w:id="3" w:name="Commission"/>
      <w:r w:rsidRPr="00901A2A">
        <w:rPr>
          <w:vanish/>
        </w:rPr>
        <w:t>Výbor pro zaměstnanost a sociální věci</w:t>
      </w:r>
      <w:bookmarkEnd w:id="3"/>
    </w:p>
    <w:p w14:paraId="58DDEE5C" w14:textId="77777777" w:rsidR="005269CC" w:rsidRPr="00901A2A" w:rsidRDefault="005269CC" w:rsidP="005269CC">
      <w:pPr>
        <w:rPr>
          <w:vanish/>
        </w:rPr>
      </w:pPr>
      <w:bookmarkStart w:id="4" w:name="PE"/>
      <w:r w:rsidRPr="00901A2A">
        <w:rPr>
          <w:vanish/>
        </w:rPr>
        <w:t>PE778.283</w:t>
      </w:r>
      <w:bookmarkEnd w:id="4"/>
    </w:p>
    <w:p w14:paraId="7D3F347C" w14:textId="235F3654" w:rsidR="005269CC" w:rsidRPr="00901A2A" w:rsidRDefault="005269CC" w:rsidP="005269CC">
      <w:pPr>
        <w:pStyle w:val="ATHeading3"/>
      </w:pPr>
      <w:bookmarkStart w:id="5" w:name="Sujet"/>
      <w:r w:rsidRPr="00901A2A">
        <w:t>Legislativní usnesení Evropského parlamentu ze dne</w:t>
      </w:r>
      <w:r w:rsidR="00630619">
        <w:t xml:space="preserve"> 13. listopadu</w:t>
      </w:r>
      <w:r w:rsidRPr="00901A2A">
        <w:t xml:space="preserve"> 2025 k postoji Rady v prvním čtení k přijetí nařízení Evropského parlamentu a Rady o evropských statistikách obyvatelstva a bydlení, kterým se mění nařízení (ES) č. 862/2007 a zrušují nařízení (ES) č. 763/2008 a (EU) č. 1260/2013</w:t>
      </w:r>
      <w:bookmarkEnd w:id="5"/>
      <w:r w:rsidRPr="00901A2A">
        <w:t xml:space="preserve"> </w:t>
      </w:r>
      <w:bookmarkStart w:id="6" w:name="References"/>
      <w:r w:rsidRPr="00901A2A">
        <w:t>(09858/1/2025 – C10-0230/</w:t>
      </w:r>
      <w:proofErr w:type="gramStart"/>
      <w:r w:rsidRPr="00901A2A">
        <w:t>2025 – 2023</w:t>
      </w:r>
      <w:proofErr w:type="gramEnd"/>
      <w:r w:rsidRPr="00901A2A">
        <w:t>/0008(COD))</w:t>
      </w:r>
      <w:bookmarkEnd w:id="6"/>
    </w:p>
    <w:p w14:paraId="72A2D321" w14:textId="77777777" w:rsidR="005269CC" w:rsidRPr="00901A2A" w:rsidRDefault="005269CC" w:rsidP="005269CC"/>
    <w:p w14:paraId="0A3A28E0" w14:textId="77777777" w:rsidR="00C24478" w:rsidRPr="00901A2A" w:rsidRDefault="00C24478" w:rsidP="00C24478">
      <w:pPr>
        <w:pStyle w:val="NormalBold"/>
      </w:pPr>
      <w:bookmarkStart w:id="7" w:name="TextBodyBegin"/>
      <w:bookmarkEnd w:id="7"/>
      <w:r w:rsidRPr="00901A2A">
        <w:t>(Řádný legislativní postup: druhé čtení)</w:t>
      </w:r>
    </w:p>
    <w:p w14:paraId="743EBF83" w14:textId="77777777" w:rsidR="00C24478" w:rsidRPr="00901A2A" w:rsidRDefault="00C24478" w:rsidP="00C24478">
      <w:pPr>
        <w:pStyle w:val="EPComma"/>
      </w:pPr>
      <w:r w:rsidRPr="00901A2A">
        <w:rPr>
          <w:i/>
        </w:rPr>
        <w:t>Evropský parlament</w:t>
      </w:r>
      <w:r w:rsidRPr="00901A2A">
        <w:t>,</w:t>
      </w:r>
    </w:p>
    <w:p w14:paraId="2645EFE4" w14:textId="77777777" w:rsidR="00C24478" w:rsidRPr="00901A2A" w:rsidRDefault="00C24478" w:rsidP="00C24478">
      <w:pPr>
        <w:pStyle w:val="NormalHanging12a"/>
      </w:pPr>
      <w:r w:rsidRPr="00901A2A">
        <w:t>–</w:t>
      </w:r>
      <w:r w:rsidRPr="00901A2A">
        <w:tab/>
        <w:t>s ohledem na postoj Rady v prvním čtení (09858/1/2025 – C10</w:t>
      </w:r>
      <w:r w:rsidRPr="00901A2A">
        <w:noBreakHyphen/>
        <w:t>0230/2025),</w:t>
      </w:r>
    </w:p>
    <w:p w14:paraId="6410B57F" w14:textId="77777777" w:rsidR="00C24478" w:rsidRPr="00901A2A" w:rsidRDefault="00C24478" w:rsidP="00C24478">
      <w:pPr>
        <w:pStyle w:val="NormalHanging12a"/>
      </w:pPr>
      <w:r w:rsidRPr="00901A2A">
        <w:t>–</w:t>
      </w:r>
      <w:r w:rsidRPr="00901A2A">
        <w:tab/>
        <w:t>s ohledem na stanovisko Evropského hospodářského a sociálního výboru ze dne 27. dubna 2023</w:t>
      </w:r>
      <w:r w:rsidRPr="00901A2A">
        <w:rPr>
          <w:rStyle w:val="FootnoteReference"/>
        </w:rPr>
        <w:footnoteReference w:id="1"/>
      </w:r>
      <w:r w:rsidRPr="00901A2A">
        <w:t>,</w:t>
      </w:r>
    </w:p>
    <w:p w14:paraId="700FC7C3" w14:textId="77777777" w:rsidR="00C24478" w:rsidRPr="00901A2A" w:rsidRDefault="00C24478" w:rsidP="00C24478">
      <w:pPr>
        <w:pStyle w:val="NormalHanging12a"/>
      </w:pPr>
      <w:r w:rsidRPr="00901A2A">
        <w:t>–</w:t>
      </w:r>
      <w:r w:rsidRPr="00901A2A">
        <w:tab/>
        <w:t>po konzultaci s Výborem regionů,</w:t>
      </w:r>
    </w:p>
    <w:p w14:paraId="286F82FF" w14:textId="77777777" w:rsidR="00C24478" w:rsidRPr="00901A2A" w:rsidRDefault="00C24478" w:rsidP="00C24478">
      <w:pPr>
        <w:pStyle w:val="NormalHanging12a"/>
      </w:pPr>
      <w:r w:rsidRPr="00901A2A">
        <w:t>–</w:t>
      </w:r>
      <w:r w:rsidRPr="00901A2A">
        <w:tab/>
        <w:t>s ohledem na svůj postoj v prvním čtení</w:t>
      </w:r>
      <w:r w:rsidRPr="00901A2A">
        <w:rPr>
          <w:rStyle w:val="FootnoteReference"/>
        </w:rPr>
        <w:footnoteReference w:id="2"/>
      </w:r>
      <w:r w:rsidRPr="00901A2A">
        <w:t xml:space="preserve"> k návrhu Komise Evropskému parlamentu a Radě (</w:t>
      </w:r>
      <w:proofErr w:type="gramStart"/>
      <w:r w:rsidRPr="00901A2A">
        <w:t>COM(</w:t>
      </w:r>
      <w:proofErr w:type="gramEnd"/>
      <w:r w:rsidRPr="00901A2A">
        <w:t>2023)0031),</w:t>
      </w:r>
    </w:p>
    <w:p w14:paraId="59012D8D" w14:textId="77777777" w:rsidR="00C24478" w:rsidRPr="00901A2A" w:rsidRDefault="00C24478" w:rsidP="00C24478">
      <w:pPr>
        <w:pStyle w:val="NormalHanging12a"/>
      </w:pPr>
      <w:r w:rsidRPr="00901A2A">
        <w:t>–</w:t>
      </w:r>
      <w:r w:rsidRPr="00901A2A">
        <w:tab/>
        <w:t>s ohledem na čl. 294 odst. 7 Smlouvy o fungování Evropské unie,</w:t>
      </w:r>
    </w:p>
    <w:p w14:paraId="1D3D6DEA" w14:textId="77777777" w:rsidR="00C24478" w:rsidRPr="00901A2A" w:rsidRDefault="00C24478" w:rsidP="00C24478">
      <w:pPr>
        <w:pStyle w:val="NormalHanging12a"/>
      </w:pPr>
      <w:r w:rsidRPr="00901A2A">
        <w:t>–</w:t>
      </w:r>
      <w:r w:rsidRPr="00901A2A">
        <w:tab/>
        <w:t>s ohledem na předběžnou dohodu přijatou příslušným výborem podle čl. 75 odst. 4 jednacího řádu,</w:t>
      </w:r>
    </w:p>
    <w:p w14:paraId="58AE6EDE" w14:textId="77777777" w:rsidR="00C24478" w:rsidRPr="00901A2A" w:rsidRDefault="00C24478" w:rsidP="00C24478">
      <w:pPr>
        <w:pStyle w:val="NormalHanging12a"/>
      </w:pPr>
      <w:r w:rsidRPr="00901A2A">
        <w:t>–</w:t>
      </w:r>
      <w:r w:rsidRPr="00901A2A">
        <w:tab/>
        <w:t>s ohledem na článek 68 jednacího řádu,</w:t>
      </w:r>
    </w:p>
    <w:p w14:paraId="36E011B7" w14:textId="77777777" w:rsidR="00C24478" w:rsidRPr="00901A2A" w:rsidRDefault="00C24478" w:rsidP="00C24478">
      <w:pPr>
        <w:pStyle w:val="NormalHanging12a"/>
      </w:pPr>
      <w:r w:rsidRPr="00901A2A">
        <w:t>–</w:t>
      </w:r>
      <w:r w:rsidRPr="00901A2A">
        <w:tab/>
        <w:t>s ohledem na doporučení pro druhé čtení předložené Výborem pro zaměstnanost a sociální věci (A10</w:t>
      </w:r>
      <w:r w:rsidRPr="00901A2A">
        <w:noBreakHyphen/>
        <w:t>0207/2025),</w:t>
      </w:r>
    </w:p>
    <w:p w14:paraId="4D1475DE" w14:textId="77777777" w:rsidR="00C24478" w:rsidRPr="00901A2A" w:rsidRDefault="00C24478" w:rsidP="00C24478">
      <w:pPr>
        <w:pStyle w:val="NormalHanging12a"/>
      </w:pPr>
      <w:r w:rsidRPr="00901A2A">
        <w:t>1.</w:t>
      </w:r>
      <w:r w:rsidRPr="00901A2A">
        <w:tab/>
        <w:t>schvaluje postoj Rady v prvním čtení;</w:t>
      </w:r>
    </w:p>
    <w:p w14:paraId="24FA9E11" w14:textId="77777777" w:rsidR="00C24478" w:rsidRPr="00901A2A" w:rsidRDefault="00C24478" w:rsidP="00C24478">
      <w:pPr>
        <w:pStyle w:val="NormalHanging12a"/>
      </w:pPr>
      <w:r w:rsidRPr="00901A2A">
        <w:lastRenderedPageBreak/>
        <w:t>2.</w:t>
      </w:r>
      <w:r w:rsidRPr="00901A2A">
        <w:tab/>
        <w:t>konstatuje, že akt je přijat v souladu s postojem Rady;</w:t>
      </w:r>
    </w:p>
    <w:p w14:paraId="3D8EB28A" w14:textId="77777777" w:rsidR="00C24478" w:rsidRPr="00901A2A" w:rsidRDefault="00C24478" w:rsidP="00C24478">
      <w:pPr>
        <w:pStyle w:val="NormalHanging12a"/>
      </w:pPr>
      <w:r w:rsidRPr="00901A2A">
        <w:t>3.</w:t>
      </w:r>
      <w:r w:rsidRPr="00901A2A">
        <w:tab/>
        <w:t>pověřuje svou předsedkyni, aby společně s předsedou Rady podepsala akt podle čl. 297 odst. 1 Smlouvy o fungování Evropské unie;</w:t>
      </w:r>
    </w:p>
    <w:p w14:paraId="26643319" w14:textId="77777777" w:rsidR="00C24478" w:rsidRPr="00901A2A" w:rsidRDefault="00C24478" w:rsidP="00C24478">
      <w:pPr>
        <w:pStyle w:val="NormalHanging12a"/>
      </w:pPr>
      <w:r w:rsidRPr="00901A2A">
        <w:t>4.</w:t>
      </w:r>
      <w:r w:rsidRPr="00901A2A">
        <w:tab/>
        <w:t xml:space="preserve">pověřuje svého generálního tajemníka, aby akt podepsal poté, co </w:t>
      </w:r>
      <w:proofErr w:type="gramStart"/>
      <w:r w:rsidRPr="00901A2A">
        <w:t>ověří</w:t>
      </w:r>
      <w:proofErr w:type="gramEnd"/>
      <w:r w:rsidRPr="00901A2A">
        <w:t>, že všechny postupy byly řádně ukončeny, a aby společně s generálním tajemníkem Rady zajistil jeho zveřejnění v </w:t>
      </w:r>
      <w:r w:rsidRPr="00901A2A">
        <w:rPr>
          <w:i/>
        </w:rPr>
        <w:t>Úředním věstníku Evropské unie</w:t>
      </w:r>
      <w:r w:rsidRPr="00901A2A">
        <w:t>;</w:t>
      </w:r>
    </w:p>
    <w:p w14:paraId="6D090D30" w14:textId="6EDDC6AE" w:rsidR="00901A2A" w:rsidRPr="00901A2A" w:rsidRDefault="00C24478" w:rsidP="00901A2A">
      <w:pPr>
        <w:pStyle w:val="NormalHanging12a"/>
      </w:pPr>
      <w:r w:rsidRPr="00901A2A">
        <w:t>5.</w:t>
      </w:r>
      <w:r w:rsidRPr="00901A2A">
        <w:tab/>
        <w:t>pověřuje svou předsedkyni, aby předala postoj Parlamentu Radě a Komisi, jakož i vnitrostátním parlamentům.</w:t>
      </w:r>
    </w:p>
    <w:p w14:paraId="3FFE34B8" w14:textId="4A106FDE" w:rsidR="00E365E1" w:rsidRPr="00901A2A" w:rsidRDefault="00E365E1" w:rsidP="005269CC"/>
    <w:sectPr w:rsidR="00E365E1" w:rsidRPr="00901A2A" w:rsidSect="00901A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C4E54" w14:textId="77777777" w:rsidR="005269CC" w:rsidRPr="00901A2A" w:rsidRDefault="005269CC">
      <w:r w:rsidRPr="00901A2A">
        <w:separator/>
      </w:r>
    </w:p>
  </w:endnote>
  <w:endnote w:type="continuationSeparator" w:id="0">
    <w:p w14:paraId="58DB4BE9" w14:textId="77777777" w:rsidR="005269CC" w:rsidRPr="00901A2A" w:rsidRDefault="005269CC">
      <w:r w:rsidRPr="00901A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2E289" w14:textId="77777777" w:rsidR="00064002" w:rsidRPr="00901A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FC444" w14:textId="77777777" w:rsidR="00064002" w:rsidRPr="00901A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763B0" w14:textId="77777777" w:rsidR="00064002" w:rsidRPr="00901A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87B02" w14:textId="77777777" w:rsidR="005269CC" w:rsidRPr="00901A2A" w:rsidRDefault="005269CC">
      <w:r w:rsidRPr="00901A2A">
        <w:separator/>
      </w:r>
    </w:p>
  </w:footnote>
  <w:footnote w:type="continuationSeparator" w:id="0">
    <w:p w14:paraId="7D69D9B0" w14:textId="77777777" w:rsidR="005269CC" w:rsidRPr="00901A2A" w:rsidRDefault="005269CC">
      <w:r w:rsidRPr="00901A2A">
        <w:continuationSeparator/>
      </w:r>
    </w:p>
  </w:footnote>
  <w:footnote w:id="1">
    <w:p w14:paraId="6AE07081" w14:textId="2B0C33CA" w:rsidR="00C24478" w:rsidRPr="00901A2A" w:rsidRDefault="00C24478" w:rsidP="00901A2A">
      <w:pPr>
        <w:pStyle w:val="FootnoteText"/>
        <w:ind w:left="567" w:hanging="567"/>
        <w:rPr>
          <w:sz w:val="24"/>
          <w:lang w:val="cs-CZ"/>
        </w:rPr>
      </w:pPr>
      <w:r w:rsidRPr="00901A2A">
        <w:rPr>
          <w:rStyle w:val="FootnoteReference"/>
          <w:sz w:val="24"/>
          <w:lang w:val="cs-CZ"/>
        </w:rPr>
        <w:footnoteRef/>
      </w:r>
      <w:r w:rsidR="00901A2A" w:rsidRPr="00901A2A">
        <w:rPr>
          <w:sz w:val="24"/>
          <w:lang w:val="cs-CZ"/>
        </w:rPr>
        <w:t xml:space="preserve"> </w:t>
      </w:r>
      <w:r w:rsidR="00901A2A" w:rsidRPr="00901A2A">
        <w:rPr>
          <w:sz w:val="24"/>
          <w:lang w:val="cs-CZ"/>
        </w:rPr>
        <w:tab/>
      </w:r>
      <w:proofErr w:type="spellStart"/>
      <w:r w:rsidRPr="00901A2A">
        <w:rPr>
          <w:sz w:val="24"/>
          <w:lang w:val="cs-CZ"/>
        </w:rPr>
        <w:t>Úř</w:t>
      </w:r>
      <w:proofErr w:type="spellEnd"/>
      <w:r w:rsidRPr="00901A2A">
        <w:rPr>
          <w:sz w:val="24"/>
          <w:lang w:val="cs-CZ"/>
        </w:rPr>
        <w:t xml:space="preserve">. </w:t>
      </w:r>
      <w:proofErr w:type="spellStart"/>
      <w:r w:rsidRPr="00901A2A">
        <w:rPr>
          <w:sz w:val="24"/>
          <w:lang w:val="cs-CZ"/>
        </w:rPr>
        <w:t>věst</w:t>
      </w:r>
      <w:proofErr w:type="spellEnd"/>
      <w:r w:rsidRPr="00901A2A">
        <w:rPr>
          <w:sz w:val="24"/>
          <w:lang w:val="cs-CZ"/>
        </w:rPr>
        <w:t>. C 228, 29.6.2023, s. 148.</w:t>
      </w:r>
    </w:p>
  </w:footnote>
  <w:footnote w:id="2">
    <w:p w14:paraId="3F48E885" w14:textId="1E0B5C87" w:rsidR="00C24478" w:rsidRPr="00901A2A" w:rsidRDefault="00C24478" w:rsidP="00901A2A">
      <w:pPr>
        <w:pStyle w:val="FootnoteText"/>
        <w:ind w:left="567" w:hanging="567"/>
        <w:rPr>
          <w:sz w:val="24"/>
          <w:lang w:val="cs-CZ"/>
        </w:rPr>
      </w:pPr>
      <w:r w:rsidRPr="00901A2A">
        <w:rPr>
          <w:rStyle w:val="FootnoteReference"/>
          <w:sz w:val="24"/>
          <w:lang w:val="cs-CZ"/>
        </w:rPr>
        <w:footnoteRef/>
      </w:r>
      <w:r w:rsidR="00901A2A" w:rsidRPr="00901A2A">
        <w:rPr>
          <w:sz w:val="24"/>
          <w:lang w:val="cs-CZ"/>
        </w:rPr>
        <w:t xml:space="preserve"> </w:t>
      </w:r>
      <w:r w:rsidR="00901A2A" w:rsidRPr="00901A2A">
        <w:rPr>
          <w:sz w:val="24"/>
          <w:lang w:val="cs-CZ"/>
        </w:rPr>
        <w:tab/>
      </w:r>
      <w:proofErr w:type="spellStart"/>
      <w:r w:rsidRPr="00901A2A">
        <w:rPr>
          <w:sz w:val="24"/>
          <w:lang w:val="cs-CZ"/>
        </w:rPr>
        <w:t>Úř</w:t>
      </w:r>
      <w:proofErr w:type="spellEnd"/>
      <w:r w:rsidRPr="00901A2A">
        <w:rPr>
          <w:sz w:val="24"/>
          <w:lang w:val="cs-CZ"/>
        </w:rPr>
        <w:t xml:space="preserve">. </w:t>
      </w:r>
      <w:proofErr w:type="spellStart"/>
      <w:r w:rsidRPr="00901A2A">
        <w:rPr>
          <w:sz w:val="24"/>
          <w:lang w:val="cs-CZ"/>
        </w:rPr>
        <w:t>věst</w:t>
      </w:r>
      <w:proofErr w:type="spellEnd"/>
      <w:r w:rsidRPr="00901A2A">
        <w:rPr>
          <w:sz w:val="24"/>
          <w:lang w:val="cs-CZ"/>
        </w:rPr>
        <w:t xml:space="preserve">. C, C/2025/3787, 17.9.2025, ELI: </w:t>
      </w:r>
      <w:r w:rsidR="00EC6E0F">
        <w:fldChar w:fldCharType="begin"/>
      </w:r>
      <w:r w:rsidR="00EC6E0F" w:rsidRPr="00EC6E0F">
        <w:rPr>
          <w:lang w:val="fi-FI"/>
        </w:rPr>
        <w:instrText>HYPERLINK "http://data.europa.eu/eli/C/2025/3787/oj"</w:instrText>
      </w:r>
      <w:r w:rsidR="00EC6E0F">
        <w:fldChar w:fldCharType="separate"/>
      </w:r>
      <w:r w:rsidRPr="00630619">
        <w:rPr>
          <w:rStyle w:val="Hyperlink"/>
          <w:sz w:val="24"/>
          <w:lang w:val="cs-CZ"/>
        </w:rPr>
        <w:t>http://data.europa.eu/eli/C/2025/3787/oj</w:t>
      </w:r>
      <w:r w:rsidR="00EC6E0F">
        <w:rPr>
          <w:rStyle w:val="Hyperlink"/>
          <w:sz w:val="24"/>
          <w:lang w:val="cs-CZ"/>
        </w:rPr>
        <w:fldChar w:fldCharType="end"/>
      </w:r>
      <w:r w:rsidRPr="00901A2A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7F4FB" w14:textId="77777777" w:rsidR="00064002" w:rsidRPr="00901A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FBCC4" w14:textId="77777777" w:rsidR="00064002" w:rsidRPr="00901A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5EEE6" w14:textId="77777777" w:rsidR="00064002" w:rsidRPr="00901A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1564902">
    <w:abstractNumId w:val="9"/>
  </w:num>
  <w:num w:numId="2" w16cid:durableId="947395527">
    <w:abstractNumId w:val="9"/>
  </w:num>
  <w:num w:numId="3" w16cid:durableId="427429719">
    <w:abstractNumId w:val="7"/>
  </w:num>
  <w:num w:numId="4" w16cid:durableId="1246264932">
    <w:abstractNumId w:val="7"/>
  </w:num>
  <w:num w:numId="5" w16cid:durableId="1109009783">
    <w:abstractNumId w:val="6"/>
  </w:num>
  <w:num w:numId="6" w16cid:durableId="1096681435">
    <w:abstractNumId w:val="6"/>
  </w:num>
  <w:num w:numId="7" w16cid:durableId="256406666">
    <w:abstractNumId w:val="5"/>
  </w:num>
  <w:num w:numId="8" w16cid:durableId="675495669">
    <w:abstractNumId w:val="5"/>
  </w:num>
  <w:num w:numId="9" w16cid:durableId="2000234151">
    <w:abstractNumId w:val="4"/>
  </w:num>
  <w:num w:numId="10" w16cid:durableId="740638621">
    <w:abstractNumId w:val="4"/>
  </w:num>
  <w:num w:numId="11" w16cid:durableId="1119445683">
    <w:abstractNumId w:val="8"/>
  </w:num>
  <w:num w:numId="12" w16cid:durableId="920988892">
    <w:abstractNumId w:val="8"/>
  </w:num>
  <w:num w:numId="13" w16cid:durableId="721100064">
    <w:abstractNumId w:val="3"/>
  </w:num>
  <w:num w:numId="14" w16cid:durableId="585958636">
    <w:abstractNumId w:val="3"/>
  </w:num>
  <w:num w:numId="15" w16cid:durableId="212889570">
    <w:abstractNumId w:val="2"/>
  </w:num>
  <w:num w:numId="16" w16cid:durableId="1030883627">
    <w:abstractNumId w:val="2"/>
  </w:num>
  <w:num w:numId="17" w16cid:durableId="23604917">
    <w:abstractNumId w:val="1"/>
  </w:num>
  <w:num w:numId="18" w16cid:durableId="153030128">
    <w:abstractNumId w:val="1"/>
  </w:num>
  <w:num w:numId="19" w16cid:durableId="1646927790">
    <w:abstractNumId w:val="0"/>
  </w:num>
  <w:num w:numId="20" w16cid:durableId="1302467781">
    <w:abstractNumId w:val="0"/>
  </w:num>
  <w:num w:numId="21" w16cid:durableId="242298819">
    <w:abstractNumId w:val="9"/>
  </w:num>
  <w:num w:numId="22" w16cid:durableId="2115784642">
    <w:abstractNumId w:val="7"/>
  </w:num>
  <w:num w:numId="23" w16cid:durableId="878127778">
    <w:abstractNumId w:val="6"/>
  </w:num>
  <w:num w:numId="24" w16cid:durableId="2059011644">
    <w:abstractNumId w:val="5"/>
  </w:num>
  <w:num w:numId="25" w16cid:durableId="810557247">
    <w:abstractNumId w:val="4"/>
  </w:num>
  <w:num w:numId="26" w16cid:durableId="957954878">
    <w:abstractNumId w:val="8"/>
  </w:num>
  <w:num w:numId="27" w16cid:durableId="1850294481">
    <w:abstractNumId w:val="3"/>
  </w:num>
  <w:num w:numId="28" w16cid:durableId="1676104005">
    <w:abstractNumId w:val="2"/>
  </w:num>
  <w:num w:numId="29" w16cid:durableId="1575700877">
    <w:abstractNumId w:val="1"/>
  </w:num>
  <w:num w:numId="30" w16cid:durableId="1629625568">
    <w:abstractNumId w:val="0"/>
  </w:num>
  <w:num w:numId="31" w16cid:durableId="1667391999">
    <w:abstractNumId w:val="9"/>
  </w:num>
  <w:num w:numId="32" w16cid:durableId="1088044355">
    <w:abstractNumId w:val="7"/>
  </w:num>
  <w:num w:numId="33" w16cid:durableId="1437023712">
    <w:abstractNumId w:val="6"/>
  </w:num>
  <w:num w:numId="34" w16cid:durableId="2108966212">
    <w:abstractNumId w:val="5"/>
  </w:num>
  <w:num w:numId="35" w16cid:durableId="445197770">
    <w:abstractNumId w:val="4"/>
  </w:num>
  <w:num w:numId="36" w16cid:durableId="927664623">
    <w:abstractNumId w:val="8"/>
  </w:num>
  <w:num w:numId="37" w16cid:durableId="1572040238">
    <w:abstractNumId w:val="3"/>
  </w:num>
  <w:num w:numId="38" w16cid:durableId="774255375">
    <w:abstractNumId w:val="2"/>
  </w:num>
  <w:num w:numId="39" w16cid:durableId="475149426">
    <w:abstractNumId w:val="1"/>
  </w:num>
  <w:num w:numId="40" w16cid:durableId="1042482241">
    <w:abstractNumId w:val="0"/>
  </w:num>
  <w:num w:numId="41" w16cid:durableId="67462561">
    <w:abstractNumId w:val="10"/>
  </w:num>
  <w:num w:numId="42" w16cid:durableId="2046756777">
    <w:abstractNumId w:val="10"/>
  </w:num>
  <w:num w:numId="43" w16cid:durableId="1080101421">
    <w:abstractNumId w:val="10"/>
  </w:num>
  <w:num w:numId="44" w16cid:durableId="115147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CS"/>
    <w:docVar w:name="dvnumam" w:val="0"/>
    <w:docVar w:name="dvpe" w:val="778.283"/>
    <w:docVar w:name="dvrapporteur" w:val="Zpravodajka: "/>
    <w:docVar w:name="dvstar" w:val="***II"/>
    <w:docVar w:name="dvtitre" w:val="Legislativní usnesení Evropského parlamentu ze dne.... 2025 k postoji Rady v prvním čtení k přijetí nařízení Evropského parlamentu a Rady o evropských statistikách obyvatelstva a bydlení, kterým se mění nařízení (ES) č. 862/2007 a zrušují nařízení (ES) č. 763/2008 a (EU) č. 1260/2013(09858/1/2025 – C10-0230/2025 – 2023/0008(COD))"/>
  </w:docVars>
  <w:rsids>
    <w:rsidRoot w:val="005269CC"/>
    <w:rsid w:val="00002272"/>
    <w:rsid w:val="00064002"/>
    <w:rsid w:val="000677B9"/>
    <w:rsid w:val="000831BA"/>
    <w:rsid w:val="000A42CC"/>
    <w:rsid w:val="000C7BA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9CC"/>
    <w:rsid w:val="00545827"/>
    <w:rsid w:val="00560270"/>
    <w:rsid w:val="005C2568"/>
    <w:rsid w:val="005F1B17"/>
    <w:rsid w:val="006037C0"/>
    <w:rsid w:val="0063061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EC4"/>
    <w:rsid w:val="00865F67"/>
    <w:rsid w:val="00881A7B"/>
    <w:rsid w:val="008840E5"/>
    <w:rsid w:val="00887B3E"/>
    <w:rsid w:val="008C2AC6"/>
    <w:rsid w:val="00901A2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47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E0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4322A"/>
  <w15:chartTrackingRefBased/>
  <w15:docId w15:val="{2F06FB87-FAA8-4A03-A5C1-8176F7C4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4478"/>
    <w:pPr>
      <w:spacing w:before="480" w:after="240"/>
    </w:pPr>
  </w:style>
  <w:style w:type="paragraph" w:customStyle="1" w:styleId="NormalBold">
    <w:name w:val="NormalBold"/>
    <w:basedOn w:val="Normal"/>
    <w:rsid w:val="00C24478"/>
    <w:rPr>
      <w:b/>
    </w:rPr>
  </w:style>
  <w:style w:type="paragraph" w:customStyle="1" w:styleId="NormalHanging12a">
    <w:name w:val="NormalHanging12a"/>
    <w:basedOn w:val="Normal"/>
    <w:rsid w:val="00C24478"/>
    <w:pPr>
      <w:spacing w:after="240"/>
      <w:ind w:left="567" w:hanging="567"/>
    </w:pPr>
  </w:style>
  <w:style w:type="character" w:styleId="Hyperlink">
    <w:name w:val="Hyperlink"/>
    <w:basedOn w:val="DefaultParagraphFont"/>
    <w:rsid w:val="006306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2025-11-13T10:24:00Z</dcterms:created>
  <dcterms:modified xsi:type="dcterms:W3CDTF">2025-11-13T10:24:00Z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