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7C14" w14:paraId="46F426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71CC6F" w14:textId="77777777" w:rsidR="00751A4A" w:rsidRPr="006A7C14" w:rsidRDefault="00C24C39" w:rsidP="0010095E">
            <w:pPr>
              <w:pStyle w:val="EPName"/>
            </w:pPr>
            <w:r w:rsidRPr="006A7C14">
              <w:t>Euroopa Parlament</w:t>
            </w:r>
          </w:p>
          <w:p w14:paraId="06BCA6B4" w14:textId="77777777" w:rsidR="00751A4A" w:rsidRPr="006A7C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7C14">
              <w:t>2024</w:t>
            </w:r>
            <w:r w:rsidR="00817416" w:rsidRPr="006A7C14">
              <w:t>-202</w:t>
            </w:r>
            <w:r w:rsidRPr="006A7C14">
              <w:t>9</w:t>
            </w:r>
          </w:p>
        </w:tc>
        <w:tc>
          <w:tcPr>
            <w:tcW w:w="2268" w:type="dxa"/>
            <w:shd w:val="clear" w:color="auto" w:fill="auto"/>
          </w:tcPr>
          <w:p w14:paraId="0E53FBEB" w14:textId="77777777" w:rsidR="00751A4A" w:rsidRPr="006A7C14" w:rsidRDefault="00187494" w:rsidP="0010095E">
            <w:pPr>
              <w:pStyle w:val="EPLogo"/>
            </w:pPr>
            <w:r w:rsidRPr="006A7C14">
              <w:rPr>
                <w:noProof/>
                <w:lang w:eastAsia="ja-JP"/>
              </w:rPr>
              <w:drawing>
                <wp:inline distT="0" distB="0" distL="0" distR="0" wp14:anchorId="75675BA5" wp14:editId="1933AE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7635A6" w14:textId="77777777" w:rsidR="00D058B8" w:rsidRPr="006A7C14" w:rsidRDefault="00D058B8" w:rsidP="004C5D52">
      <w:pPr>
        <w:pStyle w:val="LineTop"/>
      </w:pPr>
    </w:p>
    <w:p w14:paraId="14F4F4C7" w14:textId="77777777" w:rsidR="00680577" w:rsidRPr="006A7C14" w:rsidRDefault="00C24C39" w:rsidP="00680577">
      <w:pPr>
        <w:pStyle w:val="EPBodyTA1"/>
      </w:pPr>
      <w:r w:rsidRPr="006A7C14">
        <w:t>VASTUVÕETUD TEKSTID</w:t>
      </w:r>
    </w:p>
    <w:p w14:paraId="145F371C" w14:textId="77777777" w:rsidR="00D058B8" w:rsidRPr="006A7C14" w:rsidRDefault="00D058B8" w:rsidP="00D058B8">
      <w:pPr>
        <w:pStyle w:val="LineBottom"/>
      </w:pPr>
    </w:p>
    <w:p w14:paraId="23D1E538" w14:textId="3F6B72C9" w:rsidR="00C24C39" w:rsidRPr="006A7C14" w:rsidRDefault="00C24C39" w:rsidP="00C24C39">
      <w:pPr>
        <w:pStyle w:val="ATHeading1"/>
      </w:pPr>
      <w:bookmarkStart w:id="0" w:name="TANumber"/>
      <w:r w:rsidRPr="006A7C14">
        <w:t>P10_TA(2025)0</w:t>
      </w:r>
      <w:bookmarkEnd w:id="0"/>
      <w:r w:rsidR="0052641F" w:rsidRPr="006A7C14">
        <w:t>261</w:t>
      </w:r>
    </w:p>
    <w:p w14:paraId="46536A16" w14:textId="77777777" w:rsidR="00C24C39" w:rsidRPr="006A7C14" w:rsidRDefault="00C24C39" w:rsidP="00C24C39">
      <w:pPr>
        <w:pStyle w:val="ATHeading2"/>
      </w:pPr>
      <w:bookmarkStart w:id="1" w:name="title"/>
      <w:r w:rsidRPr="006A7C14">
        <w:t>Rahvastiku- ja eluasemestatistika</w:t>
      </w:r>
      <w:bookmarkEnd w:id="1"/>
    </w:p>
    <w:p w14:paraId="0919B88B" w14:textId="77777777" w:rsidR="00C24C39" w:rsidRPr="006A7C14" w:rsidRDefault="00C24C39" w:rsidP="00C24C39">
      <w:pPr>
        <w:rPr>
          <w:i/>
          <w:vanish/>
        </w:rPr>
      </w:pPr>
      <w:r w:rsidRPr="006A7C14">
        <w:rPr>
          <w:i/>
        </w:rPr>
        <w:fldChar w:fldCharType="begin"/>
      </w:r>
      <w:r w:rsidRPr="006A7C14">
        <w:rPr>
          <w:i/>
        </w:rPr>
        <w:instrText xml:space="preserve"> TC"(</w:instrText>
      </w:r>
      <w:bookmarkStart w:id="2" w:name="DocNumber"/>
      <w:r w:rsidRPr="006A7C14">
        <w:rPr>
          <w:i/>
        </w:rPr>
        <w:instrText>A10-0207/2025</w:instrText>
      </w:r>
      <w:bookmarkEnd w:id="2"/>
      <w:r w:rsidRPr="006A7C14">
        <w:rPr>
          <w:i/>
        </w:rPr>
        <w:instrText xml:space="preserve"> - Raportöör: Irena Joveva)"\l3 \n&gt; \* MERGEFORMAT </w:instrText>
      </w:r>
      <w:r w:rsidRPr="006A7C14">
        <w:rPr>
          <w:i/>
        </w:rPr>
        <w:fldChar w:fldCharType="end"/>
      </w:r>
    </w:p>
    <w:p w14:paraId="3AC96B36" w14:textId="77777777" w:rsidR="00C24C39" w:rsidRPr="006A7C14" w:rsidRDefault="00C24C39" w:rsidP="00C24C39">
      <w:pPr>
        <w:rPr>
          <w:vanish/>
        </w:rPr>
      </w:pPr>
      <w:bookmarkStart w:id="3" w:name="Commission"/>
      <w:r w:rsidRPr="006A7C14">
        <w:rPr>
          <w:vanish/>
        </w:rPr>
        <w:t>Tööhõive- ja sotsiaalkomisjon</w:t>
      </w:r>
      <w:bookmarkEnd w:id="3"/>
    </w:p>
    <w:p w14:paraId="5C22D1BB" w14:textId="77777777" w:rsidR="00C24C39" w:rsidRPr="006A7C14" w:rsidRDefault="00C24C39" w:rsidP="00C24C39">
      <w:pPr>
        <w:rPr>
          <w:vanish/>
        </w:rPr>
      </w:pPr>
      <w:bookmarkStart w:id="4" w:name="PE"/>
      <w:r w:rsidRPr="006A7C14">
        <w:rPr>
          <w:vanish/>
        </w:rPr>
        <w:t>PE778.283</w:t>
      </w:r>
      <w:bookmarkEnd w:id="4"/>
    </w:p>
    <w:p w14:paraId="3ED4C7FA" w14:textId="42158867" w:rsidR="00C24C39" w:rsidRPr="006A7C14" w:rsidRDefault="00C24C39" w:rsidP="00C24C39">
      <w:pPr>
        <w:pStyle w:val="ATHeading3"/>
      </w:pPr>
      <w:bookmarkStart w:id="5" w:name="Sujet"/>
      <w:r w:rsidRPr="006A7C14">
        <w:t xml:space="preserve">Euroopa Parlamendi </w:t>
      </w:r>
      <w:r w:rsidR="000070EC" w:rsidRPr="006A7C14">
        <w:t>13</w:t>
      </w:r>
      <w:r w:rsidRPr="006A7C14">
        <w:t>.</w:t>
      </w:r>
      <w:r w:rsidR="000070EC" w:rsidRPr="006A7C14">
        <w:t> novembri</w:t>
      </w:r>
      <w:r w:rsidRPr="006A7C14">
        <w:t xml:space="preserve"> 2025.</w:t>
      </w:r>
      <w:r w:rsidR="000070EC" w:rsidRPr="006A7C14">
        <w:t> </w:t>
      </w:r>
      <w:r w:rsidRPr="006A7C14">
        <w:t>aasta seadusandlik resolutsioon nõukogu esimese lugemise seisukoha kohta eesmärgiga võtta vastu Euroopa Parlamendi ja nõukogu määrus, mis käsitleb Euroopa rahvastiku- ja eluasemestatistikat ning millega muudetakse määrust (EÜ) nr 862/2007 ja tunnistatakse kehtetuks määrused (EÜ) nr 763/2008 ja (EL) nr 1260/2013</w:t>
      </w:r>
      <w:bookmarkEnd w:id="5"/>
      <w:r w:rsidRPr="006A7C14">
        <w:t xml:space="preserve"> </w:t>
      </w:r>
      <w:bookmarkStart w:id="6" w:name="References"/>
      <w:r w:rsidRPr="006A7C14">
        <w:t>(09858/1/2025 –</w:t>
      </w:r>
      <w:r w:rsidR="000070EC" w:rsidRPr="006A7C14">
        <w:t xml:space="preserve"> </w:t>
      </w:r>
      <w:r w:rsidRPr="006A7C14">
        <w:t>C10-0230/2025 – 2023/0008(COD))</w:t>
      </w:r>
      <w:bookmarkEnd w:id="6"/>
    </w:p>
    <w:p w14:paraId="0408A1E2" w14:textId="77777777" w:rsidR="00C24C39" w:rsidRPr="006A7C14" w:rsidRDefault="00C24C39" w:rsidP="00C24C39"/>
    <w:p w14:paraId="244B10B4" w14:textId="77777777" w:rsidR="00684CD8" w:rsidRPr="006A7C14" w:rsidRDefault="00684CD8" w:rsidP="00684CD8">
      <w:pPr>
        <w:pStyle w:val="NormalBold"/>
      </w:pPr>
      <w:bookmarkStart w:id="7" w:name="TextBodyBegin"/>
      <w:bookmarkEnd w:id="7"/>
      <w:r w:rsidRPr="006A7C14">
        <w:t>(Seadusandlik tavamenetlus: teine lugemine)</w:t>
      </w:r>
    </w:p>
    <w:p w14:paraId="6ECC9271" w14:textId="77777777" w:rsidR="00684CD8" w:rsidRPr="006A7C14" w:rsidRDefault="00684CD8" w:rsidP="00684CD8">
      <w:pPr>
        <w:pStyle w:val="EPComma"/>
      </w:pPr>
      <w:r w:rsidRPr="006A7C14">
        <w:rPr>
          <w:i/>
        </w:rPr>
        <w:t>Euroopa Parlament</w:t>
      </w:r>
      <w:r w:rsidRPr="006A7C14">
        <w:t>,</w:t>
      </w:r>
    </w:p>
    <w:p w14:paraId="391AFD13" w14:textId="77777777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nõukogu esimese lugemise seisukohta (09858/1/2025 – C10</w:t>
      </w:r>
      <w:r w:rsidRPr="006A7C14">
        <w:noBreakHyphen/>
        <w:t>0230/2025),</w:t>
      </w:r>
    </w:p>
    <w:p w14:paraId="5B6B9DD7" w14:textId="03A40555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Euroopa Majandus- ja Sotsiaalkomitee 27.</w:t>
      </w:r>
      <w:r w:rsidR="000070EC" w:rsidRPr="006A7C14">
        <w:t> </w:t>
      </w:r>
      <w:r w:rsidRPr="006A7C14">
        <w:t>aprilli 2023. aasta arvamust</w:t>
      </w:r>
      <w:r w:rsidRPr="006A7C14">
        <w:rPr>
          <w:rStyle w:val="FootnoteReference"/>
        </w:rPr>
        <w:footnoteReference w:id="1"/>
      </w:r>
      <w:r w:rsidRPr="006A7C14">
        <w:t>,</w:t>
      </w:r>
    </w:p>
    <w:p w14:paraId="4A931613" w14:textId="77777777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pärast konsulteerimist Regioonide Komiteega,</w:t>
      </w:r>
    </w:p>
    <w:p w14:paraId="07C2AFFF" w14:textId="77777777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oma esimese lugemise seisukohta</w:t>
      </w:r>
      <w:r w:rsidRPr="006A7C14">
        <w:rPr>
          <w:rStyle w:val="FootnoteReference"/>
        </w:rPr>
        <w:footnoteReference w:id="2"/>
      </w:r>
      <w:r w:rsidRPr="006A7C14">
        <w:t xml:space="preserve"> Euroopa Parlamendile ja nõukogule esitatud komisjoni ettepaneku (COM(2023)0031) suhtes,</w:t>
      </w:r>
    </w:p>
    <w:p w14:paraId="52E67BFD" w14:textId="77777777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Euroopa Liidu toimimise lepingu artikli 294 lõiget 7,</w:t>
      </w:r>
    </w:p>
    <w:p w14:paraId="6F2F7525" w14:textId="3DE4C2E5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vastutava komisjoni poolt kodukorra artikli</w:t>
      </w:r>
      <w:r w:rsidR="000070EC" w:rsidRPr="006A7C14">
        <w:t> </w:t>
      </w:r>
      <w:r w:rsidRPr="006A7C14">
        <w:t>75 lõike</w:t>
      </w:r>
      <w:r w:rsidR="000070EC" w:rsidRPr="006A7C14">
        <w:t> </w:t>
      </w:r>
      <w:r w:rsidRPr="006A7C14">
        <w:t>4 kohaselt heaks kiidetud esialgset kokkulepet,</w:t>
      </w:r>
    </w:p>
    <w:p w14:paraId="0AADFD49" w14:textId="77777777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kodukorra artiklit 68,</w:t>
      </w:r>
    </w:p>
    <w:p w14:paraId="4FDAA246" w14:textId="34270410" w:rsidR="00684CD8" w:rsidRPr="006A7C14" w:rsidRDefault="00684CD8" w:rsidP="00684CD8">
      <w:pPr>
        <w:pStyle w:val="NormalHanging12a"/>
      </w:pPr>
      <w:r w:rsidRPr="006A7C14">
        <w:t>–</w:t>
      </w:r>
      <w:r w:rsidRPr="006A7C14">
        <w:tab/>
        <w:t>võttes arvesse tööhõive- ja sotsiaalkomisjoni soovitust teisele lugemisele (A10</w:t>
      </w:r>
      <w:r w:rsidR="000070EC" w:rsidRPr="006A7C14">
        <w:t>‑</w:t>
      </w:r>
      <w:r w:rsidRPr="006A7C14">
        <w:t>0207/2025),</w:t>
      </w:r>
    </w:p>
    <w:p w14:paraId="11903F95" w14:textId="77777777" w:rsidR="00684CD8" w:rsidRPr="006A7C14" w:rsidRDefault="00684CD8" w:rsidP="00684CD8">
      <w:pPr>
        <w:pStyle w:val="NormalHanging12a"/>
      </w:pPr>
      <w:r w:rsidRPr="006A7C14">
        <w:t>1.</w:t>
      </w:r>
      <w:r w:rsidRPr="006A7C14">
        <w:tab/>
        <w:t>kiidab nõukogu esimese lugemise seisukoha heaks;</w:t>
      </w:r>
    </w:p>
    <w:p w14:paraId="65E3FD09" w14:textId="77777777" w:rsidR="00684CD8" w:rsidRPr="006A7C14" w:rsidRDefault="00684CD8" w:rsidP="00684CD8">
      <w:pPr>
        <w:pStyle w:val="NormalHanging12a"/>
      </w:pPr>
      <w:r w:rsidRPr="006A7C14">
        <w:lastRenderedPageBreak/>
        <w:t>2.</w:t>
      </w:r>
      <w:r w:rsidRPr="006A7C14">
        <w:tab/>
        <w:t>märgib, et seadusandlik akt võetakse vastu kooskõlas nõukogu seisukohaga;</w:t>
      </w:r>
    </w:p>
    <w:p w14:paraId="766F2E2A" w14:textId="77777777" w:rsidR="00684CD8" w:rsidRPr="006A7C14" w:rsidRDefault="00684CD8" w:rsidP="00684CD8">
      <w:pPr>
        <w:pStyle w:val="NormalHanging12a"/>
      </w:pPr>
      <w:r w:rsidRPr="006A7C14">
        <w:t>3.</w:t>
      </w:r>
      <w:r w:rsidRPr="006A7C14">
        <w:tab/>
        <w:t>teeb presidendile ülesandeks kirjutada koos nõukogu eesistujaga seadusandlikule aktile alla vastavalt Euroopa Liidu toimimise lepingu artikli 297 lõikele 1;</w:t>
      </w:r>
    </w:p>
    <w:p w14:paraId="224AF0AE" w14:textId="77777777" w:rsidR="00684CD8" w:rsidRPr="006A7C14" w:rsidRDefault="00684CD8" w:rsidP="00684CD8">
      <w:pPr>
        <w:pStyle w:val="NormalHanging12a"/>
      </w:pPr>
      <w:r w:rsidRPr="006A7C14">
        <w:t>4.</w:t>
      </w:r>
      <w:r w:rsidRPr="006A7C14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6A7C14">
        <w:rPr>
          <w:i/>
        </w:rPr>
        <w:t>Euroopa Liidu Teatajas</w:t>
      </w:r>
      <w:r w:rsidRPr="006A7C14">
        <w:t>;</w:t>
      </w:r>
    </w:p>
    <w:p w14:paraId="0C6DDE7E" w14:textId="5D6F30E2" w:rsidR="00E365E1" w:rsidRPr="006A7C14" w:rsidRDefault="00684CD8" w:rsidP="000070EC">
      <w:pPr>
        <w:pStyle w:val="NormalHanging12a"/>
      </w:pPr>
      <w:r w:rsidRPr="006A7C14">
        <w:t>5.</w:t>
      </w:r>
      <w:r w:rsidRPr="006A7C14">
        <w:tab/>
        <w:t>teeb presidendile ülesandeks edastada Euroopa Parlamendi seisukoht nõukogule ja komisjonile ning liikmesriikide parlamentidele.</w:t>
      </w:r>
    </w:p>
    <w:sectPr w:rsidR="00E365E1" w:rsidRPr="006A7C14" w:rsidSect="00A95C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F69CD" w14:textId="77777777" w:rsidR="00C24C39" w:rsidRPr="00A95CBE" w:rsidRDefault="00C24C39">
      <w:r w:rsidRPr="00A95CBE">
        <w:separator/>
      </w:r>
    </w:p>
  </w:endnote>
  <w:endnote w:type="continuationSeparator" w:id="0">
    <w:p w14:paraId="3E50B698" w14:textId="77777777" w:rsidR="00C24C39" w:rsidRPr="00A95CBE" w:rsidRDefault="00C24C39">
      <w:r w:rsidRPr="00A95C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EDFA" w14:textId="77777777" w:rsidR="00064002" w:rsidRPr="00A95C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2F81B" w14:textId="77777777" w:rsidR="00064002" w:rsidRPr="00A95C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D7C6" w14:textId="77777777" w:rsidR="00064002" w:rsidRPr="00A95C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A1249" w14:textId="77777777" w:rsidR="00C24C39" w:rsidRPr="00A95CBE" w:rsidRDefault="00C24C39">
      <w:r w:rsidRPr="00A95CBE">
        <w:separator/>
      </w:r>
    </w:p>
  </w:footnote>
  <w:footnote w:type="continuationSeparator" w:id="0">
    <w:p w14:paraId="1ED356F7" w14:textId="77777777" w:rsidR="00C24C39" w:rsidRPr="00A95CBE" w:rsidRDefault="00C24C39">
      <w:r w:rsidRPr="00A95CBE">
        <w:continuationSeparator/>
      </w:r>
    </w:p>
  </w:footnote>
  <w:footnote w:id="1">
    <w:p w14:paraId="0A3D08E3" w14:textId="690EF1B6" w:rsidR="00684CD8" w:rsidRPr="00A95CBE" w:rsidRDefault="00684CD8" w:rsidP="00A95CBE">
      <w:pPr>
        <w:pStyle w:val="FootnoteText"/>
        <w:ind w:left="567" w:hanging="567"/>
        <w:rPr>
          <w:sz w:val="24"/>
          <w:lang w:val="et-EE"/>
        </w:rPr>
      </w:pPr>
      <w:r w:rsidRPr="00A95CBE">
        <w:rPr>
          <w:rStyle w:val="FootnoteReference"/>
          <w:sz w:val="24"/>
          <w:lang w:val="et-EE"/>
        </w:rPr>
        <w:footnoteRef/>
      </w:r>
      <w:r w:rsidR="00A95CBE" w:rsidRPr="00A95CBE">
        <w:rPr>
          <w:sz w:val="24"/>
          <w:lang w:val="et-EE"/>
        </w:rPr>
        <w:t xml:space="preserve"> </w:t>
      </w:r>
      <w:r w:rsidR="00A95CBE" w:rsidRPr="00A95CBE">
        <w:rPr>
          <w:sz w:val="24"/>
          <w:lang w:val="et-EE"/>
        </w:rPr>
        <w:tab/>
      </w:r>
      <w:r w:rsidRPr="00A95CBE">
        <w:rPr>
          <w:sz w:val="24"/>
          <w:lang w:val="et-EE"/>
        </w:rPr>
        <w:t>ELT</w:t>
      </w:r>
      <w:r w:rsidR="000070EC">
        <w:rPr>
          <w:sz w:val="24"/>
          <w:lang w:val="et-EE"/>
        </w:rPr>
        <w:t> </w:t>
      </w:r>
      <w:r w:rsidRPr="00A95CBE">
        <w:rPr>
          <w:sz w:val="24"/>
          <w:lang w:val="et-EE"/>
        </w:rPr>
        <w:t>C</w:t>
      </w:r>
      <w:r w:rsidR="000070EC">
        <w:rPr>
          <w:sz w:val="24"/>
          <w:lang w:val="et-EE"/>
        </w:rPr>
        <w:t> </w:t>
      </w:r>
      <w:r w:rsidRPr="00A95CBE">
        <w:rPr>
          <w:sz w:val="24"/>
          <w:lang w:val="et-EE"/>
        </w:rPr>
        <w:t>228, 29.6.2023, lk</w:t>
      </w:r>
      <w:r w:rsidR="000070EC">
        <w:rPr>
          <w:sz w:val="24"/>
          <w:lang w:val="et-EE"/>
        </w:rPr>
        <w:t> </w:t>
      </w:r>
      <w:r w:rsidRPr="00A95CBE">
        <w:rPr>
          <w:sz w:val="24"/>
          <w:lang w:val="et-EE"/>
        </w:rPr>
        <w:t>148.</w:t>
      </w:r>
    </w:p>
  </w:footnote>
  <w:footnote w:id="2">
    <w:p w14:paraId="628AAF60" w14:textId="41423F93" w:rsidR="00684CD8" w:rsidRPr="00A95CBE" w:rsidRDefault="00684CD8" w:rsidP="00A95CBE">
      <w:pPr>
        <w:pStyle w:val="FootnoteText"/>
        <w:ind w:left="567" w:hanging="567"/>
        <w:rPr>
          <w:sz w:val="24"/>
          <w:lang w:val="et-EE"/>
        </w:rPr>
      </w:pPr>
      <w:r w:rsidRPr="00A95CBE">
        <w:rPr>
          <w:rStyle w:val="FootnoteReference"/>
          <w:sz w:val="24"/>
          <w:lang w:val="et-EE"/>
        </w:rPr>
        <w:footnoteRef/>
      </w:r>
      <w:r w:rsidR="00A95CBE" w:rsidRPr="00A95CBE">
        <w:rPr>
          <w:sz w:val="24"/>
          <w:lang w:val="et-EE"/>
        </w:rPr>
        <w:t xml:space="preserve"> </w:t>
      </w:r>
      <w:r w:rsidR="00A95CBE" w:rsidRPr="00A95CBE">
        <w:rPr>
          <w:sz w:val="24"/>
          <w:lang w:val="et-EE"/>
        </w:rPr>
        <w:tab/>
      </w:r>
      <w:r w:rsidRPr="00A95CBE">
        <w:rPr>
          <w:sz w:val="24"/>
          <w:lang w:val="et-EE"/>
        </w:rPr>
        <w:t>ELT</w:t>
      </w:r>
      <w:r w:rsidR="000070EC">
        <w:rPr>
          <w:sz w:val="24"/>
          <w:lang w:val="et-EE"/>
        </w:rPr>
        <w:t> </w:t>
      </w:r>
      <w:r w:rsidRPr="00A95CBE">
        <w:rPr>
          <w:sz w:val="24"/>
          <w:lang w:val="et-EE"/>
        </w:rPr>
        <w:t>C, C/2025/3787, 17.9.2025, ELI:</w:t>
      </w:r>
      <w:r w:rsidR="000070EC">
        <w:rPr>
          <w:sz w:val="24"/>
          <w:lang w:val="et-EE"/>
        </w:rPr>
        <w:t> </w:t>
      </w:r>
      <w:hyperlink r:id="rId1" w:history="1">
        <w:r w:rsidRPr="000070EC">
          <w:rPr>
            <w:rStyle w:val="Hyperlink"/>
            <w:sz w:val="24"/>
            <w:lang w:val="et-EE"/>
          </w:rPr>
          <w:t>http://data.europa.eu/eli/C/2025/3787/oj</w:t>
        </w:r>
      </w:hyperlink>
      <w:r w:rsidRPr="00A95CBE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7AE2D" w14:textId="77777777" w:rsidR="00064002" w:rsidRPr="00A95C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1838" w14:textId="77777777" w:rsidR="00064002" w:rsidRPr="00A95C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CBB7" w14:textId="77777777" w:rsidR="00064002" w:rsidRPr="00A95C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0646792">
    <w:abstractNumId w:val="9"/>
  </w:num>
  <w:num w:numId="2" w16cid:durableId="1430657252">
    <w:abstractNumId w:val="9"/>
  </w:num>
  <w:num w:numId="3" w16cid:durableId="888107907">
    <w:abstractNumId w:val="7"/>
  </w:num>
  <w:num w:numId="4" w16cid:durableId="100880611">
    <w:abstractNumId w:val="7"/>
  </w:num>
  <w:num w:numId="5" w16cid:durableId="1046490605">
    <w:abstractNumId w:val="6"/>
  </w:num>
  <w:num w:numId="6" w16cid:durableId="405566554">
    <w:abstractNumId w:val="6"/>
  </w:num>
  <w:num w:numId="7" w16cid:durableId="629633291">
    <w:abstractNumId w:val="5"/>
  </w:num>
  <w:num w:numId="8" w16cid:durableId="1361008525">
    <w:abstractNumId w:val="5"/>
  </w:num>
  <w:num w:numId="9" w16cid:durableId="790829625">
    <w:abstractNumId w:val="4"/>
  </w:num>
  <w:num w:numId="10" w16cid:durableId="1096562768">
    <w:abstractNumId w:val="4"/>
  </w:num>
  <w:num w:numId="11" w16cid:durableId="664087896">
    <w:abstractNumId w:val="8"/>
  </w:num>
  <w:num w:numId="12" w16cid:durableId="561256249">
    <w:abstractNumId w:val="8"/>
  </w:num>
  <w:num w:numId="13" w16cid:durableId="584874270">
    <w:abstractNumId w:val="3"/>
  </w:num>
  <w:num w:numId="14" w16cid:durableId="79721455">
    <w:abstractNumId w:val="3"/>
  </w:num>
  <w:num w:numId="15" w16cid:durableId="633603395">
    <w:abstractNumId w:val="2"/>
  </w:num>
  <w:num w:numId="16" w16cid:durableId="1723869622">
    <w:abstractNumId w:val="2"/>
  </w:num>
  <w:num w:numId="17" w16cid:durableId="104888875">
    <w:abstractNumId w:val="1"/>
  </w:num>
  <w:num w:numId="18" w16cid:durableId="408499672">
    <w:abstractNumId w:val="1"/>
  </w:num>
  <w:num w:numId="19" w16cid:durableId="1652709627">
    <w:abstractNumId w:val="0"/>
  </w:num>
  <w:num w:numId="20" w16cid:durableId="688138211">
    <w:abstractNumId w:val="0"/>
  </w:num>
  <w:num w:numId="21" w16cid:durableId="80303316">
    <w:abstractNumId w:val="9"/>
  </w:num>
  <w:num w:numId="22" w16cid:durableId="965625048">
    <w:abstractNumId w:val="7"/>
  </w:num>
  <w:num w:numId="23" w16cid:durableId="1372073023">
    <w:abstractNumId w:val="6"/>
  </w:num>
  <w:num w:numId="24" w16cid:durableId="963848546">
    <w:abstractNumId w:val="5"/>
  </w:num>
  <w:num w:numId="25" w16cid:durableId="408505200">
    <w:abstractNumId w:val="4"/>
  </w:num>
  <w:num w:numId="26" w16cid:durableId="1394504234">
    <w:abstractNumId w:val="8"/>
  </w:num>
  <w:num w:numId="27" w16cid:durableId="1603566210">
    <w:abstractNumId w:val="3"/>
  </w:num>
  <w:num w:numId="28" w16cid:durableId="2101028230">
    <w:abstractNumId w:val="2"/>
  </w:num>
  <w:num w:numId="29" w16cid:durableId="124665468">
    <w:abstractNumId w:val="1"/>
  </w:num>
  <w:num w:numId="30" w16cid:durableId="412121691">
    <w:abstractNumId w:val="0"/>
  </w:num>
  <w:num w:numId="31" w16cid:durableId="706294767">
    <w:abstractNumId w:val="9"/>
  </w:num>
  <w:num w:numId="32" w16cid:durableId="1150252242">
    <w:abstractNumId w:val="7"/>
  </w:num>
  <w:num w:numId="33" w16cid:durableId="865757248">
    <w:abstractNumId w:val="6"/>
  </w:num>
  <w:num w:numId="34" w16cid:durableId="1122571433">
    <w:abstractNumId w:val="5"/>
  </w:num>
  <w:num w:numId="35" w16cid:durableId="1523586255">
    <w:abstractNumId w:val="4"/>
  </w:num>
  <w:num w:numId="36" w16cid:durableId="995498247">
    <w:abstractNumId w:val="8"/>
  </w:num>
  <w:num w:numId="37" w16cid:durableId="2099207732">
    <w:abstractNumId w:val="3"/>
  </w:num>
  <w:num w:numId="38" w16cid:durableId="286663020">
    <w:abstractNumId w:val="2"/>
  </w:num>
  <w:num w:numId="39" w16cid:durableId="540632376">
    <w:abstractNumId w:val="1"/>
  </w:num>
  <w:num w:numId="40" w16cid:durableId="2102751445">
    <w:abstractNumId w:val="0"/>
  </w:num>
  <w:num w:numId="41" w16cid:durableId="711079749">
    <w:abstractNumId w:val="10"/>
  </w:num>
  <w:num w:numId="42" w16cid:durableId="625165207">
    <w:abstractNumId w:val="10"/>
  </w:num>
  <w:num w:numId="43" w16cid:durableId="667833440">
    <w:abstractNumId w:val="10"/>
  </w:num>
  <w:num w:numId="44" w16cid:durableId="1108045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ET"/>
    <w:docVar w:name="dvnumam" w:val="0"/>
    <w:docVar w:name="dvpe" w:val="778.283"/>
    <w:docVar w:name="dvrapporteur" w:val="Raportöör: "/>
    <w:docVar w:name="dvstar" w:val="***II"/>
    <w:docVar w:name="dvtitre" w:val="Euroopa Parlamendi .... 2025. aasta seadusandlik resolutsioon nõukogu esimese lugemise seisukoha kohta eesmärgiga võtta vastu Euroopa Parlamendi ja nõukogu määrus, mis käsitleb Euroopa rahvastiku- ja eluasemestatistikat ning millega muudetakse määrust (EÜ) nr 862/2007 ja tunnistatakse kehtetuks määrused (EÜ) nr 763/2008 ja (EL) nr 1260/2013(09858/1/2025 –C10-0230/2025 – 2023/0008(COD))"/>
  </w:docVars>
  <w:rsids>
    <w:rsidRoot w:val="00C24C39"/>
    <w:rsid w:val="00002272"/>
    <w:rsid w:val="000070EC"/>
    <w:rsid w:val="0002775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41F"/>
    <w:rsid w:val="00545827"/>
    <w:rsid w:val="00560270"/>
    <w:rsid w:val="005C2568"/>
    <w:rsid w:val="005F1B17"/>
    <w:rsid w:val="006037C0"/>
    <w:rsid w:val="006631B6"/>
    <w:rsid w:val="00680577"/>
    <w:rsid w:val="00684CD8"/>
    <w:rsid w:val="006A7C1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CB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C3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C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0EC5F"/>
  <w15:chartTrackingRefBased/>
  <w15:docId w15:val="{6D865610-7812-4DF6-B831-4F2B88AC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84CD8"/>
    <w:pPr>
      <w:spacing w:before="480" w:after="240"/>
    </w:pPr>
  </w:style>
  <w:style w:type="paragraph" w:customStyle="1" w:styleId="NormalBold">
    <w:name w:val="NormalBold"/>
    <w:basedOn w:val="Normal"/>
    <w:rsid w:val="00684CD8"/>
    <w:rPr>
      <w:b/>
    </w:rPr>
  </w:style>
  <w:style w:type="paragraph" w:customStyle="1" w:styleId="NormalHanging12a">
    <w:name w:val="NormalHanging12a"/>
    <w:basedOn w:val="Normal"/>
    <w:rsid w:val="00684CD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070EC"/>
    <w:rPr>
      <w:sz w:val="24"/>
      <w:lang w:val="et-EE"/>
    </w:rPr>
  </w:style>
  <w:style w:type="character" w:styleId="Hyperlink">
    <w:name w:val="Hyperlink"/>
    <w:basedOn w:val="DefaultParagraphFont"/>
    <w:rsid w:val="000070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2025-11-13T12:43:00Z</dcterms:created>
  <dcterms:modified xsi:type="dcterms:W3CDTF">2025-11-13T12:43:00Z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