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25AE" w14:paraId="6EAF72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5E468F" w14:textId="77777777" w:rsidR="00751A4A" w:rsidRPr="008525AE" w:rsidRDefault="000D4D91" w:rsidP="0010095E">
            <w:pPr>
              <w:pStyle w:val="EPName"/>
            </w:pPr>
            <w:r w:rsidRPr="008525AE">
              <w:t>Európai Parlament</w:t>
            </w:r>
          </w:p>
          <w:p w14:paraId="5FC5D807" w14:textId="77777777" w:rsidR="00751A4A" w:rsidRPr="008525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25AE">
              <w:t>2024</w:t>
            </w:r>
            <w:r w:rsidR="00817416" w:rsidRPr="008525AE">
              <w:t>-202</w:t>
            </w:r>
            <w:r w:rsidRPr="008525AE">
              <w:t>9</w:t>
            </w:r>
          </w:p>
        </w:tc>
        <w:tc>
          <w:tcPr>
            <w:tcW w:w="2268" w:type="dxa"/>
            <w:shd w:val="clear" w:color="auto" w:fill="auto"/>
          </w:tcPr>
          <w:p w14:paraId="43FD7CF4" w14:textId="77777777" w:rsidR="00751A4A" w:rsidRPr="008525AE" w:rsidRDefault="00187494" w:rsidP="0010095E">
            <w:pPr>
              <w:pStyle w:val="EPLogo"/>
            </w:pPr>
            <w:r w:rsidRPr="008525AE">
              <w:rPr>
                <w:noProof/>
                <w:lang w:eastAsia="ja-JP"/>
              </w:rPr>
              <w:drawing>
                <wp:inline distT="0" distB="0" distL="0" distR="0" wp14:anchorId="119BEC65" wp14:editId="25C89B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C8C535" w14:textId="77777777" w:rsidR="00D058B8" w:rsidRPr="008525AE" w:rsidRDefault="00D058B8" w:rsidP="004C5D52">
      <w:pPr>
        <w:pStyle w:val="LineTop"/>
      </w:pPr>
    </w:p>
    <w:p w14:paraId="40427651" w14:textId="77777777" w:rsidR="00680577" w:rsidRPr="008525AE" w:rsidRDefault="000D4D91" w:rsidP="00680577">
      <w:pPr>
        <w:pStyle w:val="EPBodyTA1"/>
      </w:pPr>
      <w:r w:rsidRPr="008525AE">
        <w:t>ELFOGADOTT SZÖVEGEK</w:t>
      </w:r>
    </w:p>
    <w:p w14:paraId="50C1E920" w14:textId="77777777" w:rsidR="00D058B8" w:rsidRPr="008525AE" w:rsidRDefault="00D058B8" w:rsidP="00D058B8">
      <w:pPr>
        <w:pStyle w:val="LineBottom"/>
      </w:pPr>
    </w:p>
    <w:p w14:paraId="3A195973" w14:textId="16AE547A" w:rsidR="000D4D91" w:rsidRPr="008525AE" w:rsidRDefault="000D4D91" w:rsidP="000D4D91">
      <w:pPr>
        <w:pStyle w:val="ATHeading1"/>
      </w:pPr>
      <w:bookmarkStart w:id="0" w:name="TANumber"/>
      <w:r w:rsidRPr="008525AE">
        <w:t>P10_</w:t>
      </w:r>
      <w:proofErr w:type="gramStart"/>
      <w:r w:rsidRPr="008525AE">
        <w:t>TA(</w:t>
      </w:r>
      <w:proofErr w:type="gramEnd"/>
      <w:r w:rsidRPr="008525AE">
        <w:t>2025)0</w:t>
      </w:r>
      <w:r w:rsidR="00783BDC">
        <w:t>261</w:t>
      </w:r>
      <w:bookmarkEnd w:id="0"/>
    </w:p>
    <w:p w14:paraId="79896F09" w14:textId="77777777" w:rsidR="000D4D91" w:rsidRPr="008525AE" w:rsidRDefault="000D4D91" w:rsidP="000D4D91">
      <w:pPr>
        <w:pStyle w:val="ATHeading2"/>
      </w:pPr>
      <w:bookmarkStart w:id="1" w:name="title"/>
      <w:r w:rsidRPr="008525AE">
        <w:t>Népesség- és lakásstatisztikák</w:t>
      </w:r>
      <w:bookmarkEnd w:id="1"/>
    </w:p>
    <w:p w14:paraId="28759971" w14:textId="77777777" w:rsidR="000D4D91" w:rsidRPr="008525AE" w:rsidRDefault="000D4D91" w:rsidP="000D4D91">
      <w:pPr>
        <w:rPr>
          <w:i/>
          <w:vanish/>
        </w:rPr>
      </w:pPr>
      <w:r w:rsidRPr="008525AE">
        <w:rPr>
          <w:i/>
        </w:rPr>
        <w:fldChar w:fldCharType="begin"/>
      </w:r>
      <w:r w:rsidRPr="008525AE">
        <w:rPr>
          <w:i/>
        </w:rPr>
        <w:instrText xml:space="preserve"> TC"(</w:instrText>
      </w:r>
      <w:bookmarkStart w:id="2" w:name="DocNumber"/>
      <w:r w:rsidRPr="008525AE">
        <w:rPr>
          <w:i/>
        </w:rPr>
        <w:instrText>A10-0207/2025</w:instrText>
      </w:r>
      <w:bookmarkEnd w:id="2"/>
      <w:r w:rsidRPr="008525AE">
        <w:rPr>
          <w:i/>
        </w:rPr>
        <w:instrText xml:space="preserve"> - Előadó: </w:instrText>
      </w:r>
      <w:proofErr w:type="spellStart"/>
      <w:r w:rsidRPr="008525AE">
        <w:rPr>
          <w:i/>
        </w:rPr>
        <w:instrText>Irena</w:instrText>
      </w:r>
      <w:proofErr w:type="spellEnd"/>
      <w:r w:rsidRPr="008525AE">
        <w:rPr>
          <w:i/>
        </w:rPr>
        <w:instrText xml:space="preserve"> </w:instrText>
      </w:r>
      <w:proofErr w:type="spellStart"/>
      <w:r w:rsidRPr="008525AE">
        <w:rPr>
          <w:i/>
        </w:rPr>
        <w:instrText>Joveva</w:instrText>
      </w:r>
      <w:proofErr w:type="spellEnd"/>
      <w:r w:rsidRPr="008525AE">
        <w:rPr>
          <w:i/>
        </w:rPr>
        <w:instrText xml:space="preserve">)"\l3 \n&gt; \* MERGEFORMAT </w:instrText>
      </w:r>
      <w:r w:rsidRPr="008525AE">
        <w:rPr>
          <w:i/>
        </w:rPr>
        <w:fldChar w:fldCharType="end"/>
      </w:r>
    </w:p>
    <w:p w14:paraId="428C508E" w14:textId="77777777" w:rsidR="000D4D91" w:rsidRPr="008525AE" w:rsidRDefault="000D4D91" w:rsidP="000D4D91">
      <w:pPr>
        <w:rPr>
          <w:vanish/>
        </w:rPr>
      </w:pPr>
      <w:bookmarkStart w:id="3" w:name="Commission"/>
      <w:r w:rsidRPr="008525AE">
        <w:rPr>
          <w:vanish/>
        </w:rPr>
        <w:t>Foglalkoztatási és Szociális Bizottság</w:t>
      </w:r>
      <w:bookmarkEnd w:id="3"/>
    </w:p>
    <w:p w14:paraId="1BFB1C86" w14:textId="77777777" w:rsidR="000D4D91" w:rsidRPr="008525AE" w:rsidRDefault="000D4D91" w:rsidP="000D4D91">
      <w:pPr>
        <w:rPr>
          <w:vanish/>
        </w:rPr>
      </w:pPr>
      <w:bookmarkStart w:id="4" w:name="PE"/>
      <w:r w:rsidRPr="008525AE">
        <w:rPr>
          <w:vanish/>
        </w:rPr>
        <w:t>PE778.283</w:t>
      </w:r>
      <w:bookmarkEnd w:id="4"/>
    </w:p>
    <w:p w14:paraId="0B81F85B" w14:textId="75CFB3A5" w:rsidR="000D4D91" w:rsidRPr="008525AE" w:rsidRDefault="000D4D91" w:rsidP="000D4D91">
      <w:pPr>
        <w:pStyle w:val="ATHeading3"/>
      </w:pPr>
      <w:bookmarkStart w:id="5" w:name="Sujet"/>
      <w:r w:rsidRPr="008525AE">
        <w:t xml:space="preserve">Az Európai Parlament 2025. </w:t>
      </w:r>
      <w:r w:rsidR="00DC689A" w:rsidRPr="008525AE">
        <w:t>november 13</w:t>
      </w:r>
      <w:r w:rsidRPr="008525AE">
        <w:t>-i jogalkotási állásfoglalása az európai népesség- és lakásstatisztikákról, a 862/2007/EK rendelet módosításáról, valamint a 763/2008/EK és az 1260/2013/EU rendelet hatályon kívül helyezéséről szóló európai parlamenti és tanácsi rendelet elfogadása céljából első olvasatban kialakított tanácsi álláspontról</w:t>
      </w:r>
      <w:bookmarkEnd w:id="5"/>
      <w:r w:rsidRPr="008525AE">
        <w:t xml:space="preserve"> </w:t>
      </w:r>
      <w:bookmarkStart w:id="6" w:name="References"/>
      <w:r w:rsidRPr="008525AE">
        <w:t>(09858/1/2025 –</w:t>
      </w:r>
      <w:r w:rsidR="00DC689A" w:rsidRPr="008525AE">
        <w:t xml:space="preserve"> </w:t>
      </w:r>
      <w:r w:rsidRPr="008525AE">
        <w:t>C10-0230/2025 – 2023/0008(COD))</w:t>
      </w:r>
      <w:bookmarkEnd w:id="6"/>
    </w:p>
    <w:p w14:paraId="1004B181" w14:textId="77777777" w:rsidR="003C7A87" w:rsidRPr="008525AE" w:rsidRDefault="003C7A87" w:rsidP="003C7A87">
      <w:pPr>
        <w:pStyle w:val="NormalBold"/>
      </w:pPr>
      <w:r w:rsidRPr="008525AE">
        <w:t>(Rendes jogalkotási eljárás: második olvasat)</w:t>
      </w:r>
    </w:p>
    <w:p w14:paraId="1F1A6A65" w14:textId="77777777" w:rsidR="003C7A87" w:rsidRPr="008525AE" w:rsidRDefault="003C7A87" w:rsidP="003C7A87">
      <w:pPr>
        <w:pStyle w:val="EPComma"/>
      </w:pPr>
      <w:r w:rsidRPr="008525AE">
        <w:rPr>
          <w:i/>
        </w:rPr>
        <w:t>Az Európai Parlament,</w:t>
      </w:r>
    </w:p>
    <w:p w14:paraId="537077F0" w14:textId="77777777" w:rsidR="003C7A87" w:rsidRPr="008525AE" w:rsidRDefault="003C7A87" w:rsidP="00DC689A">
      <w:pPr>
        <w:pStyle w:val="NormalHanging12a"/>
        <w:widowControl/>
      </w:pPr>
      <w:r w:rsidRPr="008525AE">
        <w:t>–</w:t>
      </w:r>
      <w:r w:rsidRPr="008525AE">
        <w:tab/>
        <w:t xml:space="preserve">tekintettel a Tanács első </w:t>
      </w:r>
      <w:proofErr w:type="spellStart"/>
      <w:r w:rsidRPr="008525AE">
        <w:t>olvasatbeli</w:t>
      </w:r>
      <w:proofErr w:type="spellEnd"/>
      <w:r w:rsidRPr="008525AE">
        <w:t xml:space="preserve"> álláspontjára (09858/1/2025 – C10</w:t>
      </w:r>
      <w:r w:rsidRPr="008525AE">
        <w:noBreakHyphen/>
        <w:t>0230/2025),</w:t>
      </w:r>
    </w:p>
    <w:p w14:paraId="1CB60476" w14:textId="77777777" w:rsidR="003C7A87" w:rsidRPr="008525AE" w:rsidRDefault="003C7A87" w:rsidP="00DC689A">
      <w:pPr>
        <w:pStyle w:val="NormalHanging12a"/>
        <w:widowControl/>
      </w:pPr>
      <w:r w:rsidRPr="008525AE">
        <w:t>–</w:t>
      </w:r>
      <w:r w:rsidRPr="008525AE">
        <w:tab/>
        <w:t>tekintettel az Európai Gazdasági és Szociális Bizottság 2023. április 27-i véleményére</w:t>
      </w:r>
      <w:r w:rsidRPr="008525AE">
        <w:rPr>
          <w:rStyle w:val="FootnoteReference"/>
        </w:rPr>
        <w:footnoteReference w:id="1"/>
      </w:r>
      <w:r w:rsidRPr="008525AE">
        <w:t>,</w:t>
      </w:r>
    </w:p>
    <w:p w14:paraId="0DD5E748" w14:textId="77777777" w:rsidR="003C7A87" w:rsidRPr="008525AE" w:rsidRDefault="003C7A87" w:rsidP="00DC689A">
      <w:pPr>
        <w:pStyle w:val="NormalHanging12a"/>
        <w:widowControl/>
      </w:pPr>
      <w:r w:rsidRPr="008525AE">
        <w:t>–</w:t>
      </w:r>
      <w:r w:rsidRPr="008525AE">
        <w:tab/>
        <w:t>a Régiók Bizottságával folytatott konzultációt követően,</w:t>
      </w:r>
    </w:p>
    <w:p w14:paraId="62166269" w14:textId="77777777" w:rsidR="003C7A87" w:rsidRPr="008525AE" w:rsidRDefault="003C7A87" w:rsidP="00DC689A">
      <w:pPr>
        <w:pStyle w:val="NormalHanging12a"/>
        <w:widowControl/>
      </w:pPr>
      <w:r w:rsidRPr="008525AE">
        <w:t>–</w:t>
      </w:r>
      <w:r w:rsidRPr="008525AE">
        <w:tab/>
        <w:t>tekintettel a Bizottság Parlamenthez és Tanácshoz intézett javaslatával (</w:t>
      </w:r>
      <w:proofErr w:type="gramStart"/>
      <w:r w:rsidRPr="008525AE">
        <w:t>COM(</w:t>
      </w:r>
      <w:proofErr w:type="gramEnd"/>
      <w:r w:rsidRPr="008525AE">
        <w:t>2023)0031) kapcsolatban az első olvasat során kialakított álláspontjára</w:t>
      </w:r>
      <w:r w:rsidRPr="008525AE">
        <w:rPr>
          <w:rStyle w:val="FootnoteReference"/>
        </w:rPr>
        <w:footnoteReference w:id="2"/>
      </w:r>
      <w:r w:rsidRPr="008525AE">
        <w:t>,</w:t>
      </w:r>
    </w:p>
    <w:p w14:paraId="0FCA4B43" w14:textId="77777777" w:rsidR="003C7A87" w:rsidRPr="008525AE" w:rsidRDefault="003C7A87" w:rsidP="00DC689A">
      <w:pPr>
        <w:pStyle w:val="NormalHanging12a"/>
        <w:widowControl/>
      </w:pPr>
      <w:r w:rsidRPr="008525AE">
        <w:t>–</w:t>
      </w:r>
      <w:r w:rsidRPr="008525AE">
        <w:tab/>
        <w:t>tekintettel az Európai Unió működéséről szóló szerződés 294. cikkének (7) bekezdésére,</w:t>
      </w:r>
    </w:p>
    <w:p w14:paraId="5EB5F924" w14:textId="77777777" w:rsidR="003C7A87" w:rsidRPr="008525AE" w:rsidRDefault="003C7A87" w:rsidP="00DC689A">
      <w:pPr>
        <w:pStyle w:val="NormalHanging12a"/>
        <w:widowControl/>
      </w:pPr>
      <w:r w:rsidRPr="008525AE">
        <w:t>–</w:t>
      </w:r>
      <w:r w:rsidRPr="008525AE">
        <w:tab/>
        <w:t>tekintettel az illetékes bizottság által az eljárási szabályzat 75. cikkének (4) bekezdése alapján jóváhagyott ideiglenes megállapodásra,</w:t>
      </w:r>
    </w:p>
    <w:p w14:paraId="0623D5F0" w14:textId="77777777" w:rsidR="003C7A87" w:rsidRPr="008525AE" w:rsidRDefault="003C7A87" w:rsidP="00DC689A">
      <w:pPr>
        <w:pStyle w:val="NormalHanging12a"/>
        <w:widowControl/>
      </w:pPr>
      <w:r w:rsidRPr="008525AE">
        <w:t>–</w:t>
      </w:r>
      <w:r w:rsidRPr="008525AE">
        <w:tab/>
        <w:t>tekintettel eljárási szabályzata 68. cikkére,</w:t>
      </w:r>
    </w:p>
    <w:p w14:paraId="27D31555" w14:textId="77777777" w:rsidR="003C7A87" w:rsidRPr="008525AE" w:rsidRDefault="003C7A87" w:rsidP="00DC689A">
      <w:pPr>
        <w:pStyle w:val="NormalHanging12a"/>
        <w:widowControl/>
      </w:pPr>
      <w:r w:rsidRPr="008525AE">
        <w:t>–</w:t>
      </w:r>
      <w:r w:rsidRPr="008525AE">
        <w:tab/>
        <w:t>tekintettel a Foglalkoztatási és Szociális Bizottság második olvasatra adott ajánlására (A10-0207/2025),</w:t>
      </w:r>
    </w:p>
    <w:p w14:paraId="67E619BF" w14:textId="77777777" w:rsidR="003C7A87" w:rsidRPr="008525AE" w:rsidRDefault="003C7A87" w:rsidP="00DC689A">
      <w:pPr>
        <w:pStyle w:val="NormalHanging12a"/>
        <w:widowControl/>
      </w:pPr>
      <w:r w:rsidRPr="008525AE">
        <w:t>1.</w:t>
      </w:r>
      <w:r w:rsidRPr="008525AE">
        <w:tab/>
        <w:t>egyetért a Tanács első olvasatban elfogadott álláspontjával;</w:t>
      </w:r>
    </w:p>
    <w:p w14:paraId="01769340" w14:textId="77777777" w:rsidR="003C7A87" w:rsidRPr="008525AE" w:rsidRDefault="003C7A87" w:rsidP="00DC689A">
      <w:pPr>
        <w:pStyle w:val="NormalHanging12a"/>
        <w:widowControl/>
      </w:pPr>
      <w:r w:rsidRPr="008525AE">
        <w:t>2.</w:t>
      </w:r>
      <w:r w:rsidRPr="008525AE">
        <w:tab/>
        <w:t>megállapítja, hogy a jogi aktust a Tanács álláspontjának megfelelően elfogadták;</w:t>
      </w:r>
    </w:p>
    <w:p w14:paraId="3CFBB014" w14:textId="77777777" w:rsidR="003C7A87" w:rsidRPr="008525AE" w:rsidRDefault="003C7A87" w:rsidP="00DC689A">
      <w:pPr>
        <w:pStyle w:val="NormalHanging12a"/>
        <w:widowControl/>
      </w:pPr>
      <w:r w:rsidRPr="008525AE">
        <w:lastRenderedPageBreak/>
        <w:t>3.</w:t>
      </w:r>
      <w:r w:rsidRPr="008525AE">
        <w:tab/>
        <w:t>utasítja elnökét, hogy az Európai Unió működéséről szóló szerződés 297. cikkének (1) bekezdésével összhangban a Tanács elnökével együtt írja alá a jogi aktust;</w:t>
      </w:r>
    </w:p>
    <w:p w14:paraId="1E9EC117" w14:textId="77777777" w:rsidR="003C7A87" w:rsidRPr="008525AE" w:rsidRDefault="003C7A87" w:rsidP="00DC689A">
      <w:pPr>
        <w:pStyle w:val="NormalHanging12a"/>
        <w:widowControl/>
      </w:pPr>
      <w:r w:rsidRPr="008525AE">
        <w:t>4.</w:t>
      </w:r>
      <w:r w:rsidRPr="008525AE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8525AE">
        <w:rPr>
          <w:i/>
        </w:rPr>
        <w:t>Európai Unió Hivatalos Lapjában</w:t>
      </w:r>
      <w:r w:rsidRPr="008525AE">
        <w:t>;</w:t>
      </w:r>
    </w:p>
    <w:p w14:paraId="6C1FCBBC" w14:textId="38EB8DCF" w:rsidR="00E365E1" w:rsidRPr="00851F6C" w:rsidRDefault="003C7A87" w:rsidP="00783BDC">
      <w:pPr>
        <w:pStyle w:val="NormalHanging12a"/>
        <w:widowControl/>
      </w:pPr>
      <w:r w:rsidRPr="008525AE">
        <w:t>5.</w:t>
      </w:r>
      <w:r w:rsidRPr="008525AE">
        <w:tab/>
        <w:t>utasítja elnökét, hogy továbbítsa a Parlament álláspontját a Tanácsnak és a Bizottságnak, valamint a nemzeti parlamenteknek.</w:t>
      </w:r>
    </w:p>
    <w:sectPr w:rsidR="00E365E1" w:rsidRPr="00851F6C" w:rsidSect="00851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9D1E9" w14:textId="77777777" w:rsidR="000D4D91" w:rsidRPr="00851F6C" w:rsidRDefault="000D4D91">
      <w:r w:rsidRPr="00851F6C">
        <w:separator/>
      </w:r>
    </w:p>
  </w:endnote>
  <w:endnote w:type="continuationSeparator" w:id="0">
    <w:p w14:paraId="702F13FE" w14:textId="77777777" w:rsidR="000D4D91" w:rsidRPr="00851F6C" w:rsidRDefault="000D4D91">
      <w:r w:rsidRPr="00851F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349CC" w14:textId="77777777" w:rsidR="00064002" w:rsidRPr="00851F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A5F1" w14:textId="77777777" w:rsidR="00064002" w:rsidRPr="00851F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ABDF" w14:textId="77777777" w:rsidR="00064002" w:rsidRPr="00851F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62DDC" w14:textId="77777777" w:rsidR="000D4D91" w:rsidRPr="00851F6C" w:rsidRDefault="000D4D91">
      <w:r w:rsidRPr="00851F6C">
        <w:separator/>
      </w:r>
    </w:p>
  </w:footnote>
  <w:footnote w:type="continuationSeparator" w:id="0">
    <w:p w14:paraId="51ECF14C" w14:textId="77777777" w:rsidR="000D4D91" w:rsidRPr="00851F6C" w:rsidRDefault="000D4D91">
      <w:r w:rsidRPr="00851F6C">
        <w:continuationSeparator/>
      </w:r>
    </w:p>
  </w:footnote>
  <w:footnote w:id="1">
    <w:p w14:paraId="08D504B5" w14:textId="19BC68DC" w:rsidR="003C7A87" w:rsidRPr="00851F6C" w:rsidRDefault="003C7A87" w:rsidP="00851F6C">
      <w:pPr>
        <w:pStyle w:val="FootnoteText"/>
        <w:ind w:left="567" w:hanging="567"/>
        <w:rPr>
          <w:sz w:val="24"/>
          <w:lang w:val="hu-HU"/>
        </w:rPr>
      </w:pPr>
      <w:r w:rsidRPr="00851F6C">
        <w:rPr>
          <w:rStyle w:val="FootnoteReference"/>
          <w:sz w:val="24"/>
          <w:lang w:val="hu-HU"/>
        </w:rPr>
        <w:footnoteRef/>
      </w:r>
      <w:r w:rsidR="00851F6C" w:rsidRPr="00851F6C">
        <w:rPr>
          <w:sz w:val="24"/>
          <w:lang w:val="hu-HU"/>
        </w:rPr>
        <w:t xml:space="preserve"> </w:t>
      </w:r>
      <w:r w:rsidR="00851F6C" w:rsidRPr="00851F6C">
        <w:rPr>
          <w:sz w:val="24"/>
          <w:lang w:val="hu-HU"/>
        </w:rPr>
        <w:tab/>
      </w:r>
      <w:r w:rsidRPr="00851F6C">
        <w:rPr>
          <w:sz w:val="24"/>
          <w:lang w:val="hu-HU"/>
        </w:rPr>
        <w:t>HL C 228., 2023.6.29., 148. o.</w:t>
      </w:r>
    </w:p>
  </w:footnote>
  <w:footnote w:id="2">
    <w:p w14:paraId="6F224547" w14:textId="500699DA" w:rsidR="003C7A87" w:rsidRPr="00851F6C" w:rsidRDefault="003C7A87" w:rsidP="00851F6C">
      <w:pPr>
        <w:pStyle w:val="FootnoteText"/>
        <w:ind w:left="567" w:hanging="567"/>
        <w:rPr>
          <w:sz w:val="24"/>
          <w:lang w:val="hu-HU"/>
        </w:rPr>
      </w:pPr>
      <w:r w:rsidRPr="00851F6C">
        <w:rPr>
          <w:rStyle w:val="FootnoteReference"/>
          <w:sz w:val="24"/>
          <w:lang w:val="hu-HU"/>
        </w:rPr>
        <w:footnoteRef/>
      </w:r>
      <w:r w:rsidR="00851F6C" w:rsidRPr="00851F6C">
        <w:rPr>
          <w:sz w:val="24"/>
          <w:lang w:val="hu-HU"/>
        </w:rPr>
        <w:t xml:space="preserve"> </w:t>
      </w:r>
      <w:r w:rsidR="00851F6C" w:rsidRPr="00851F6C">
        <w:rPr>
          <w:sz w:val="24"/>
          <w:lang w:val="hu-HU"/>
        </w:rPr>
        <w:tab/>
      </w:r>
      <w:r w:rsidRPr="00851F6C">
        <w:rPr>
          <w:sz w:val="24"/>
          <w:lang w:val="hu-HU"/>
        </w:rPr>
        <w:t xml:space="preserve">HL C, C/2025/3787, 2025.9.17., ELI: </w:t>
      </w:r>
      <w:r w:rsidR="00783BDC">
        <w:fldChar w:fldCharType="begin"/>
      </w:r>
      <w:r w:rsidR="00783BDC" w:rsidRPr="00783BDC">
        <w:rPr>
          <w:lang w:val="fi-FI"/>
        </w:rPr>
        <w:instrText>HYPERLINK "http://data.europa.eu/eli/C/2025/3787/oj"</w:instrText>
      </w:r>
      <w:r w:rsidR="00783BDC">
        <w:fldChar w:fldCharType="separate"/>
      </w:r>
      <w:r w:rsidRPr="00DC689A">
        <w:rPr>
          <w:rStyle w:val="Hyperlink"/>
          <w:sz w:val="24"/>
          <w:lang w:val="hu-HU"/>
        </w:rPr>
        <w:t>http://data.europa.eu/eli/C/2025/3787/oj</w:t>
      </w:r>
      <w:r w:rsidR="00783BDC">
        <w:rPr>
          <w:rStyle w:val="Hyperlink"/>
          <w:sz w:val="24"/>
          <w:lang w:val="hu-HU"/>
        </w:rPr>
        <w:fldChar w:fldCharType="end"/>
      </w:r>
      <w:r w:rsidRPr="00851F6C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3DE40" w14:textId="77777777" w:rsidR="00064002" w:rsidRPr="00851F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5704D" w14:textId="77777777" w:rsidR="00064002" w:rsidRPr="00851F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AAF89" w14:textId="77777777" w:rsidR="00064002" w:rsidRPr="00851F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8988571">
    <w:abstractNumId w:val="9"/>
  </w:num>
  <w:num w:numId="2" w16cid:durableId="195629305">
    <w:abstractNumId w:val="9"/>
  </w:num>
  <w:num w:numId="3" w16cid:durableId="1581871400">
    <w:abstractNumId w:val="7"/>
  </w:num>
  <w:num w:numId="4" w16cid:durableId="1126237968">
    <w:abstractNumId w:val="7"/>
  </w:num>
  <w:num w:numId="5" w16cid:durableId="454564380">
    <w:abstractNumId w:val="6"/>
  </w:num>
  <w:num w:numId="6" w16cid:durableId="2079282304">
    <w:abstractNumId w:val="6"/>
  </w:num>
  <w:num w:numId="7" w16cid:durableId="293289368">
    <w:abstractNumId w:val="5"/>
  </w:num>
  <w:num w:numId="8" w16cid:durableId="1438599940">
    <w:abstractNumId w:val="5"/>
  </w:num>
  <w:num w:numId="9" w16cid:durableId="1620449945">
    <w:abstractNumId w:val="4"/>
  </w:num>
  <w:num w:numId="10" w16cid:durableId="797333683">
    <w:abstractNumId w:val="4"/>
  </w:num>
  <w:num w:numId="11" w16cid:durableId="277831566">
    <w:abstractNumId w:val="8"/>
  </w:num>
  <w:num w:numId="12" w16cid:durableId="207574517">
    <w:abstractNumId w:val="8"/>
  </w:num>
  <w:num w:numId="13" w16cid:durableId="607543384">
    <w:abstractNumId w:val="3"/>
  </w:num>
  <w:num w:numId="14" w16cid:durableId="479926127">
    <w:abstractNumId w:val="3"/>
  </w:num>
  <w:num w:numId="15" w16cid:durableId="617181094">
    <w:abstractNumId w:val="2"/>
  </w:num>
  <w:num w:numId="16" w16cid:durableId="54397792">
    <w:abstractNumId w:val="2"/>
  </w:num>
  <w:num w:numId="17" w16cid:durableId="1049837685">
    <w:abstractNumId w:val="1"/>
  </w:num>
  <w:num w:numId="18" w16cid:durableId="1583565858">
    <w:abstractNumId w:val="1"/>
  </w:num>
  <w:num w:numId="19" w16cid:durableId="379206898">
    <w:abstractNumId w:val="0"/>
  </w:num>
  <w:num w:numId="20" w16cid:durableId="2072117329">
    <w:abstractNumId w:val="0"/>
  </w:num>
  <w:num w:numId="21" w16cid:durableId="553976594">
    <w:abstractNumId w:val="9"/>
  </w:num>
  <w:num w:numId="22" w16cid:durableId="1321277465">
    <w:abstractNumId w:val="7"/>
  </w:num>
  <w:num w:numId="23" w16cid:durableId="608581577">
    <w:abstractNumId w:val="6"/>
  </w:num>
  <w:num w:numId="24" w16cid:durableId="841821990">
    <w:abstractNumId w:val="5"/>
  </w:num>
  <w:num w:numId="25" w16cid:durableId="376319952">
    <w:abstractNumId w:val="4"/>
  </w:num>
  <w:num w:numId="26" w16cid:durableId="1667128861">
    <w:abstractNumId w:val="8"/>
  </w:num>
  <w:num w:numId="27" w16cid:durableId="1009530231">
    <w:abstractNumId w:val="3"/>
  </w:num>
  <w:num w:numId="28" w16cid:durableId="1641182972">
    <w:abstractNumId w:val="2"/>
  </w:num>
  <w:num w:numId="29" w16cid:durableId="1441685666">
    <w:abstractNumId w:val="1"/>
  </w:num>
  <w:num w:numId="30" w16cid:durableId="583758292">
    <w:abstractNumId w:val="0"/>
  </w:num>
  <w:num w:numId="31" w16cid:durableId="297762541">
    <w:abstractNumId w:val="9"/>
  </w:num>
  <w:num w:numId="32" w16cid:durableId="1022394349">
    <w:abstractNumId w:val="7"/>
  </w:num>
  <w:num w:numId="33" w16cid:durableId="155191659">
    <w:abstractNumId w:val="6"/>
  </w:num>
  <w:num w:numId="34" w16cid:durableId="17855587">
    <w:abstractNumId w:val="5"/>
  </w:num>
  <w:num w:numId="35" w16cid:durableId="1793985064">
    <w:abstractNumId w:val="4"/>
  </w:num>
  <w:num w:numId="36" w16cid:durableId="155732108">
    <w:abstractNumId w:val="8"/>
  </w:num>
  <w:num w:numId="37" w16cid:durableId="1448351462">
    <w:abstractNumId w:val="3"/>
  </w:num>
  <w:num w:numId="38" w16cid:durableId="1055012409">
    <w:abstractNumId w:val="2"/>
  </w:num>
  <w:num w:numId="39" w16cid:durableId="1108239969">
    <w:abstractNumId w:val="1"/>
  </w:num>
  <w:num w:numId="40" w16cid:durableId="102774115">
    <w:abstractNumId w:val="0"/>
  </w:num>
  <w:num w:numId="41" w16cid:durableId="1702634921">
    <w:abstractNumId w:val="10"/>
  </w:num>
  <w:num w:numId="42" w16cid:durableId="71006072">
    <w:abstractNumId w:val="10"/>
  </w:num>
  <w:num w:numId="43" w16cid:durableId="1069378882">
    <w:abstractNumId w:val="10"/>
  </w:num>
  <w:num w:numId="44" w16cid:durableId="3457161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HU"/>
    <w:docVar w:name="dvnumam" w:val="0"/>
    <w:docVar w:name="dvpe" w:val="778.283"/>
    <w:docVar w:name="dvrapporteur" w:val="Előadó: "/>
    <w:docVar w:name="dvtitre" w:val="Az Európai Parlament 2025.  ...-i jogalkotási állásfoglalása az európai népesség- és lakásstatisztikákról, a 862/2007/EK rendelet módosításáról, valamint a 763/2008/EK és az 1260/2013/EU rendelet hatályon kívül helyezéséről szóló európai parlamenti és tanácsi rendelet elfogadása céljából első olvasatban kialakított tanácsi álláspontról(09858/1/2025 –C10-0230/2025 – 2023/0008(COD))"/>
  </w:docVars>
  <w:rsids>
    <w:rsidRoot w:val="000D4D91"/>
    <w:rsid w:val="00002272"/>
    <w:rsid w:val="00064002"/>
    <w:rsid w:val="000677B9"/>
    <w:rsid w:val="000831BA"/>
    <w:rsid w:val="000A42CC"/>
    <w:rsid w:val="000D4D9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7A87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31E2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BDC"/>
    <w:rsid w:val="00786EC0"/>
    <w:rsid w:val="007D1690"/>
    <w:rsid w:val="007E22AD"/>
    <w:rsid w:val="00817416"/>
    <w:rsid w:val="00842779"/>
    <w:rsid w:val="00851F6C"/>
    <w:rsid w:val="008525A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89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27812"/>
  <w15:chartTrackingRefBased/>
  <w15:docId w15:val="{7DD0A674-7043-4606-A02E-03565A55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C7A87"/>
    <w:pPr>
      <w:spacing w:before="480" w:after="240"/>
    </w:pPr>
  </w:style>
  <w:style w:type="paragraph" w:customStyle="1" w:styleId="NormalBold">
    <w:name w:val="NormalBold"/>
    <w:basedOn w:val="Normal"/>
    <w:rsid w:val="003C7A87"/>
    <w:rPr>
      <w:b/>
    </w:rPr>
  </w:style>
  <w:style w:type="paragraph" w:customStyle="1" w:styleId="NormalHanging12a">
    <w:name w:val="NormalHanging12a"/>
    <w:basedOn w:val="Normal"/>
    <w:rsid w:val="003C7A8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C689A"/>
    <w:rPr>
      <w:sz w:val="24"/>
      <w:lang w:val="hu-HU"/>
    </w:rPr>
  </w:style>
  <w:style w:type="character" w:styleId="Hyperlink">
    <w:name w:val="Hyperlink"/>
    <w:basedOn w:val="DefaultParagraphFont"/>
    <w:rsid w:val="00DC68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2025-11-13T10:08:00Z</dcterms:created>
  <dcterms:modified xsi:type="dcterms:W3CDTF">2025-11-13T10:08:00Z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