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A25" w14:paraId="6F4E6D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FBE1B" w14:textId="77777777" w:rsidR="00751A4A" w:rsidRPr="00B35A25" w:rsidRDefault="00532600" w:rsidP="0010095E">
            <w:pPr>
              <w:pStyle w:val="EPName"/>
            </w:pPr>
            <w:r w:rsidRPr="00B35A25">
              <w:t>Parlament Europejski</w:t>
            </w:r>
          </w:p>
          <w:p w14:paraId="402D062C" w14:textId="77777777" w:rsidR="00751A4A" w:rsidRPr="00B35A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A25">
              <w:t>2024</w:t>
            </w:r>
            <w:r w:rsidR="00817416" w:rsidRPr="00B35A25">
              <w:t>-202</w:t>
            </w:r>
            <w:r w:rsidRPr="00B35A25">
              <w:t>9</w:t>
            </w:r>
          </w:p>
        </w:tc>
        <w:tc>
          <w:tcPr>
            <w:tcW w:w="2268" w:type="dxa"/>
            <w:shd w:val="clear" w:color="auto" w:fill="auto"/>
          </w:tcPr>
          <w:p w14:paraId="1A52A346" w14:textId="77777777" w:rsidR="00751A4A" w:rsidRPr="00B35A25" w:rsidRDefault="00187494" w:rsidP="0010095E">
            <w:pPr>
              <w:pStyle w:val="EPLogo"/>
            </w:pPr>
            <w:r w:rsidRPr="00B35A25">
              <w:rPr>
                <w:noProof/>
                <w:lang w:eastAsia="ja-JP"/>
              </w:rPr>
              <w:drawing>
                <wp:inline distT="0" distB="0" distL="0" distR="0" wp14:anchorId="2478BB79" wp14:editId="46BCD8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6D784" w14:textId="77777777" w:rsidR="00D058B8" w:rsidRPr="00B35A25" w:rsidRDefault="00D058B8" w:rsidP="004C5D52">
      <w:pPr>
        <w:pStyle w:val="LineTop"/>
      </w:pPr>
    </w:p>
    <w:p w14:paraId="1D469C20" w14:textId="77777777" w:rsidR="00680577" w:rsidRPr="00B35A25" w:rsidRDefault="00532600" w:rsidP="00680577">
      <w:pPr>
        <w:pStyle w:val="EPBodyTA1"/>
      </w:pPr>
      <w:r w:rsidRPr="00B35A25">
        <w:t>TEKSTY PRZYJĘTE</w:t>
      </w:r>
    </w:p>
    <w:p w14:paraId="38E041CE" w14:textId="77777777" w:rsidR="00D058B8" w:rsidRPr="00B35A25" w:rsidRDefault="00D058B8" w:rsidP="00D058B8">
      <w:pPr>
        <w:pStyle w:val="LineBottom"/>
      </w:pPr>
    </w:p>
    <w:p w14:paraId="0E494EEF" w14:textId="0814BB51" w:rsidR="00532600" w:rsidRPr="00B35A25" w:rsidRDefault="00532600" w:rsidP="00532600">
      <w:pPr>
        <w:pStyle w:val="ATHeading1"/>
      </w:pPr>
      <w:bookmarkStart w:id="0" w:name="TANumber"/>
      <w:r w:rsidRPr="00B35A25">
        <w:t>P10_TA(2025)0</w:t>
      </w:r>
      <w:r w:rsidR="0051612F">
        <w:t>261</w:t>
      </w:r>
      <w:bookmarkEnd w:id="0"/>
    </w:p>
    <w:p w14:paraId="2D65EB29" w14:textId="0C0F8151" w:rsidR="00532600" w:rsidRPr="00B35A25" w:rsidRDefault="00885CC7" w:rsidP="00532600">
      <w:pPr>
        <w:pStyle w:val="ATHeading2"/>
      </w:pPr>
      <w:r w:rsidRPr="0051612F">
        <w:t>Statystyki dotyczące ludności i mieszkań</w:t>
      </w:r>
    </w:p>
    <w:p w14:paraId="39FB508C" w14:textId="77777777" w:rsidR="00532600" w:rsidRPr="00B35A25" w:rsidRDefault="00532600" w:rsidP="00532600">
      <w:pPr>
        <w:rPr>
          <w:i/>
          <w:vanish/>
        </w:rPr>
      </w:pPr>
      <w:r w:rsidRPr="00B35A25">
        <w:rPr>
          <w:i/>
        </w:rPr>
        <w:fldChar w:fldCharType="begin"/>
      </w:r>
      <w:r w:rsidRPr="00B35A25">
        <w:rPr>
          <w:i/>
        </w:rPr>
        <w:instrText xml:space="preserve"> TC"(</w:instrText>
      </w:r>
      <w:bookmarkStart w:id="1" w:name="DocNumber"/>
      <w:r w:rsidRPr="00B35A25">
        <w:rPr>
          <w:i/>
        </w:rPr>
        <w:instrText>A10-0207/2025</w:instrText>
      </w:r>
      <w:bookmarkEnd w:id="1"/>
      <w:r w:rsidRPr="00B35A25">
        <w:rPr>
          <w:i/>
        </w:rPr>
        <w:instrText xml:space="preserve"> - Sprawozdawca: Irena </w:instrText>
      </w:r>
      <w:proofErr w:type="spellStart"/>
      <w:r w:rsidRPr="00B35A25">
        <w:rPr>
          <w:i/>
        </w:rPr>
        <w:instrText>Joveva</w:instrText>
      </w:r>
      <w:proofErr w:type="spellEnd"/>
      <w:r w:rsidRPr="00B35A25">
        <w:rPr>
          <w:i/>
        </w:rPr>
        <w:instrText xml:space="preserve">)"\l3 \n&gt; \* MERGEFORMAT </w:instrText>
      </w:r>
      <w:r w:rsidRPr="00B35A25">
        <w:rPr>
          <w:i/>
        </w:rPr>
        <w:fldChar w:fldCharType="end"/>
      </w:r>
    </w:p>
    <w:p w14:paraId="794DDDBA" w14:textId="77777777" w:rsidR="00532600" w:rsidRPr="00B35A25" w:rsidRDefault="00532600" w:rsidP="00532600">
      <w:pPr>
        <w:rPr>
          <w:vanish/>
        </w:rPr>
      </w:pPr>
      <w:bookmarkStart w:id="2" w:name="Commission"/>
      <w:r w:rsidRPr="00B35A25">
        <w:rPr>
          <w:vanish/>
        </w:rPr>
        <w:t>Komisja Zatrudnienia i Spraw Socjalnych</w:t>
      </w:r>
      <w:bookmarkEnd w:id="2"/>
    </w:p>
    <w:p w14:paraId="3B4024BA" w14:textId="77777777" w:rsidR="00532600" w:rsidRPr="00B35A25" w:rsidRDefault="00532600" w:rsidP="00532600">
      <w:pPr>
        <w:rPr>
          <w:vanish/>
        </w:rPr>
      </w:pPr>
      <w:bookmarkStart w:id="3" w:name="PE"/>
      <w:r w:rsidRPr="00B35A25">
        <w:rPr>
          <w:vanish/>
        </w:rPr>
        <w:t>PE778.283</w:t>
      </w:r>
      <w:bookmarkEnd w:id="3"/>
    </w:p>
    <w:p w14:paraId="26CDCCA9" w14:textId="55951192" w:rsidR="00532600" w:rsidRPr="00B35A25" w:rsidRDefault="00532600" w:rsidP="00532600">
      <w:pPr>
        <w:pStyle w:val="ATHeading3"/>
      </w:pPr>
      <w:bookmarkStart w:id="4" w:name="Sujet"/>
      <w:r w:rsidRPr="00B35A25">
        <w:t xml:space="preserve">Rezolucja ustawodawcza Parlamentu Europejskiego z dnia </w:t>
      </w:r>
      <w:r w:rsidR="00885CC7">
        <w:t>13 listopada</w:t>
      </w:r>
      <w:r w:rsidRPr="00B35A25">
        <w:t xml:space="preserve"> 2025 r. w sprawie stanowiska Rady w pierwszym czytaniu z myślą o przyjęciu rozporządzenia Parlamentu Europejskiego i Rady w sprawie statystyk europejskich dotyczących ludności i mieszkań, zmieniającego rozporządzenie (WE) nr 862/2007 oraz uchylającego rozporządzenia (WE) nr 763/2008 i (UE) nr 1260/2013</w:t>
      </w:r>
      <w:bookmarkEnd w:id="4"/>
      <w:r w:rsidRPr="00B35A25">
        <w:t xml:space="preserve"> </w:t>
      </w:r>
      <w:bookmarkStart w:id="5" w:name="References"/>
      <w:r w:rsidRPr="00B35A25">
        <w:t>(09858/1/2025 –C10-0230/2025 – 2023/0008(COD))</w:t>
      </w:r>
      <w:bookmarkEnd w:id="5"/>
    </w:p>
    <w:p w14:paraId="634458FF" w14:textId="77777777" w:rsidR="002F2E99" w:rsidRPr="00B35A25" w:rsidRDefault="002F2E99" w:rsidP="002F2E99">
      <w:pPr>
        <w:pStyle w:val="NormalBold"/>
      </w:pPr>
      <w:r w:rsidRPr="00B35A25">
        <w:t>(Zwykła procedura ustawodawcza: drugie czytanie)</w:t>
      </w:r>
    </w:p>
    <w:p w14:paraId="50171344" w14:textId="77777777" w:rsidR="002F2E99" w:rsidRPr="00B35A25" w:rsidRDefault="002F2E99" w:rsidP="002F2E99">
      <w:pPr>
        <w:pStyle w:val="EPComma"/>
      </w:pPr>
      <w:r w:rsidRPr="00B35A25">
        <w:rPr>
          <w:i/>
        </w:rPr>
        <w:t>Parlament Europejski</w:t>
      </w:r>
      <w:r w:rsidRPr="00B35A25">
        <w:t>,</w:t>
      </w:r>
    </w:p>
    <w:p w14:paraId="204AFAD6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stanowisko Rady w pierwszym czytaniu (09858/1/2025 – C10</w:t>
      </w:r>
      <w:r w:rsidRPr="00B35A25">
        <w:noBreakHyphen/>
        <w:t>0230/2025),</w:t>
      </w:r>
    </w:p>
    <w:p w14:paraId="7785A321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opinię Europejskiego Komitetu Ekonomiczno-Społecznego z dnia 27 kwietnia 2023 r.</w:t>
      </w:r>
      <w:r w:rsidRPr="00B35A25">
        <w:rPr>
          <w:rStyle w:val="FootnoteReference"/>
        </w:rPr>
        <w:footnoteReference w:id="1"/>
      </w:r>
      <w:r w:rsidRPr="00B35A25">
        <w:t>,</w:t>
      </w:r>
    </w:p>
    <w:p w14:paraId="5CD01C74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po konsultacji z Komitetem Regionów,</w:t>
      </w:r>
    </w:p>
    <w:p w14:paraId="36E06489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swoje stanowisko w pierwszym czytaniu</w:t>
      </w:r>
      <w:r w:rsidRPr="00B35A25">
        <w:rPr>
          <w:rStyle w:val="FootnoteReference"/>
        </w:rPr>
        <w:footnoteReference w:id="2"/>
      </w:r>
      <w:r w:rsidRPr="00B35A25">
        <w:t xml:space="preserve"> w sprawie wniosku Komisji przedstawionego Parlamentowi Europejskiemu i Radzie (</w:t>
      </w:r>
      <w:proofErr w:type="gramStart"/>
      <w:r w:rsidRPr="00B35A25">
        <w:t>COM(</w:t>
      </w:r>
      <w:proofErr w:type="gramEnd"/>
      <w:r w:rsidRPr="00B35A25">
        <w:t>2023)0031),</w:t>
      </w:r>
    </w:p>
    <w:p w14:paraId="597D9FCE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art. 294 ust. 7 Traktatu o funkcjonowaniu Unii Europejskiej,</w:t>
      </w:r>
    </w:p>
    <w:p w14:paraId="436878FA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wstępne porozumienie zatwierdzone przez komisję przedmiotowo właściwą na podstawie art. 75 ust. 4 Regulaminu,</w:t>
      </w:r>
    </w:p>
    <w:p w14:paraId="19F5F22E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art. 68 Regulaminu,</w:t>
      </w:r>
    </w:p>
    <w:p w14:paraId="0B587CA5" w14:textId="77777777" w:rsidR="002F2E99" w:rsidRPr="00B35A25" w:rsidRDefault="002F2E99" w:rsidP="002F2E99">
      <w:pPr>
        <w:pStyle w:val="NormalHanging12a"/>
      </w:pPr>
      <w:r w:rsidRPr="00B35A25">
        <w:t>–</w:t>
      </w:r>
      <w:r w:rsidRPr="00B35A25">
        <w:tab/>
        <w:t>uwzględniając zalecenie do drugiego czytania przedstawione przez Komisję Zatrudnienia i Spraw Socjalnych (A10-0207/2025),</w:t>
      </w:r>
    </w:p>
    <w:p w14:paraId="5CB286AE" w14:textId="77777777" w:rsidR="002F2E99" w:rsidRPr="00B35A25" w:rsidRDefault="002F2E99" w:rsidP="002F2E99">
      <w:pPr>
        <w:pStyle w:val="NormalHanging12a"/>
      </w:pPr>
      <w:r w:rsidRPr="00B35A25">
        <w:lastRenderedPageBreak/>
        <w:t>1.</w:t>
      </w:r>
      <w:r w:rsidRPr="00B35A25">
        <w:tab/>
        <w:t>zatwierdza stanowisko Rady przyjęte w pierwszym czytaniu;</w:t>
      </w:r>
    </w:p>
    <w:p w14:paraId="47E598A7" w14:textId="77777777" w:rsidR="002F2E99" w:rsidRPr="00B35A25" w:rsidRDefault="002F2E99" w:rsidP="002F2E99">
      <w:pPr>
        <w:pStyle w:val="NormalHanging12a"/>
      </w:pPr>
      <w:r w:rsidRPr="00B35A25">
        <w:t>2.</w:t>
      </w:r>
      <w:r w:rsidRPr="00B35A25">
        <w:tab/>
        <w:t>stwierdza, że akt prawny zostaje przyjęty zgodnie ze stanowiskiem Rady;</w:t>
      </w:r>
    </w:p>
    <w:p w14:paraId="4E1E1788" w14:textId="77777777" w:rsidR="002F2E99" w:rsidRPr="00B35A25" w:rsidRDefault="002F2E99" w:rsidP="002F2E99">
      <w:pPr>
        <w:pStyle w:val="NormalHanging12a"/>
      </w:pPr>
      <w:r w:rsidRPr="00B35A25">
        <w:t>3.</w:t>
      </w:r>
      <w:r w:rsidRPr="00B35A25">
        <w:tab/>
        <w:t>zobowiązuje swoją przewodniczącą do podpisania wraz z przewodniczącym Rady aktu prawnego zgodnie z art. 297 ust. 1 Traktatu o funkcjonowaniu Unii Europejskiej;</w:t>
      </w:r>
    </w:p>
    <w:p w14:paraId="7379A694" w14:textId="77777777" w:rsidR="002F2E99" w:rsidRPr="00B35A25" w:rsidRDefault="002F2E99" w:rsidP="002F2E99">
      <w:pPr>
        <w:pStyle w:val="NormalHanging12a"/>
      </w:pPr>
      <w:r w:rsidRPr="00B35A25">
        <w:t>4.</w:t>
      </w:r>
      <w:r w:rsidRPr="00B35A25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B35A25">
        <w:rPr>
          <w:i/>
        </w:rPr>
        <w:t>Dzienniku Urzędowym Unii Europejskiej</w:t>
      </w:r>
      <w:r w:rsidRPr="00B35A25">
        <w:t>;</w:t>
      </w:r>
    </w:p>
    <w:p w14:paraId="1CF8645E" w14:textId="3B481EB4" w:rsidR="00B35A25" w:rsidRPr="00B35A25" w:rsidRDefault="002F2E99" w:rsidP="00B35A25">
      <w:pPr>
        <w:pStyle w:val="NormalHanging12a"/>
      </w:pPr>
      <w:r w:rsidRPr="00B35A25">
        <w:t>5.</w:t>
      </w:r>
      <w:r w:rsidRPr="00B35A25">
        <w:tab/>
        <w:t>zobowiązuje swoją przewodniczącą do przekazania stanowiska Parlamentu Radzie i Komisji oraz parlamentom narodowym.</w:t>
      </w:r>
    </w:p>
    <w:p w14:paraId="793C249F" w14:textId="51C18A69" w:rsidR="00E365E1" w:rsidRPr="00B35A25" w:rsidRDefault="00E365E1" w:rsidP="00532600"/>
    <w:sectPr w:rsidR="00E365E1" w:rsidRPr="00B35A25" w:rsidSect="00B35A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40F8D" w14:textId="77777777" w:rsidR="00532600" w:rsidRPr="00B35A25" w:rsidRDefault="00532600">
      <w:r w:rsidRPr="00B35A25">
        <w:separator/>
      </w:r>
    </w:p>
  </w:endnote>
  <w:endnote w:type="continuationSeparator" w:id="0">
    <w:p w14:paraId="5B2A256A" w14:textId="77777777" w:rsidR="00532600" w:rsidRPr="00B35A25" w:rsidRDefault="00532600">
      <w:r w:rsidRPr="00B35A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0850" w14:textId="77777777" w:rsidR="00064002" w:rsidRPr="00B35A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08D7" w14:textId="77777777" w:rsidR="00064002" w:rsidRPr="00B35A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BEEC" w14:textId="77777777" w:rsidR="00064002" w:rsidRPr="00B35A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1A61" w14:textId="77777777" w:rsidR="00532600" w:rsidRPr="00B35A25" w:rsidRDefault="00532600">
      <w:r w:rsidRPr="00B35A25">
        <w:separator/>
      </w:r>
    </w:p>
  </w:footnote>
  <w:footnote w:type="continuationSeparator" w:id="0">
    <w:p w14:paraId="4975C0FF" w14:textId="77777777" w:rsidR="00532600" w:rsidRPr="00B35A25" w:rsidRDefault="00532600">
      <w:r w:rsidRPr="00B35A25">
        <w:continuationSeparator/>
      </w:r>
    </w:p>
  </w:footnote>
  <w:footnote w:id="1">
    <w:p w14:paraId="2DD7AF09" w14:textId="1B3872AC" w:rsidR="002F2E99" w:rsidRPr="00B35A25" w:rsidRDefault="002F2E99" w:rsidP="00B35A25">
      <w:pPr>
        <w:pStyle w:val="FootnoteText"/>
        <w:ind w:left="567" w:hanging="567"/>
        <w:rPr>
          <w:sz w:val="24"/>
          <w:lang w:val="pl-PL"/>
        </w:rPr>
      </w:pPr>
      <w:r w:rsidRPr="00B35A25">
        <w:rPr>
          <w:rStyle w:val="FootnoteReference"/>
          <w:sz w:val="24"/>
          <w:lang w:val="pl-PL"/>
        </w:rPr>
        <w:footnoteRef/>
      </w:r>
      <w:r w:rsidR="00B35A25" w:rsidRPr="00B35A25">
        <w:rPr>
          <w:sz w:val="24"/>
          <w:lang w:val="pl-PL"/>
        </w:rPr>
        <w:t xml:space="preserve"> </w:t>
      </w:r>
      <w:r w:rsidR="00B35A25" w:rsidRPr="00B35A25">
        <w:rPr>
          <w:sz w:val="24"/>
          <w:lang w:val="pl-PL"/>
        </w:rPr>
        <w:tab/>
      </w:r>
      <w:r w:rsidRPr="00B35A25">
        <w:rPr>
          <w:sz w:val="24"/>
          <w:lang w:val="pl-PL"/>
        </w:rPr>
        <w:t xml:space="preserve">Dz.U. C 228 z </w:t>
      </w:r>
      <w:proofErr w:type="gramStart"/>
      <w:r w:rsidRPr="00B35A25">
        <w:rPr>
          <w:sz w:val="24"/>
          <w:lang w:val="pl-PL"/>
        </w:rPr>
        <w:t>29.6.2023</w:t>
      </w:r>
      <w:proofErr w:type="gramEnd"/>
      <w:r w:rsidRPr="00B35A25">
        <w:rPr>
          <w:sz w:val="24"/>
          <w:lang w:val="pl-PL"/>
        </w:rPr>
        <w:t>, s. 148.</w:t>
      </w:r>
    </w:p>
  </w:footnote>
  <w:footnote w:id="2">
    <w:p w14:paraId="4662B793" w14:textId="33E550A8" w:rsidR="002F2E99" w:rsidRPr="0051612F" w:rsidRDefault="002F2E99" w:rsidP="00B35A25">
      <w:pPr>
        <w:pStyle w:val="FootnoteText"/>
        <w:ind w:left="567" w:hanging="567"/>
        <w:rPr>
          <w:sz w:val="24"/>
          <w:lang w:val="fi-FI"/>
        </w:rPr>
      </w:pPr>
      <w:r w:rsidRPr="00B35A25">
        <w:rPr>
          <w:rStyle w:val="FootnoteReference"/>
          <w:sz w:val="24"/>
          <w:lang w:val="pl-PL"/>
        </w:rPr>
        <w:footnoteRef/>
      </w:r>
      <w:r w:rsidR="00B35A25" w:rsidRPr="0051612F">
        <w:rPr>
          <w:sz w:val="24"/>
          <w:lang w:val="fi-FI"/>
        </w:rPr>
        <w:t xml:space="preserve"> </w:t>
      </w:r>
      <w:r w:rsidR="00B35A25" w:rsidRPr="0051612F">
        <w:rPr>
          <w:sz w:val="24"/>
          <w:lang w:val="fi-FI"/>
        </w:rPr>
        <w:tab/>
      </w:r>
      <w:r w:rsidRPr="0051612F">
        <w:rPr>
          <w:sz w:val="24"/>
          <w:lang w:val="fi-FI"/>
        </w:rPr>
        <w:t xml:space="preserve">Dz.U. C, C/2025/3787, 17.9.2025, ELI: </w:t>
      </w:r>
      <w:hyperlink r:id="rId1" w:history="1">
        <w:r w:rsidR="00885CC7" w:rsidRPr="0051612F">
          <w:rPr>
            <w:rStyle w:val="Hyperlink"/>
            <w:sz w:val="24"/>
            <w:lang w:val="fi-FI"/>
          </w:rPr>
          <w:t>http://data.europa.eu/eli/C/2025/3787/oj</w:t>
        </w:r>
      </w:hyperlink>
      <w:r w:rsidRPr="0051612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24C2" w14:textId="77777777" w:rsidR="00064002" w:rsidRPr="00B35A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67054" w14:textId="77777777" w:rsidR="00064002" w:rsidRPr="00B35A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EB46" w14:textId="77777777" w:rsidR="00064002" w:rsidRPr="00B35A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0551769">
    <w:abstractNumId w:val="9"/>
  </w:num>
  <w:num w:numId="2" w16cid:durableId="16468265">
    <w:abstractNumId w:val="9"/>
  </w:num>
  <w:num w:numId="3" w16cid:durableId="1909803935">
    <w:abstractNumId w:val="7"/>
  </w:num>
  <w:num w:numId="4" w16cid:durableId="503665332">
    <w:abstractNumId w:val="7"/>
  </w:num>
  <w:num w:numId="5" w16cid:durableId="1328745182">
    <w:abstractNumId w:val="6"/>
  </w:num>
  <w:num w:numId="6" w16cid:durableId="88015753">
    <w:abstractNumId w:val="6"/>
  </w:num>
  <w:num w:numId="7" w16cid:durableId="1568682662">
    <w:abstractNumId w:val="5"/>
  </w:num>
  <w:num w:numId="8" w16cid:durableId="205217677">
    <w:abstractNumId w:val="5"/>
  </w:num>
  <w:num w:numId="9" w16cid:durableId="155220758">
    <w:abstractNumId w:val="4"/>
  </w:num>
  <w:num w:numId="10" w16cid:durableId="463929869">
    <w:abstractNumId w:val="4"/>
  </w:num>
  <w:num w:numId="11" w16cid:durableId="1870605906">
    <w:abstractNumId w:val="8"/>
  </w:num>
  <w:num w:numId="12" w16cid:durableId="560486775">
    <w:abstractNumId w:val="8"/>
  </w:num>
  <w:num w:numId="13" w16cid:durableId="999231453">
    <w:abstractNumId w:val="3"/>
  </w:num>
  <w:num w:numId="14" w16cid:durableId="311906514">
    <w:abstractNumId w:val="3"/>
  </w:num>
  <w:num w:numId="15" w16cid:durableId="1415127935">
    <w:abstractNumId w:val="2"/>
  </w:num>
  <w:num w:numId="16" w16cid:durableId="1430616868">
    <w:abstractNumId w:val="2"/>
  </w:num>
  <w:num w:numId="17" w16cid:durableId="1131360418">
    <w:abstractNumId w:val="1"/>
  </w:num>
  <w:num w:numId="18" w16cid:durableId="245313100">
    <w:abstractNumId w:val="1"/>
  </w:num>
  <w:num w:numId="19" w16cid:durableId="412050465">
    <w:abstractNumId w:val="0"/>
  </w:num>
  <w:num w:numId="20" w16cid:durableId="1683582842">
    <w:abstractNumId w:val="0"/>
  </w:num>
  <w:num w:numId="21" w16cid:durableId="1155492775">
    <w:abstractNumId w:val="9"/>
  </w:num>
  <w:num w:numId="22" w16cid:durableId="984506414">
    <w:abstractNumId w:val="7"/>
  </w:num>
  <w:num w:numId="23" w16cid:durableId="1188375482">
    <w:abstractNumId w:val="6"/>
  </w:num>
  <w:num w:numId="24" w16cid:durableId="637029266">
    <w:abstractNumId w:val="5"/>
  </w:num>
  <w:num w:numId="25" w16cid:durableId="166486022">
    <w:abstractNumId w:val="4"/>
  </w:num>
  <w:num w:numId="26" w16cid:durableId="1729065566">
    <w:abstractNumId w:val="8"/>
  </w:num>
  <w:num w:numId="27" w16cid:durableId="333413162">
    <w:abstractNumId w:val="3"/>
  </w:num>
  <w:num w:numId="28" w16cid:durableId="1168983019">
    <w:abstractNumId w:val="2"/>
  </w:num>
  <w:num w:numId="29" w16cid:durableId="880676585">
    <w:abstractNumId w:val="1"/>
  </w:num>
  <w:num w:numId="30" w16cid:durableId="825365614">
    <w:abstractNumId w:val="0"/>
  </w:num>
  <w:num w:numId="31" w16cid:durableId="1686207881">
    <w:abstractNumId w:val="9"/>
  </w:num>
  <w:num w:numId="32" w16cid:durableId="865604966">
    <w:abstractNumId w:val="7"/>
  </w:num>
  <w:num w:numId="33" w16cid:durableId="1916671983">
    <w:abstractNumId w:val="6"/>
  </w:num>
  <w:num w:numId="34" w16cid:durableId="1205752427">
    <w:abstractNumId w:val="5"/>
  </w:num>
  <w:num w:numId="35" w16cid:durableId="19943449">
    <w:abstractNumId w:val="4"/>
  </w:num>
  <w:num w:numId="36" w16cid:durableId="155267243">
    <w:abstractNumId w:val="8"/>
  </w:num>
  <w:num w:numId="37" w16cid:durableId="1612588768">
    <w:abstractNumId w:val="3"/>
  </w:num>
  <w:num w:numId="38" w16cid:durableId="395468634">
    <w:abstractNumId w:val="2"/>
  </w:num>
  <w:num w:numId="39" w16cid:durableId="162942337">
    <w:abstractNumId w:val="1"/>
  </w:num>
  <w:num w:numId="40" w16cid:durableId="1608078192">
    <w:abstractNumId w:val="0"/>
  </w:num>
  <w:num w:numId="41" w16cid:durableId="961305114">
    <w:abstractNumId w:val="10"/>
  </w:num>
  <w:num w:numId="42" w16cid:durableId="2017536161">
    <w:abstractNumId w:val="10"/>
  </w:num>
  <w:num w:numId="43" w16cid:durableId="1781417840">
    <w:abstractNumId w:val="10"/>
  </w:num>
  <w:num w:numId="44" w16cid:durableId="233395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PL"/>
    <w:docVar w:name="dvnumam" w:val="0"/>
    <w:docVar w:name="dvpe" w:val="778.283"/>
    <w:docVar w:name="dvrapporteur" w:val="Sprawozdawca: "/>
    <w:docVar w:name="dvstar" w:val="***II"/>
    <w:docVar w:name="dvtitre" w:val="Rezolucja ustawodawcza Parlamentu Europejskiego z dnia  2025 r. w sprawie stanowiska Rady w pierwszym czytaniu z myślą o przyjęciu rozporządzenia Parlamentu Europejskiego i Rady w sprawie statystyk europejskich dotyczących ludności i mieszkań, zmieniającego rozporządzenie (WE) nr 862/2007 oraz uchylającego rozporządzenia (WE) nr 763/2008 i (UE) nr 1260/2013(09858/1/2025 –C10-0230/2025 – 2023/0008(COD))"/>
  </w:docVars>
  <w:rsids>
    <w:rsidRoot w:val="005326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E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12F"/>
    <w:rsid w:val="0053260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CC7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71E"/>
    <w:rsid w:val="00B35A25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6881A"/>
  <w15:chartTrackingRefBased/>
  <w15:docId w15:val="{E74F999C-B598-477C-8940-041A5CA3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2E99"/>
    <w:pPr>
      <w:spacing w:before="480" w:after="240"/>
    </w:pPr>
  </w:style>
  <w:style w:type="paragraph" w:customStyle="1" w:styleId="NormalBold">
    <w:name w:val="NormalBold"/>
    <w:basedOn w:val="Normal"/>
    <w:rsid w:val="002F2E99"/>
    <w:rPr>
      <w:b/>
    </w:rPr>
  </w:style>
  <w:style w:type="paragraph" w:customStyle="1" w:styleId="NormalHanging12a">
    <w:name w:val="NormalHanging12a"/>
    <w:basedOn w:val="Normal"/>
    <w:rsid w:val="002F2E9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85CC7"/>
    <w:rPr>
      <w:sz w:val="24"/>
      <w:lang w:val="pl-PL"/>
    </w:rPr>
  </w:style>
  <w:style w:type="character" w:styleId="Hyperlink">
    <w:name w:val="Hyperlink"/>
    <w:basedOn w:val="DefaultParagraphFont"/>
    <w:rsid w:val="00885C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2025-11-13T10:32:00Z</dcterms:created>
  <dcterms:modified xsi:type="dcterms:W3CDTF">2025-11-13T10:32:00Z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