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238A" w14:paraId="4D159E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D5AAFC" w14:textId="3308887E" w:rsidR="00751A4A" w:rsidRPr="00D7238A" w:rsidRDefault="007E3CD6" w:rsidP="0010095E">
            <w:pPr>
              <w:pStyle w:val="EPName"/>
            </w:pPr>
            <w:r w:rsidRPr="00D7238A">
              <w:t>Европейски</w:t>
            </w:r>
            <w:r w:rsidR="008B69B6" w:rsidRPr="00D7238A">
              <w:t xml:space="preserve"> парламент</w:t>
            </w:r>
          </w:p>
          <w:p w14:paraId="240D5712" w14:textId="0B65EF09" w:rsidR="00751A4A" w:rsidRPr="00D723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238A">
              <w:t>2024</w:t>
            </w:r>
            <w:r w:rsidR="007E3CD6">
              <w:rPr>
                <w:lang w:val="en-GB"/>
              </w:rPr>
              <w:t> </w:t>
            </w:r>
            <w:r w:rsidR="007E3CD6">
              <w:t>– </w:t>
            </w:r>
            <w:r w:rsidR="00817416" w:rsidRPr="00D7238A">
              <w:t>202</w:t>
            </w:r>
            <w:r w:rsidRPr="00D7238A">
              <w:t>9</w:t>
            </w:r>
          </w:p>
        </w:tc>
        <w:tc>
          <w:tcPr>
            <w:tcW w:w="2268" w:type="dxa"/>
            <w:shd w:val="clear" w:color="auto" w:fill="auto"/>
          </w:tcPr>
          <w:p w14:paraId="2ED218FE" w14:textId="77777777" w:rsidR="00751A4A" w:rsidRPr="00D7238A" w:rsidRDefault="00187494" w:rsidP="0010095E">
            <w:pPr>
              <w:pStyle w:val="EPLogo"/>
            </w:pPr>
            <w:r w:rsidRPr="00D7238A">
              <w:rPr>
                <w:noProof/>
                <w:lang w:eastAsia="ja-JP"/>
              </w:rPr>
              <w:drawing>
                <wp:inline distT="0" distB="0" distL="0" distR="0" wp14:anchorId="349D7E42" wp14:editId="190173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77AA07" w14:textId="77777777" w:rsidR="00D058B8" w:rsidRPr="00D7238A" w:rsidRDefault="00D058B8" w:rsidP="004C5D52">
      <w:pPr>
        <w:pStyle w:val="LineTop"/>
      </w:pPr>
    </w:p>
    <w:p w14:paraId="76C2A18F" w14:textId="77777777" w:rsidR="00680577" w:rsidRPr="00D7238A" w:rsidRDefault="008B69B6" w:rsidP="00680577">
      <w:pPr>
        <w:pStyle w:val="EPBodyTA1"/>
      </w:pPr>
      <w:r w:rsidRPr="00D7238A">
        <w:t>ПРИЕТИ ТЕКСТОВЕ</w:t>
      </w:r>
    </w:p>
    <w:p w14:paraId="23BCF50B" w14:textId="77777777" w:rsidR="00D058B8" w:rsidRPr="00D7238A" w:rsidRDefault="00D058B8" w:rsidP="00D058B8">
      <w:pPr>
        <w:pStyle w:val="LineBottom"/>
      </w:pPr>
    </w:p>
    <w:p w14:paraId="231177D9" w14:textId="03970C87" w:rsidR="008B69B6" w:rsidRPr="00D7238A" w:rsidRDefault="008B69B6" w:rsidP="008B69B6">
      <w:pPr>
        <w:pStyle w:val="ATHeading1"/>
      </w:pPr>
      <w:bookmarkStart w:id="0" w:name="TANumber"/>
      <w:r w:rsidRPr="00D7238A">
        <w:t>P10_TA(2025)0</w:t>
      </w:r>
      <w:r w:rsidR="00C378DE">
        <w:rPr>
          <w:lang w:val="en-GB"/>
        </w:rPr>
        <w:t>274</w:t>
      </w:r>
      <w:bookmarkEnd w:id="0"/>
    </w:p>
    <w:p w14:paraId="702F72EE" w14:textId="4C3F565C" w:rsidR="008B69B6" w:rsidRPr="00D7238A" w:rsidRDefault="008B69B6" w:rsidP="008B69B6">
      <w:pPr>
        <w:pStyle w:val="ATHeading2"/>
      </w:pPr>
      <w:bookmarkStart w:id="1" w:name="title"/>
      <w:r w:rsidRPr="00D7238A">
        <w:t>Мобилизиране на фонд „Солидарност“ на Европейския съюз: предоставяне на помощ на Испания и Франция във връзка с природните бедствия през 2024 г. и 2025 г.</w:t>
      </w:r>
      <w:bookmarkEnd w:id="1"/>
    </w:p>
    <w:p w14:paraId="67591004" w14:textId="77777777" w:rsidR="008B69B6" w:rsidRPr="00D7238A" w:rsidRDefault="008B69B6" w:rsidP="008B69B6">
      <w:pPr>
        <w:rPr>
          <w:i/>
          <w:vanish/>
        </w:rPr>
      </w:pPr>
      <w:r w:rsidRPr="00D7238A">
        <w:rPr>
          <w:i/>
        </w:rPr>
        <w:fldChar w:fldCharType="begin"/>
      </w:r>
      <w:r w:rsidRPr="00D7238A">
        <w:rPr>
          <w:i/>
        </w:rPr>
        <w:instrText xml:space="preserve"> TC"(</w:instrText>
      </w:r>
      <w:bookmarkStart w:id="2" w:name="DocNumber"/>
      <w:r w:rsidRPr="00D7238A">
        <w:rPr>
          <w:i/>
        </w:rPr>
        <w:instrText>A10-0215/2025</w:instrText>
      </w:r>
      <w:bookmarkEnd w:id="2"/>
      <w:r w:rsidRPr="00D7238A">
        <w:rPr>
          <w:i/>
        </w:rPr>
        <w:instrText xml:space="preserve"> - Докладчик: Сандра Гомес Лопес)"\l3 \n&gt; \* MERGEFORMAT </w:instrText>
      </w:r>
      <w:r w:rsidRPr="00D7238A">
        <w:rPr>
          <w:i/>
        </w:rPr>
        <w:fldChar w:fldCharType="end"/>
      </w:r>
    </w:p>
    <w:p w14:paraId="5EC85785" w14:textId="77777777" w:rsidR="008B69B6" w:rsidRPr="00D7238A" w:rsidRDefault="008B69B6" w:rsidP="008B69B6">
      <w:pPr>
        <w:rPr>
          <w:vanish/>
        </w:rPr>
      </w:pPr>
      <w:bookmarkStart w:id="3" w:name="Commission"/>
      <w:r w:rsidRPr="00D7238A">
        <w:rPr>
          <w:vanish/>
        </w:rPr>
        <w:t>Комисия по бюджети</w:t>
      </w:r>
      <w:bookmarkEnd w:id="3"/>
    </w:p>
    <w:p w14:paraId="46D28300" w14:textId="77777777" w:rsidR="008B69B6" w:rsidRPr="00D7238A" w:rsidRDefault="008B69B6" w:rsidP="008B69B6">
      <w:pPr>
        <w:rPr>
          <w:vanish/>
        </w:rPr>
      </w:pPr>
      <w:bookmarkStart w:id="4" w:name="PE"/>
      <w:r w:rsidRPr="00D7238A">
        <w:rPr>
          <w:vanish/>
        </w:rPr>
        <w:t>PE778.223</w:t>
      </w:r>
      <w:bookmarkEnd w:id="4"/>
    </w:p>
    <w:p w14:paraId="14F8703E" w14:textId="5930DF8B" w:rsidR="008B69B6" w:rsidRPr="00D7238A" w:rsidRDefault="008B69B6" w:rsidP="008B69B6">
      <w:pPr>
        <w:pStyle w:val="ATHeading3"/>
      </w:pPr>
      <w:bookmarkStart w:id="5" w:name="Sujet"/>
      <w:r w:rsidRPr="00D7238A">
        <w:t xml:space="preserve">Резолюция на Европейския парламент от </w:t>
      </w:r>
      <w:r w:rsidR="00035FDA">
        <w:t>13 ноември</w:t>
      </w:r>
      <w:r w:rsidR="00035FDA" w:rsidRPr="00D7238A">
        <w:t xml:space="preserve"> </w:t>
      </w:r>
      <w:r w:rsidRPr="00D7238A">
        <w:t xml:space="preserve">2025 г. относно предложението за решение на Европейския парламент и на Съвета относно мобилизирането на средства от фонд „Солидарност“ на Европейския съюз с цел предоставяне на помощ на Испания във връзка с наводненията в </w:t>
      </w:r>
      <w:r w:rsidR="003C6A64">
        <w:t xml:space="preserve">испанския </w:t>
      </w:r>
      <w:r w:rsidRPr="00D7238A">
        <w:t xml:space="preserve">регион Валенсия през октомври 2024 г. и </w:t>
      </w:r>
      <w:r w:rsidR="003C6A64">
        <w:t>на</w:t>
      </w:r>
      <w:r w:rsidRPr="00D7238A">
        <w:t xml:space="preserve"> Франция вследствие на щетите, причинени от циклона </w:t>
      </w:r>
      <w:proofErr w:type="spellStart"/>
      <w:r w:rsidRPr="00D7238A">
        <w:t>Чидо</w:t>
      </w:r>
      <w:proofErr w:type="spellEnd"/>
      <w:r w:rsidRPr="00D7238A">
        <w:t xml:space="preserve"> в Майот през декември 2024 г. и от циклона </w:t>
      </w:r>
      <w:proofErr w:type="spellStart"/>
      <w:r w:rsidRPr="00D7238A">
        <w:t>Гаранс</w:t>
      </w:r>
      <w:proofErr w:type="spellEnd"/>
      <w:r w:rsidRPr="00D7238A">
        <w:t xml:space="preserve"> в Реюнион през февруари 2025 г.</w:t>
      </w:r>
      <w:bookmarkEnd w:id="5"/>
      <w:r w:rsidRPr="00D7238A">
        <w:t xml:space="preserve"> </w:t>
      </w:r>
      <w:bookmarkStart w:id="6" w:name="References"/>
      <w:r w:rsidRPr="00D7238A">
        <w:t>(COM(2025)0855 – C10-0239/2025 – 2025/0318(BUD))</w:t>
      </w:r>
      <w:bookmarkEnd w:id="6"/>
    </w:p>
    <w:p w14:paraId="78ECBB2D" w14:textId="77777777" w:rsidR="0090282E" w:rsidRPr="00D7238A" w:rsidRDefault="0090282E" w:rsidP="0090282E">
      <w:pPr>
        <w:pStyle w:val="EPComma"/>
        <w:rPr>
          <w:noProof/>
        </w:rPr>
      </w:pPr>
      <w:r w:rsidRPr="00D7238A">
        <w:rPr>
          <w:i/>
          <w:iCs/>
        </w:rPr>
        <w:t>Европейският парламент</w:t>
      </w:r>
      <w:r w:rsidRPr="00D7238A">
        <w:t>,</w:t>
      </w:r>
    </w:p>
    <w:p w14:paraId="2CD5B319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–</w:t>
      </w:r>
      <w:r w:rsidRPr="00D7238A">
        <w:tab/>
        <w:t>като взе предвид предложението на Комисията до Европейския парламент и до Съвета (COM(2025)0855 – C10</w:t>
      </w:r>
      <w:r w:rsidRPr="00D7238A">
        <w:noBreakHyphen/>
        <w:t>0239/2025),</w:t>
      </w:r>
    </w:p>
    <w:p w14:paraId="1D449954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–</w:t>
      </w:r>
      <w:r w:rsidRPr="00D7238A">
        <w:tab/>
        <w:t>като взе предвид Регламент (ЕО) № 2012/2002 на Съвета от 11 ноември 2002 г. за създаване на фонд „Солидарност“ на Европейския съюз</w:t>
      </w:r>
      <w:r w:rsidRPr="00D7238A">
        <w:rPr>
          <w:noProof/>
          <w:vertAlign w:val="superscript"/>
        </w:rPr>
        <w:footnoteReference w:id="1"/>
      </w:r>
      <w:r w:rsidRPr="00D7238A">
        <w:t>,</w:t>
      </w:r>
    </w:p>
    <w:p w14:paraId="6BBAFDC9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–</w:t>
      </w:r>
      <w:r w:rsidRPr="00D7238A">
        <w:tab/>
        <w:t>като взе предвид Регламент (EC, Евратом) 2020/2093 на Съвета от 17 декември 2020 г. за определяне на многогодишната финансова рамка за годините 2021 — 2027</w:t>
      </w:r>
      <w:r w:rsidRPr="00D7238A">
        <w:rPr>
          <w:noProof/>
          <w:vertAlign w:val="superscript"/>
        </w:rPr>
        <w:footnoteReference w:id="2"/>
      </w:r>
      <w:r w:rsidRPr="00D7238A">
        <w:t>, и по-специално член 9 от него,</w:t>
      </w:r>
    </w:p>
    <w:p w14:paraId="7FA6F2CA" w14:textId="6E48CA18" w:rsidR="0090282E" w:rsidRPr="00D7238A" w:rsidRDefault="0090282E" w:rsidP="0090282E">
      <w:pPr>
        <w:pStyle w:val="NormalHanging12a"/>
        <w:rPr>
          <w:noProof/>
        </w:rPr>
      </w:pPr>
      <w:r w:rsidRPr="00D7238A">
        <w:t>–</w:t>
      </w:r>
      <w:r w:rsidRPr="00D7238A">
        <w:tab/>
        <w:t xml:space="preserve">като взе предвид Междуинституционалното споразумение от 16 декември 2020 г. между Европейския парламент, Съвета </w:t>
      </w:r>
      <w:r w:rsidR="00035FDA">
        <w:t xml:space="preserve">на Европейския съюз </w:t>
      </w:r>
      <w:r w:rsidRPr="00D7238A">
        <w:t xml:space="preserve">и </w:t>
      </w:r>
      <w:r w:rsidR="00035FDA">
        <w:t>Европейската к</w:t>
      </w:r>
      <w:r w:rsidRPr="00D7238A">
        <w:t>омисията относно бюджетната дисциплина, сътрудничеството по бюджетни въпроси и доброто финансово управление и относно новите собствени ресурси, включително пътна карта за въвеждането на нови собствени ресурси</w:t>
      </w:r>
      <w:r w:rsidRPr="00D7238A">
        <w:rPr>
          <w:noProof/>
          <w:vertAlign w:val="superscript"/>
        </w:rPr>
        <w:footnoteReference w:id="3"/>
      </w:r>
      <w:r w:rsidRPr="00D7238A">
        <w:t>, и по-специално точка 10 от него,</w:t>
      </w:r>
    </w:p>
    <w:p w14:paraId="42BD2971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–</w:t>
      </w:r>
      <w:r w:rsidRPr="00D7238A">
        <w:tab/>
        <w:t xml:space="preserve">като взе предвид Регламент (ЕС) 2021/1058 на Европейския парламент и на </w:t>
      </w:r>
      <w:r w:rsidRPr="00D7238A">
        <w:lastRenderedPageBreak/>
        <w:t>Съвета от 24 юни 2021 г. относно Европейския фонд за регионално развитие и относно Кохезионния фонд</w:t>
      </w:r>
      <w:r w:rsidRPr="00D7238A">
        <w:rPr>
          <w:noProof/>
          <w:vertAlign w:val="superscript"/>
        </w:rPr>
        <w:footnoteReference w:id="4"/>
      </w:r>
      <w:r w:rsidRPr="00D7238A">
        <w:t xml:space="preserve">, </w:t>
      </w:r>
    </w:p>
    <w:p w14:paraId="6DEBA9D7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–</w:t>
      </w:r>
      <w:r w:rsidRPr="00D7238A">
        <w:tab/>
        <w:t>като взе предвид Регламент (ЕС) 2021/1057 на Европейския парламент и на Съвета от 24 юни 2021 г. за създаване на Европейския социален фонд плюс (ЕСФ+)</w:t>
      </w:r>
      <w:r w:rsidRPr="00D7238A">
        <w:rPr>
          <w:noProof/>
          <w:vertAlign w:val="superscript"/>
        </w:rPr>
        <w:footnoteReference w:id="5"/>
      </w:r>
      <w:r w:rsidRPr="00D7238A">
        <w:t xml:space="preserve">, </w:t>
      </w:r>
    </w:p>
    <w:p w14:paraId="04DF9C7D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–</w:t>
      </w:r>
      <w:r w:rsidRPr="00D7238A">
        <w:tab/>
        <w:t>като взе предвид Регламент (ЕС) 2021/2115 на Европейския парламент и на Съвета от 2 декември 2021 г.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 1305/2013 и (ЕС) № 1307/2013</w:t>
      </w:r>
      <w:r w:rsidRPr="00D7238A">
        <w:rPr>
          <w:noProof/>
          <w:vertAlign w:val="superscript"/>
        </w:rPr>
        <w:footnoteReference w:id="6"/>
      </w:r>
      <w:r w:rsidRPr="00D7238A">
        <w:t xml:space="preserve">, </w:t>
      </w:r>
    </w:p>
    <w:p w14:paraId="118312CC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–</w:t>
      </w:r>
      <w:r w:rsidRPr="00D7238A">
        <w:tab/>
        <w:t>като взе предвид доклада на комисията по заетост и социални въпроси и комисията по регионално развитие (A10-0031/2024) в рамките на законодателната процедура за приемане на Регламент (ЕС) 2024/3236 на Европейския парламент и на Съвета от 19 декември 2024 г. за изменение на регламенти (ЕС) 2021/1057 и (ЕС) 2021/1058 във връзка с Регионалната спешна подкрепа за реконструкция (RESTORE)</w:t>
      </w:r>
      <w:r w:rsidRPr="00D7238A">
        <w:rPr>
          <w:noProof/>
          <w:vertAlign w:val="superscript"/>
        </w:rPr>
        <w:footnoteReference w:id="7"/>
      </w:r>
      <w:r w:rsidRPr="00D7238A">
        <w:t xml:space="preserve">, и по-специално бюджетната оценка на комисията по бюджети, приложена към този доклад, </w:t>
      </w:r>
    </w:p>
    <w:p w14:paraId="6C74D61A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–</w:t>
      </w:r>
      <w:r w:rsidRPr="00D7238A">
        <w:tab/>
        <w:t>като взе предвид своята резолюция от 7 май 2025 г. относно обновен дългосрочен бюджет на Съюза в един променящ се свят</w:t>
      </w:r>
      <w:r w:rsidRPr="00D7238A">
        <w:rPr>
          <w:noProof/>
          <w:vertAlign w:val="superscript"/>
        </w:rPr>
        <w:footnoteReference w:id="8"/>
      </w:r>
      <w:r w:rsidRPr="00D7238A">
        <w:t xml:space="preserve">, </w:t>
      </w:r>
    </w:p>
    <w:p w14:paraId="594693E9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–</w:t>
      </w:r>
      <w:r w:rsidRPr="00D7238A">
        <w:tab/>
        <w:t>като взе предвид Доклад № 1/2024 на Европейската агенция за околна среда (ЕАОС), озаглавен „</w:t>
      </w:r>
      <w:proofErr w:type="spellStart"/>
      <w:r w:rsidRPr="00D7238A">
        <w:t>European</w:t>
      </w:r>
      <w:proofErr w:type="spellEnd"/>
      <w:r w:rsidRPr="00D7238A">
        <w:t xml:space="preserve"> </w:t>
      </w:r>
      <w:proofErr w:type="spellStart"/>
      <w:r w:rsidRPr="00D7238A">
        <w:t>Climate</w:t>
      </w:r>
      <w:proofErr w:type="spellEnd"/>
      <w:r w:rsidRPr="00D7238A">
        <w:t xml:space="preserve"> </w:t>
      </w:r>
      <w:proofErr w:type="spellStart"/>
      <w:r w:rsidRPr="00D7238A">
        <w:t>Risk</w:t>
      </w:r>
      <w:proofErr w:type="spellEnd"/>
      <w:r w:rsidRPr="00D7238A">
        <w:t xml:space="preserve"> </w:t>
      </w:r>
      <w:proofErr w:type="spellStart"/>
      <w:r w:rsidRPr="00D7238A">
        <w:t>Assessment</w:t>
      </w:r>
      <w:proofErr w:type="spellEnd"/>
      <w:r w:rsidRPr="00D7238A">
        <w:t xml:space="preserve"> (EUCRA)“ (Европейска оценка на риска, свързан с климата (EUCRA))</w:t>
      </w:r>
      <w:r w:rsidRPr="00D7238A">
        <w:rPr>
          <w:noProof/>
          <w:vertAlign w:val="superscript"/>
        </w:rPr>
        <w:footnoteReference w:id="9"/>
      </w:r>
      <w:r w:rsidRPr="00D7238A">
        <w:t>,</w:t>
      </w:r>
    </w:p>
    <w:p w14:paraId="03A54437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–</w:t>
      </w:r>
      <w:r w:rsidRPr="00D7238A">
        <w:tab/>
        <w:t>като взе предвид доклада на комисията по бюджети (A10-0215/2025),</w:t>
      </w:r>
    </w:p>
    <w:p w14:paraId="76369B0A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А.</w:t>
      </w:r>
      <w:r w:rsidRPr="00D7238A">
        <w:tab/>
        <w:t>като има предвид, че между 28 октомври и 4 ноември 2024 г. буря, придружена от проливни дъждове, засегна целия регион на Валенсия в Испания и доведе до тежки наводнения, причинявайки общи преки щети, които Комисията оценява на 18,08 милиарда евро и които засегнаха 845 000 души от 84 общини, 170 учебни заведения, над 50 здравни заведения и публична инфраструктура; като има предвид, че наводненията причиниха най-малко 229 смъртни случая;</w:t>
      </w:r>
    </w:p>
    <w:p w14:paraId="27E6BD27" w14:textId="77777777" w:rsidR="0090282E" w:rsidRPr="00D7238A" w:rsidRDefault="0090282E" w:rsidP="0090282E">
      <w:pPr>
        <w:pStyle w:val="NormalHanging12a"/>
        <w:rPr>
          <w:bCs/>
          <w:iCs/>
          <w:noProof/>
        </w:rPr>
      </w:pPr>
      <w:r w:rsidRPr="00D7238A">
        <w:t>Б.</w:t>
      </w:r>
      <w:r w:rsidRPr="00D7238A">
        <w:tab/>
        <w:t>като има предвид, че огромното въздействие на бурите и наводненията върху икономиката на региона се оценява на 18 милиарда евро, като засегна 63 промишлени зони, 64 000 дружества (99,6% от които са МСП) и 250 000 работници и доведе до 243 388 иска за обезщетение, както се посочва в проучванията, представени от регионалното правителство на Валенсия и Бизнес конфедерацията във Валенсия;</w:t>
      </w:r>
    </w:p>
    <w:p w14:paraId="59F35802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lastRenderedPageBreak/>
        <w:t>В.</w:t>
      </w:r>
      <w:r w:rsidRPr="00D7238A">
        <w:tab/>
        <w:t xml:space="preserve">като има предвид, че на 14 декември 2024 г. окото на циклона, наречен </w:t>
      </w:r>
      <w:proofErr w:type="spellStart"/>
      <w:r w:rsidRPr="00D7238A">
        <w:t>Чидо</w:t>
      </w:r>
      <w:proofErr w:type="spellEnd"/>
      <w:r w:rsidRPr="00D7238A">
        <w:t>, порази остров Майот, Франция, и доведе до пориви на ветровете от над 180 километра в час и обилни валежи, съчетани с високи вълни, причинявайки общи преки щети, които Комисията оценява на 3,6 милиарда евро; като има предвид, че циклонът засегна 337 000 души и причини най-малко 39 смъртни случая; като има предвид, че 200 души все още са в неизвестност;</w:t>
      </w:r>
    </w:p>
    <w:p w14:paraId="67843292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Г.</w:t>
      </w:r>
      <w:r w:rsidRPr="00D7238A">
        <w:tab/>
        <w:t xml:space="preserve">като има предвид, че на 28 февруари 2025 г. циклонът, наречен </w:t>
      </w:r>
      <w:proofErr w:type="spellStart"/>
      <w:r w:rsidRPr="00D7238A">
        <w:t>Гаранс</w:t>
      </w:r>
      <w:proofErr w:type="spellEnd"/>
      <w:r w:rsidRPr="00D7238A">
        <w:t>, порази остров Реюнион, Франция, и доведе до скорост на вятъра до 215 километра в час, проливни дъждове и опасни морски условия, причинявайки общи преки щети, които френските органи оценяват на 849,45 милиона евро главно в електрическата мрежа и комуникационната инфраструктура; като има предвид, че циклонът засегна 160 000 души и причини най-малко 4 смъртни случая;</w:t>
      </w:r>
    </w:p>
    <w:p w14:paraId="5594EFD1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1.</w:t>
      </w:r>
      <w:r w:rsidRPr="00D7238A">
        <w:tab/>
        <w:t>изразява най-дълбока солидарност с всички жертви, техните семейства и всички лица, засегнати от разрушителните наводнения в региона на Валенсия, Испания, и опустошителните циклони в Майот и Реюнион, Франция, както и с националните, регионалните и местните органи, участващи в усилията за оказване на помощ;</w:t>
      </w:r>
    </w:p>
    <w:p w14:paraId="4DC10A87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2.</w:t>
      </w:r>
      <w:r w:rsidRPr="00D7238A">
        <w:tab/>
        <w:t>приветства решението като осезаема и видима форма на солидарността на Съюза с неговите граждани и регионите в засегнатите райони, но отбелязва, че тази солидарност не може да замени пряката отговорност на местните, регионалните и националните органи за предотвратяването и управлението на свързаните с климата природни бедствия;</w:t>
      </w:r>
    </w:p>
    <w:p w14:paraId="01BDC293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3.</w:t>
      </w:r>
      <w:r w:rsidRPr="00D7238A">
        <w:tab/>
        <w:t>отново подчертава значението на осведомяването на обществеността за осезаемите ползи, предоставяни от фонд „Солидарност“ на Европейския съюз (ФСЕС), включително за допълнителното повишаване на информираността на гражданите за инструментите и програмите на Съюза;</w:t>
      </w:r>
    </w:p>
    <w:p w14:paraId="67DE3999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4.</w:t>
      </w:r>
      <w:r w:rsidRPr="00D7238A">
        <w:tab/>
        <w:t xml:space="preserve">подчертава нарастващия брой тежки, разрушителни и причиняващи смърт природни бедствия в Европа и призовава държавите членки и Комисията да увеличат инвестициите в превенция, публична инфраструктура, смекчаване на изменението на климата и адаптиране към него, както и мерки за подготвеност при извънредни ситуации, за да се избегнат загубите на човешки живот и икономическите загуби; призовава държавите членки да вземат предвид, че климатичните рискове и други природни бедствия засягат непропорционално уязвимото население и малките и средните предприятия поради социално-икономически и демографски фактори, както и уязвимите територии, като например най-отдалечените региони; счита, че е от съществено значение да се гарантира високо равнище на демократичен контрол от страна на бюджетния орган над ФСЕС; припомня, че ФСЕС разполага с ограничен бюджет и не може да се счита за единствения инструмент за справяне с големи природни бедствия; поради това призовава за оценка на финансовия капацитет на бюджета на Съюза и за обмисляне на евентуално увеличаване на неговите ресурси, за да се предостави на гражданите помощ, която е съизмерима с мащаба на такива бедствия; отбелязва, че увеличаването на този вид помощ би позволило на държавите членки да реагират по-ефективно и бързо на бедствия, докато други инструменти, и по-специално фондовете на политиката на сближаване, чиято основна цел не е реагирането при бедствия, биха могли да бъдат запазени; </w:t>
      </w:r>
    </w:p>
    <w:p w14:paraId="53548544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5.</w:t>
      </w:r>
      <w:r w:rsidRPr="00D7238A">
        <w:tab/>
        <w:t xml:space="preserve">подчертава, че ФСЕС е само инструмент за облекчаване на последиците и че </w:t>
      </w:r>
      <w:r w:rsidRPr="00D7238A">
        <w:lastRenderedPageBreak/>
        <w:t>Съюзът следва също така да продължи да полага усилия за адаптиране към и смекчаване на изменението на климата, като подкрепя европейските и националните политики за предотвратяване на природни бедствия, както и като подкрепя принципа „да изграждаме отново, но по-добре“ във всички свои действия; подчертава, че в Доклад № 1/2024 на ЕАОС, озаглавен „</w:t>
      </w:r>
      <w:proofErr w:type="spellStart"/>
      <w:r w:rsidRPr="00D7238A">
        <w:t>European</w:t>
      </w:r>
      <w:proofErr w:type="spellEnd"/>
      <w:r w:rsidRPr="00D7238A">
        <w:t xml:space="preserve"> </w:t>
      </w:r>
      <w:proofErr w:type="spellStart"/>
      <w:r w:rsidRPr="00D7238A">
        <w:t>Climate</w:t>
      </w:r>
      <w:proofErr w:type="spellEnd"/>
      <w:r w:rsidRPr="00D7238A">
        <w:t xml:space="preserve"> </w:t>
      </w:r>
      <w:proofErr w:type="spellStart"/>
      <w:r w:rsidRPr="00D7238A">
        <w:t>Risk</w:t>
      </w:r>
      <w:proofErr w:type="spellEnd"/>
      <w:r w:rsidRPr="00D7238A">
        <w:t xml:space="preserve"> </w:t>
      </w:r>
      <w:proofErr w:type="spellStart"/>
      <w:r w:rsidRPr="00D7238A">
        <w:t>Assessment</w:t>
      </w:r>
      <w:proofErr w:type="spellEnd"/>
      <w:r w:rsidRPr="00D7238A">
        <w:t>“ (Европейска оценка на риска, свързан с климата), се предупреждава, че Съюзът не е подготвен за последиците от изменението на климата, и се подчертава необходимостта от действия, за да се избегнат ситуации, при които установените климатични рискове достигат критични равнища; призовава държавите членки и Комисията да предприемат необходимите мерки, за да накарат Съюза да изпълни ангажиментите, поети в Парижкото споразумение; припомня необходимостта от ефективни полезни взаимодействия с други политики и програми на Съюза и подчертава, че държавите членки следва да използват по най-добрия начин възможностите за финансиране, по-специално по линия на Европейския фонд за регионално развитие, Европейския социален фонд плюс и програмите за развитие на селските райони; призовава Комисията да направи оценка с необходимата спешност на всички мотивирани искания от страна на държавите членки за преразпределяне на средства в рамките на националните планове за възстановяване и устойчивост с цел предоставяне на помощ при природни бедствия в съответствие с правилата, определени в Регламент (ЕС) 2021/241 на Европейския парламент и на Съвета</w:t>
      </w:r>
      <w:r w:rsidRPr="00D7238A">
        <w:rPr>
          <w:noProof/>
          <w:vertAlign w:val="superscript"/>
        </w:rPr>
        <w:footnoteReference w:id="10"/>
      </w:r>
      <w:r w:rsidRPr="00D7238A">
        <w:t>, особено като се вземе предвид високият процент на все още неизразходваните ресурси от този механизъм; подчертава също необходимостта от превантивни мерки не само за смекчаване на бъдещите щети, но и за предотвратяване на изострянето на рисковите условия след катастрофични събития, като наводнения, горски пожари, свлачища или пресъхване на езера и реки; освен това подчертава рисковете, които екстремните метеорологични условия и природните бедствия, като например горещите вълни, носят за общественото здраве в цяла Европа, и призовава Комисията да вземе предвид този аспект в съответните политики; насърчава използването на иновативни цифрови инструменти, спътникови данни (например „Коперник“) и системи за ранно предупреждение с цел повишаване на подготвеността при бедствия; подчертава, че е важно да се осигури подходяща гъвкавост между различните програми; подчертава, че помощта, предоставяна по линия на ФСЕС, не следва да бъде за сметка на финансирането от Съюза, получено от държавите членки в рамките на други програми или политики на Съюза; припомня, че държавите членки могат да предоставят държавна помощ в съответствие с приложимите правила на Съюза, по-конкретно за селскостопанските предприятия, които са претърпели щети вследствие на природни бедствия;</w:t>
      </w:r>
    </w:p>
    <w:p w14:paraId="6C8954A5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6.</w:t>
      </w:r>
      <w:r w:rsidRPr="00D7238A">
        <w:tab/>
        <w:t>припомня, че RESTORE</w:t>
      </w:r>
      <w:r w:rsidRPr="00D7238A">
        <w:rPr>
          <w:noProof/>
          <w:vertAlign w:val="superscript"/>
        </w:rPr>
        <w:footnoteReference w:id="11"/>
      </w:r>
      <w:r w:rsidRPr="00D7238A">
        <w:t xml:space="preserve"> и специфичните мерки по линия на Европейския земеделски фонд за развитие на селските райони (ЕЗФРСР)</w:t>
      </w:r>
      <w:r w:rsidRPr="00D7238A">
        <w:rPr>
          <w:noProof/>
          <w:vertAlign w:val="superscript"/>
        </w:rPr>
        <w:footnoteReference w:id="12"/>
      </w:r>
      <w:r w:rsidRPr="00D7238A">
        <w:t xml:space="preserve"> предоставят допълнителна помощ на държавите членки, засегнати от природни бедствия, чрез допълнителни възможности за гъвкавост при използването на средствата; подчертава, че държавите членки следва да се възползват от тези възможности; </w:t>
      </w:r>
    </w:p>
    <w:p w14:paraId="6B814110" w14:textId="77777777" w:rsidR="0090282E" w:rsidRPr="00D7238A" w:rsidRDefault="0090282E" w:rsidP="0090282E">
      <w:pPr>
        <w:pStyle w:val="NormalHanging12a"/>
        <w:rPr>
          <w:bCs/>
          <w:iCs/>
        </w:rPr>
      </w:pPr>
      <w:r w:rsidRPr="00D7238A">
        <w:lastRenderedPageBreak/>
        <w:t>7.</w:t>
      </w:r>
      <w:r w:rsidRPr="00D7238A">
        <w:tab/>
        <w:t xml:space="preserve">изразява съжаление, че времето, необходимо за получаване от </w:t>
      </w:r>
      <w:proofErr w:type="spellStart"/>
      <w:r w:rsidRPr="00D7238A">
        <w:t>бенефициера</w:t>
      </w:r>
      <w:proofErr w:type="spellEnd"/>
      <w:r w:rsidRPr="00D7238A">
        <w:t xml:space="preserve"> на пълния размер на безвъзмездната помощ от ФСЕС, е средно една година; припомня значението на бързата и солидна оценка на щетите, която надлежно отчита икономическите последици, и призовава за по-големи оперативни усилия, за да се намали средното време за отпускане на авансови плащания, като същевременно се осигури защитата на бюджета на Съюза; отбелязва, че методиката за изчисляване на общия размер на помощта би могла да отчита по-добре съотношението между общите преки щети и БНД на засегнатата територия, особено когато са засегнати най-отдалечените региони;</w:t>
      </w:r>
    </w:p>
    <w:p w14:paraId="58A9FE38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8.</w:t>
      </w:r>
      <w:r w:rsidRPr="00D7238A">
        <w:tab/>
        <w:t>подчертава неотложната необходимост от незабавно отпускане на финансова помощ чрез ФСЕС, за да се гарантира, че подкрепата може да достигне своевременно до засегнатите региони с цел да се подпомогне бързото и дълготрайно възстановяване; подчертава, че е важно да се съкрати времето между подаването на заявление за помощ по ФСЕС и решението за финансиране; призовава да се положат усилия, за да се гарантира, че помощта от ФСЕС достига бързо до крайните получатели, включително предприятията, МСП, семействата и засегнатите граждани, както и за възстановяването на инфраструктурата и възстановяването на материалните щети, като всичко това се извършва със съответната оценка на въздействието и подходящи механизми за контрол; подчертава необходимостта от опростяване и ускоряване на вътрешните процедури, без да се подкопава институционалният баланс, в частност правата на Европейския парламент като едно от двете направления на бюджетния орган; отбелязва, че предложеното управление на приемника на Европейския фонд за солидарност след 2027 г. не е в съответствие с позицията на Европейския парламент, изразена в неговата резолюция от 7 май 2025 г. относно обновен дългосрочен бюджет на Съюза в един променящ се свят</w:t>
      </w:r>
      <w:r w:rsidRPr="00D7238A">
        <w:rPr>
          <w:rStyle w:val="FootnoteReference"/>
          <w:bCs/>
          <w:iCs/>
        </w:rPr>
        <w:footnoteReference w:id="13"/>
      </w:r>
      <w:r w:rsidRPr="00D7238A">
        <w:t xml:space="preserve">; </w:t>
      </w:r>
    </w:p>
    <w:p w14:paraId="0C8A8A7B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9.</w:t>
      </w:r>
      <w:r w:rsidRPr="00D7238A">
        <w:tab/>
        <w:t>одобрява приложеното към настоящата резолюция решение;</w:t>
      </w:r>
    </w:p>
    <w:p w14:paraId="39EF45E2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10.</w:t>
      </w:r>
      <w:r w:rsidRPr="00D7238A">
        <w:tab/>
        <w:t xml:space="preserve">възлага на своя председател да подпише настоящото решение заедно с председателя на Съвета и да осигури публикуването му в </w:t>
      </w:r>
      <w:r w:rsidRPr="00D7238A">
        <w:rPr>
          <w:i/>
          <w:iCs/>
        </w:rPr>
        <w:t>Официален вестник на Европейския съюз</w:t>
      </w:r>
      <w:r w:rsidRPr="00D7238A">
        <w:t>;</w:t>
      </w:r>
    </w:p>
    <w:p w14:paraId="2B58C798" w14:textId="77777777" w:rsidR="0090282E" w:rsidRPr="00D7238A" w:rsidRDefault="0090282E" w:rsidP="0090282E">
      <w:pPr>
        <w:pStyle w:val="NormalHanging12a"/>
        <w:rPr>
          <w:noProof/>
        </w:rPr>
      </w:pPr>
      <w:r w:rsidRPr="00D7238A">
        <w:t>11.</w:t>
      </w:r>
      <w:r w:rsidRPr="00D7238A">
        <w:tab/>
        <w:t>възлага на своя председател да предаде настоящата резолюция, включително и приложението към нея, съответно на Съвета и на Комисията.</w:t>
      </w:r>
    </w:p>
    <w:p w14:paraId="4242ADEA" w14:textId="77777777" w:rsidR="0090282E" w:rsidRDefault="0090282E" w:rsidP="0090282E">
      <w:pPr>
        <w:pStyle w:val="PageHeading"/>
        <w:jc w:val="left"/>
        <w:rPr>
          <w:noProof/>
        </w:rPr>
      </w:pPr>
    </w:p>
    <w:p w14:paraId="07EDD98E" w14:textId="77777777" w:rsidR="00035FDA" w:rsidRPr="00D7238A" w:rsidRDefault="00035FDA" w:rsidP="0090282E">
      <w:pPr>
        <w:pStyle w:val="PageHeading"/>
        <w:jc w:val="left"/>
        <w:rPr>
          <w:noProof/>
        </w:rPr>
        <w:sectPr w:rsidR="00035FDA" w:rsidRPr="00D7238A" w:rsidSect="00D7238A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5091472" w14:textId="77777777" w:rsidR="00C73D11" w:rsidRPr="00C73D11" w:rsidRDefault="0090282E" w:rsidP="0090282E">
      <w:pPr>
        <w:pStyle w:val="PageHeading"/>
        <w:rPr>
          <w:rFonts w:ascii="Times New Roman" w:hAnsi="Times New Roman" w:cs="Times New Roman"/>
          <w:lang w:val="en-GB"/>
        </w:rPr>
      </w:pPr>
      <w:bookmarkStart w:id="7" w:name="_Toc213770374"/>
      <w:r w:rsidRPr="00C73D11">
        <w:rPr>
          <w:rFonts w:ascii="Times New Roman" w:hAnsi="Times New Roman" w:cs="Times New Roman"/>
        </w:rPr>
        <w:lastRenderedPageBreak/>
        <w:t>ПРИЛОЖЕНИЕ</w:t>
      </w:r>
    </w:p>
    <w:p w14:paraId="4ABFCD10" w14:textId="724AF2E1" w:rsidR="0090282E" w:rsidRPr="00C73D11" w:rsidRDefault="0090282E" w:rsidP="0090282E">
      <w:pPr>
        <w:pStyle w:val="PageHeading"/>
        <w:rPr>
          <w:rFonts w:ascii="Times New Roman" w:hAnsi="Times New Roman" w:cs="Times New Roman"/>
          <w:noProof/>
        </w:rPr>
      </w:pPr>
      <w:r w:rsidRPr="00C73D11">
        <w:rPr>
          <w:rFonts w:ascii="Times New Roman" w:hAnsi="Times New Roman" w:cs="Times New Roman"/>
        </w:rPr>
        <w:t>РЕШЕНИЕ НА ЕВРОПЕЙСКИЯ ПАРЛАМЕНТ И НА СЪВЕТА</w:t>
      </w:r>
      <w:bookmarkEnd w:id="7"/>
    </w:p>
    <w:p w14:paraId="3B2ACCA8" w14:textId="51503967" w:rsidR="0090282E" w:rsidRPr="00D7238A" w:rsidRDefault="0090282E" w:rsidP="00C73D11">
      <w:pPr>
        <w:pStyle w:val="NormalBold24a"/>
        <w:jc w:val="center"/>
      </w:pPr>
      <w:r w:rsidRPr="00D7238A">
        <w:t xml:space="preserve">относно мобилизирането на средства от фонд „Солидарност“ на Европейския съюз с цел предоставяне на помощ на Испания във връзка с наводненията в </w:t>
      </w:r>
      <w:r w:rsidR="00035FDA">
        <w:t xml:space="preserve">испанския </w:t>
      </w:r>
      <w:r w:rsidRPr="00D7238A">
        <w:t xml:space="preserve">регион Валенсия през октомври 2024 г. и </w:t>
      </w:r>
      <w:r w:rsidR="005D3EA5">
        <w:t>на</w:t>
      </w:r>
      <w:r w:rsidR="005D3EA5" w:rsidRPr="00D7238A">
        <w:t xml:space="preserve"> </w:t>
      </w:r>
      <w:r w:rsidRPr="00D7238A">
        <w:t xml:space="preserve">Франция вследствие на щетите, причинени от циклона </w:t>
      </w:r>
      <w:proofErr w:type="spellStart"/>
      <w:r w:rsidRPr="00D7238A">
        <w:t>Чидо</w:t>
      </w:r>
      <w:proofErr w:type="spellEnd"/>
      <w:r w:rsidRPr="00D7238A">
        <w:t xml:space="preserve"> в Майот през декември 2024 г. и от циклона </w:t>
      </w:r>
      <w:proofErr w:type="spellStart"/>
      <w:r w:rsidRPr="00D7238A">
        <w:t>Гаранс</w:t>
      </w:r>
      <w:proofErr w:type="spellEnd"/>
      <w:r w:rsidRPr="00D7238A">
        <w:t xml:space="preserve"> в Реюнион през февруари 2025 г.</w:t>
      </w:r>
    </w:p>
    <w:p w14:paraId="7B19F59E" w14:textId="5C12D972" w:rsidR="00C73D11" w:rsidRDefault="00C73D11" w:rsidP="00C73D11">
      <w:pPr>
        <w:pStyle w:val="NormalHanging12a"/>
        <w:ind w:left="0" w:firstLine="0"/>
        <w:jc w:val="both"/>
        <w:rPr>
          <w:lang w:val="en-GB"/>
        </w:rPr>
      </w:pPr>
      <w:r w:rsidRPr="0051470D">
        <w:rPr>
          <w:i/>
          <w:szCs w:val="24"/>
          <w:lang w:eastAsia="de-DE"/>
        </w:rPr>
        <w:t xml:space="preserve">(Текстът на това приложение не е възпроизведен тук, </w:t>
      </w:r>
      <w:r w:rsidRPr="00C73D11">
        <w:rPr>
          <w:i/>
          <w:szCs w:val="24"/>
          <w:lang w:eastAsia="de-DE"/>
        </w:rPr>
        <w:t xml:space="preserve">тъй като той съответства на окончателния акт, Решение </w:t>
      </w:r>
      <w:r w:rsidRPr="00C73D11">
        <w:rPr>
          <w:i/>
          <w:szCs w:val="24"/>
          <w:lang w:val="lt-LT" w:eastAsia="de-DE"/>
        </w:rPr>
        <w:t>(</w:t>
      </w:r>
      <w:r w:rsidRPr="00C73D11">
        <w:rPr>
          <w:i/>
          <w:szCs w:val="24"/>
          <w:lang w:eastAsia="de-DE"/>
        </w:rPr>
        <w:t>ЕС</w:t>
      </w:r>
      <w:r w:rsidRPr="00C73D11">
        <w:rPr>
          <w:i/>
          <w:szCs w:val="24"/>
          <w:lang w:val="lt-LT" w:eastAsia="de-DE"/>
        </w:rPr>
        <w:t xml:space="preserve">) </w:t>
      </w:r>
      <w:r w:rsidRPr="00C73D11">
        <w:rPr>
          <w:i/>
          <w:iCs/>
          <w:szCs w:val="24"/>
          <w:lang w:val="lt-LT"/>
        </w:rPr>
        <w:t>2025/2403</w:t>
      </w:r>
      <w:r w:rsidRPr="00C73D11">
        <w:rPr>
          <w:i/>
          <w:szCs w:val="24"/>
          <w:lang w:eastAsia="de-DE"/>
        </w:rPr>
        <w:t>.)</w:t>
      </w:r>
    </w:p>
    <w:sectPr w:rsidR="00C73D11" w:rsidSect="00D723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0D625" w14:textId="77777777" w:rsidR="008B69B6" w:rsidRPr="00D7238A" w:rsidRDefault="008B69B6">
      <w:r w:rsidRPr="00D7238A">
        <w:separator/>
      </w:r>
    </w:p>
  </w:endnote>
  <w:endnote w:type="continuationSeparator" w:id="0">
    <w:p w14:paraId="6E9690E7" w14:textId="77777777" w:rsidR="008B69B6" w:rsidRPr="00D7238A" w:rsidRDefault="008B69B6">
      <w:r w:rsidRPr="00D723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D0F5E" w14:textId="77777777" w:rsidR="0090282E" w:rsidRPr="00D7238A" w:rsidRDefault="0090282E" w:rsidP="000F1768">
    <w:pPr>
      <w:pStyle w:val="EPFooter"/>
    </w:pPr>
    <w:r w:rsidRPr="00D7238A">
      <w:t>PE</w:t>
    </w:r>
    <w:r w:rsidRPr="00D7238A">
      <w:rPr>
        <w:rStyle w:val="HideTWBExt"/>
      </w:rPr>
      <w:t>&lt;NoPE&gt;</w:t>
    </w:r>
    <w:r w:rsidRPr="00D7238A">
      <w:t>778.223</w:t>
    </w:r>
    <w:r w:rsidRPr="00D7238A">
      <w:rPr>
        <w:rStyle w:val="HideTWBExt"/>
      </w:rPr>
      <w:t>&lt;/NoPE&gt;&lt;Version&gt;</w:t>
    </w:r>
    <w:r w:rsidRPr="00D7238A">
      <w:t>v02-00</w:t>
    </w:r>
    <w:r w:rsidRPr="00D7238A">
      <w:rPr>
        <w:rStyle w:val="HideTWBExt"/>
      </w:rPr>
      <w:t>&lt;/Version&gt;</w:t>
    </w:r>
    <w:r w:rsidRPr="00D7238A">
      <w:tab/>
    </w:r>
    <w:r w:rsidRPr="00D7238A">
      <w:fldChar w:fldCharType="begin"/>
    </w:r>
    <w:r w:rsidRPr="00D7238A">
      <w:instrText xml:space="preserve"> PAGE  \* MERGEFORMAT </w:instrText>
    </w:r>
    <w:r w:rsidRPr="00D7238A">
      <w:fldChar w:fldCharType="separate"/>
    </w:r>
    <w:r w:rsidRPr="00D7238A">
      <w:rPr>
        <w:noProof/>
      </w:rPr>
      <w:t>1</w:t>
    </w:r>
    <w:r w:rsidRPr="00D7238A">
      <w:fldChar w:fldCharType="end"/>
    </w:r>
    <w:r w:rsidRPr="00D7238A">
      <w:t>/</w:t>
    </w:r>
    <w:fldSimple w:instr=" NUMPAGES  \* MERGEFORMAT ">
      <w:r w:rsidRPr="00D7238A">
        <w:rPr>
          <w:noProof/>
        </w:rPr>
        <w:t>1</w:t>
      </w:r>
    </w:fldSimple>
    <w:r w:rsidRPr="00D7238A">
      <w:tab/>
    </w:r>
    <w:r w:rsidRPr="00D7238A">
      <w:rPr>
        <w:rStyle w:val="HideTWBExt"/>
      </w:rPr>
      <w:t>&lt;PathFdR&gt;</w:t>
    </w:r>
    <w:r w:rsidRPr="00D7238A">
      <w:t>RR\1331466BG.docx</w:t>
    </w:r>
    <w:r w:rsidRPr="00D7238A">
      <w:rPr>
        <w:rStyle w:val="HideTWBExt"/>
      </w:rPr>
      <w:t>&lt;/PathFdR&gt;</w:t>
    </w:r>
  </w:p>
  <w:p w14:paraId="472327F2" w14:textId="77777777" w:rsidR="0090282E" w:rsidRPr="00D7238A" w:rsidRDefault="0090282E" w:rsidP="000F1768">
    <w:pPr>
      <w:pStyle w:val="EPFooter2"/>
    </w:pPr>
    <w:r w:rsidRPr="00D7238A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55408" w14:textId="77777777" w:rsidR="0090282E" w:rsidRPr="00D7238A" w:rsidRDefault="0090282E" w:rsidP="000F1768">
    <w:pPr>
      <w:pStyle w:val="EPFooter"/>
    </w:pPr>
    <w:r w:rsidRPr="00D7238A">
      <w:rPr>
        <w:rStyle w:val="HideTWBExt"/>
      </w:rPr>
      <w:t>&lt;PathFdR&gt;</w:t>
    </w:r>
    <w:r w:rsidRPr="00D7238A">
      <w:t>RR\1331466BG.docx</w:t>
    </w:r>
    <w:r w:rsidRPr="00D7238A">
      <w:rPr>
        <w:rStyle w:val="HideTWBExt"/>
      </w:rPr>
      <w:t>&lt;/PathFdR&gt;</w:t>
    </w:r>
    <w:r w:rsidRPr="00D7238A">
      <w:tab/>
    </w:r>
    <w:r w:rsidRPr="00D7238A">
      <w:tab/>
      <w:t>PE</w:t>
    </w:r>
    <w:r w:rsidRPr="00D7238A">
      <w:rPr>
        <w:rStyle w:val="HideTWBExt"/>
      </w:rPr>
      <w:t>&lt;NoPE&gt;</w:t>
    </w:r>
    <w:r w:rsidRPr="00D7238A">
      <w:t>778.223</w:t>
    </w:r>
    <w:r w:rsidRPr="00D7238A">
      <w:rPr>
        <w:rStyle w:val="HideTWBExt"/>
      </w:rPr>
      <w:t>&lt;/NoPE&gt;&lt;Version&gt;</w:t>
    </w:r>
    <w:r w:rsidRPr="00D7238A">
      <w:t>v02-00</w:t>
    </w:r>
    <w:r w:rsidRPr="00D7238A">
      <w:rPr>
        <w:rStyle w:val="HideTWBExt"/>
      </w:rPr>
      <w:t>&lt;/Version&gt;</w:t>
    </w:r>
  </w:p>
  <w:p w14:paraId="2FB59458" w14:textId="77777777" w:rsidR="0090282E" w:rsidRPr="00D7238A" w:rsidRDefault="0090282E" w:rsidP="000F1768">
    <w:pPr>
      <w:pStyle w:val="EPFooter2"/>
    </w:pPr>
    <w:r w:rsidRPr="00D7238A">
      <w:t>BG</w:t>
    </w:r>
    <w:r w:rsidRPr="00D7238A">
      <w:tab/>
    </w:r>
    <w:r w:rsidRPr="00D7238A">
      <w:rPr>
        <w:b w:val="0"/>
        <w:i/>
        <w:color w:val="C0C0C0"/>
        <w:sz w:val="22"/>
      </w:rPr>
      <w:t>Единство в многообразието</w:t>
    </w:r>
    <w:r w:rsidRPr="00D7238A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6E697" w14:textId="77777777" w:rsidR="00064002" w:rsidRPr="00D7238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3AAC9" w14:textId="77777777" w:rsidR="00064002" w:rsidRPr="00D7238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D1885" w14:textId="77777777" w:rsidR="00064002" w:rsidRPr="00D723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596B3" w14:textId="77777777" w:rsidR="008B69B6" w:rsidRPr="00D7238A" w:rsidRDefault="008B69B6">
      <w:r w:rsidRPr="00D7238A">
        <w:separator/>
      </w:r>
    </w:p>
  </w:footnote>
  <w:footnote w:type="continuationSeparator" w:id="0">
    <w:p w14:paraId="02E37442" w14:textId="77777777" w:rsidR="008B69B6" w:rsidRPr="00D7238A" w:rsidRDefault="008B69B6">
      <w:r w:rsidRPr="00D7238A">
        <w:continuationSeparator/>
      </w:r>
    </w:p>
  </w:footnote>
  <w:footnote w:id="1">
    <w:p w14:paraId="3AC83664" w14:textId="67803DF1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r w:rsidRPr="00D7238A">
        <w:rPr>
          <w:sz w:val="24"/>
          <w:lang w:val="bg-BG"/>
        </w:rPr>
        <w:t xml:space="preserve">OВ L 311, 14.11.2002 г., стр. 3, ELI: </w:t>
      </w:r>
      <w:hyperlink r:id="rId1" w:history="1">
        <w:r w:rsidRPr="00D7238A">
          <w:rPr>
            <w:rStyle w:val="Hyperlink"/>
            <w:sz w:val="24"/>
            <w:lang w:val="bg-BG"/>
          </w:rPr>
          <w:t>http://data.europa.eu/eli/reg/2002/2012/oj</w:t>
        </w:r>
      </w:hyperlink>
      <w:r w:rsidRPr="00D7238A">
        <w:rPr>
          <w:sz w:val="24"/>
          <w:lang w:val="bg-BG"/>
        </w:rPr>
        <w:t>.</w:t>
      </w:r>
    </w:p>
  </w:footnote>
  <w:footnote w:id="2">
    <w:p w14:paraId="2DDB72AC" w14:textId="37EEA3F8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r w:rsidRPr="00D7238A">
        <w:rPr>
          <w:sz w:val="24"/>
          <w:lang w:val="bg-BG"/>
        </w:rPr>
        <w:t xml:space="preserve">ОВ L 433 I, 22.12.2020 г., стр. 11, ELI: </w:t>
      </w:r>
      <w:hyperlink r:id="rId2" w:history="1">
        <w:r w:rsidRPr="00D7238A">
          <w:rPr>
            <w:rStyle w:val="Hyperlink"/>
            <w:sz w:val="24"/>
            <w:lang w:val="bg-BG"/>
          </w:rPr>
          <w:t>http://data.europa.eu/eli/reg/2020/2093/oj</w:t>
        </w:r>
      </w:hyperlink>
      <w:r w:rsidRPr="00D7238A">
        <w:rPr>
          <w:sz w:val="24"/>
          <w:lang w:val="bg-BG"/>
        </w:rPr>
        <w:t>.</w:t>
      </w:r>
    </w:p>
  </w:footnote>
  <w:footnote w:id="3">
    <w:p w14:paraId="56CAE9E1" w14:textId="1EF2CF74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r w:rsidRPr="00D7238A">
        <w:rPr>
          <w:sz w:val="24"/>
          <w:lang w:val="bg-BG"/>
        </w:rPr>
        <w:t xml:space="preserve">OВ L 433 I, 22.12.2020 г., стр. 28, ELI: </w:t>
      </w:r>
      <w:hyperlink r:id="rId3" w:history="1">
        <w:r w:rsidRPr="00D7238A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D7238A">
        <w:rPr>
          <w:sz w:val="24"/>
          <w:lang w:val="bg-BG"/>
        </w:rPr>
        <w:t>.</w:t>
      </w:r>
    </w:p>
  </w:footnote>
  <w:footnote w:id="4">
    <w:p w14:paraId="417B3BD3" w14:textId="713F522C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r w:rsidRPr="00D7238A">
        <w:rPr>
          <w:sz w:val="24"/>
          <w:lang w:val="bg-BG"/>
        </w:rPr>
        <w:t xml:space="preserve">OВ L 231, 30.6.2021 г., стр. 60, ELI: </w:t>
      </w:r>
      <w:hyperlink r:id="rId4" w:history="1">
        <w:r w:rsidRPr="00D7238A">
          <w:rPr>
            <w:rStyle w:val="Hyperlink"/>
            <w:sz w:val="24"/>
            <w:lang w:val="bg-BG"/>
          </w:rPr>
          <w:t>http://data.europa.eu/eli/reg/2021/1058/oj</w:t>
        </w:r>
      </w:hyperlink>
      <w:r w:rsidRPr="00D7238A">
        <w:rPr>
          <w:sz w:val="24"/>
          <w:lang w:val="bg-BG"/>
        </w:rPr>
        <w:t>.</w:t>
      </w:r>
    </w:p>
  </w:footnote>
  <w:footnote w:id="5">
    <w:p w14:paraId="2FB2D463" w14:textId="325139C5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r w:rsidRPr="00D7238A">
        <w:rPr>
          <w:sz w:val="24"/>
          <w:lang w:val="bg-BG"/>
        </w:rPr>
        <w:t xml:space="preserve">OВ L 231, 30.6.2021 г., стр. 21, ELI: </w:t>
      </w:r>
      <w:hyperlink r:id="rId5" w:history="1">
        <w:r w:rsidRPr="00D7238A">
          <w:rPr>
            <w:rStyle w:val="Hyperlink"/>
            <w:sz w:val="24"/>
            <w:lang w:val="bg-BG"/>
          </w:rPr>
          <w:t>http://data.europa.eu/eli/reg/2021/1057/oj</w:t>
        </w:r>
      </w:hyperlink>
      <w:r w:rsidRPr="00D7238A">
        <w:rPr>
          <w:sz w:val="24"/>
          <w:lang w:val="bg-BG"/>
        </w:rPr>
        <w:t>.</w:t>
      </w:r>
    </w:p>
  </w:footnote>
  <w:footnote w:id="6">
    <w:p w14:paraId="7A8A9F6C" w14:textId="404DEFCB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r w:rsidRPr="00D7238A">
        <w:rPr>
          <w:sz w:val="24"/>
          <w:lang w:val="bg-BG"/>
        </w:rPr>
        <w:t xml:space="preserve">OВ L 435, 6.12.2021 г., стр. 1, ELI: </w:t>
      </w:r>
      <w:hyperlink r:id="rId6" w:history="1">
        <w:r w:rsidRPr="00D7238A">
          <w:rPr>
            <w:rStyle w:val="Hyperlink"/>
            <w:sz w:val="24"/>
            <w:lang w:val="bg-BG"/>
          </w:rPr>
          <w:t>http://data.europa.eu/eli/reg/2021/2115/oj</w:t>
        </w:r>
      </w:hyperlink>
      <w:r w:rsidRPr="00D7238A">
        <w:rPr>
          <w:sz w:val="24"/>
          <w:lang w:val="bg-BG"/>
        </w:rPr>
        <w:t xml:space="preserve"> </w:t>
      </w:r>
    </w:p>
  </w:footnote>
  <w:footnote w:id="7">
    <w:p w14:paraId="3312DAAF" w14:textId="3EBFB886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r w:rsidRPr="00D7238A">
        <w:rPr>
          <w:sz w:val="24"/>
          <w:lang w:val="bg-BG"/>
        </w:rPr>
        <w:t>Приети текстове, P10_TA(2024)0059.</w:t>
      </w:r>
    </w:p>
  </w:footnote>
  <w:footnote w:id="8">
    <w:p w14:paraId="755C4D81" w14:textId="72A218C7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r w:rsidRPr="00D7238A">
        <w:rPr>
          <w:sz w:val="24"/>
          <w:lang w:val="bg-BG"/>
        </w:rPr>
        <w:t>Приети текстове, P10_TA(2025)0090.</w:t>
      </w:r>
    </w:p>
  </w:footnote>
  <w:footnote w:id="9">
    <w:p w14:paraId="71163736" w14:textId="66396586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hyperlink r:id="rId7" w:history="1">
        <w:r w:rsidRPr="00D7238A">
          <w:rPr>
            <w:rStyle w:val="Hyperlink"/>
            <w:sz w:val="24"/>
            <w:lang w:val="bg-BG"/>
          </w:rPr>
          <w:t>https://www.eea.europa.eu/publications/european-climate-risk-assessment</w:t>
        </w:r>
      </w:hyperlink>
      <w:r w:rsidRPr="00D7238A">
        <w:rPr>
          <w:sz w:val="24"/>
          <w:lang w:val="bg-BG"/>
        </w:rPr>
        <w:t xml:space="preserve"> </w:t>
      </w:r>
    </w:p>
  </w:footnote>
  <w:footnote w:id="10">
    <w:p w14:paraId="7C50FB70" w14:textId="5B6AB0AE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r w:rsidRPr="00D7238A">
        <w:rPr>
          <w:sz w:val="24"/>
          <w:lang w:val="bg-BG"/>
        </w:rPr>
        <w:t xml:space="preserve">Регламент (ЕС) 2021/241 на Европейския парламент и на Съвета от 12 февруари 2021 г. за създаване на Механизъм за възстановяване и устойчивост (ОВ L 57, 18.2.2021 г., стр. 17), </w:t>
      </w:r>
      <w:r w:rsidRPr="00D7238A">
        <w:rPr>
          <w:color w:val="333333"/>
          <w:sz w:val="24"/>
          <w:shd w:val="clear" w:color="auto" w:fill="FFFFFF"/>
          <w:lang w:val="bg-BG"/>
        </w:rPr>
        <w:t>ELI: </w:t>
      </w:r>
      <w:hyperlink r:id="rId8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D7238A">
          <w:rPr>
            <w:rStyle w:val="Hyperlink"/>
            <w:color w:val="23527C"/>
            <w:sz w:val="24"/>
            <w:shd w:val="clear" w:color="auto" w:fill="FFFFFF"/>
            <w:lang w:val="bg-BG"/>
          </w:rPr>
          <w:t>http://data.europa.eu/eli/reg/2021/241/oj</w:t>
        </w:r>
      </w:hyperlink>
      <w:r w:rsidRPr="00D7238A">
        <w:rPr>
          <w:sz w:val="24"/>
          <w:lang w:val="bg-BG"/>
        </w:rPr>
        <w:t>).</w:t>
      </w:r>
    </w:p>
  </w:footnote>
  <w:footnote w:id="11">
    <w:p w14:paraId="49CAFC63" w14:textId="1B3D2014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r w:rsidRPr="00D7238A">
        <w:rPr>
          <w:sz w:val="24"/>
          <w:lang w:val="bg-BG"/>
        </w:rPr>
        <w:t xml:space="preserve">OВ L, 2024/3236, 23.12.2024 г., ELI: </w:t>
      </w:r>
      <w:hyperlink r:id="rId9" w:history="1">
        <w:r w:rsidRPr="00D7238A">
          <w:rPr>
            <w:rStyle w:val="Hyperlink"/>
            <w:sz w:val="24"/>
            <w:shd w:val="clear" w:color="auto" w:fill="FFFFFF"/>
            <w:lang w:val="bg-BG"/>
          </w:rPr>
          <w:t>http://data.europa.eu/eli/reg/2024/3236/oj</w:t>
        </w:r>
      </w:hyperlink>
      <w:r w:rsidRPr="00D7238A">
        <w:rPr>
          <w:sz w:val="24"/>
          <w:lang w:val="bg-BG"/>
        </w:rPr>
        <w:t xml:space="preserve">. </w:t>
      </w:r>
    </w:p>
  </w:footnote>
  <w:footnote w:id="12">
    <w:p w14:paraId="0B412FD2" w14:textId="2776F9BE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r w:rsidRPr="00D7238A">
        <w:rPr>
          <w:sz w:val="24"/>
          <w:lang w:val="bg-BG"/>
        </w:rPr>
        <w:t xml:space="preserve">OВ L, 2024/3242, 23.12.2024 г., ELI: </w:t>
      </w:r>
      <w:hyperlink r:id="rId10" w:history="1">
        <w:r w:rsidRPr="00D7238A">
          <w:rPr>
            <w:rStyle w:val="Hyperlink"/>
            <w:sz w:val="24"/>
            <w:shd w:val="clear" w:color="auto" w:fill="FFFFFF"/>
            <w:lang w:val="bg-BG"/>
          </w:rPr>
          <w:t>http://data.europa.eu/eli/reg/2024/3242/oj</w:t>
        </w:r>
      </w:hyperlink>
      <w:r w:rsidRPr="00D7238A">
        <w:rPr>
          <w:sz w:val="24"/>
          <w:lang w:val="bg-BG"/>
        </w:rPr>
        <w:t xml:space="preserve">. </w:t>
      </w:r>
    </w:p>
  </w:footnote>
  <w:footnote w:id="13">
    <w:p w14:paraId="5ED43433" w14:textId="2FE11168" w:rsidR="0090282E" w:rsidRPr="00D7238A" w:rsidRDefault="0090282E" w:rsidP="00D7238A">
      <w:pPr>
        <w:pStyle w:val="FootnoteText"/>
        <w:ind w:left="567" w:hanging="567"/>
        <w:rPr>
          <w:sz w:val="24"/>
          <w:lang w:val="bg-BG"/>
        </w:rPr>
      </w:pPr>
      <w:r w:rsidRPr="00D7238A">
        <w:rPr>
          <w:rStyle w:val="FootnoteReference"/>
          <w:sz w:val="24"/>
          <w:lang w:val="bg-BG"/>
        </w:rPr>
        <w:footnoteRef/>
      </w:r>
      <w:r w:rsidR="00D7238A" w:rsidRPr="00D7238A">
        <w:rPr>
          <w:sz w:val="24"/>
          <w:lang w:val="bg-BG"/>
        </w:rPr>
        <w:t xml:space="preserve"> </w:t>
      </w:r>
      <w:r w:rsidR="00D7238A" w:rsidRPr="00D7238A">
        <w:rPr>
          <w:sz w:val="24"/>
          <w:lang w:val="bg-BG"/>
        </w:rPr>
        <w:tab/>
      </w:r>
      <w:r w:rsidRPr="00D7238A">
        <w:rPr>
          <w:sz w:val="24"/>
          <w:lang w:val="bg-BG"/>
        </w:rPr>
        <w:t>Приети текстове, P10_TA(2025)0090.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3CAC0" w14:textId="77777777" w:rsidR="00064002" w:rsidRPr="00D723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27576" w14:textId="77777777" w:rsidR="00064002" w:rsidRPr="00D723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326B" w14:textId="77777777" w:rsidR="00064002" w:rsidRPr="00D723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3766801">
    <w:abstractNumId w:val="9"/>
  </w:num>
  <w:num w:numId="2" w16cid:durableId="1305235510">
    <w:abstractNumId w:val="9"/>
  </w:num>
  <w:num w:numId="3" w16cid:durableId="1516923554">
    <w:abstractNumId w:val="7"/>
  </w:num>
  <w:num w:numId="4" w16cid:durableId="968635187">
    <w:abstractNumId w:val="7"/>
  </w:num>
  <w:num w:numId="5" w16cid:durableId="496848811">
    <w:abstractNumId w:val="6"/>
  </w:num>
  <w:num w:numId="6" w16cid:durableId="904880690">
    <w:abstractNumId w:val="6"/>
  </w:num>
  <w:num w:numId="7" w16cid:durableId="243035510">
    <w:abstractNumId w:val="5"/>
  </w:num>
  <w:num w:numId="8" w16cid:durableId="155461755">
    <w:abstractNumId w:val="5"/>
  </w:num>
  <w:num w:numId="9" w16cid:durableId="953679950">
    <w:abstractNumId w:val="4"/>
  </w:num>
  <w:num w:numId="10" w16cid:durableId="271866682">
    <w:abstractNumId w:val="4"/>
  </w:num>
  <w:num w:numId="11" w16cid:durableId="1451708242">
    <w:abstractNumId w:val="8"/>
  </w:num>
  <w:num w:numId="12" w16cid:durableId="1855142542">
    <w:abstractNumId w:val="8"/>
  </w:num>
  <w:num w:numId="13" w16cid:durableId="486409217">
    <w:abstractNumId w:val="3"/>
  </w:num>
  <w:num w:numId="14" w16cid:durableId="351031886">
    <w:abstractNumId w:val="3"/>
  </w:num>
  <w:num w:numId="15" w16cid:durableId="655571577">
    <w:abstractNumId w:val="2"/>
  </w:num>
  <w:num w:numId="16" w16cid:durableId="2142914194">
    <w:abstractNumId w:val="2"/>
  </w:num>
  <w:num w:numId="17" w16cid:durableId="1504006970">
    <w:abstractNumId w:val="1"/>
  </w:num>
  <w:num w:numId="18" w16cid:durableId="95173437">
    <w:abstractNumId w:val="1"/>
  </w:num>
  <w:num w:numId="19" w16cid:durableId="747924955">
    <w:abstractNumId w:val="0"/>
  </w:num>
  <w:num w:numId="20" w16cid:durableId="986713337">
    <w:abstractNumId w:val="0"/>
  </w:num>
  <w:num w:numId="21" w16cid:durableId="17243437">
    <w:abstractNumId w:val="9"/>
  </w:num>
  <w:num w:numId="22" w16cid:durableId="1663702311">
    <w:abstractNumId w:val="7"/>
  </w:num>
  <w:num w:numId="23" w16cid:durableId="1715078257">
    <w:abstractNumId w:val="6"/>
  </w:num>
  <w:num w:numId="24" w16cid:durableId="1739131413">
    <w:abstractNumId w:val="5"/>
  </w:num>
  <w:num w:numId="25" w16cid:durableId="1053622426">
    <w:abstractNumId w:val="4"/>
  </w:num>
  <w:num w:numId="26" w16cid:durableId="1819568126">
    <w:abstractNumId w:val="8"/>
  </w:num>
  <w:num w:numId="27" w16cid:durableId="1116145242">
    <w:abstractNumId w:val="3"/>
  </w:num>
  <w:num w:numId="28" w16cid:durableId="112871354">
    <w:abstractNumId w:val="2"/>
  </w:num>
  <w:num w:numId="29" w16cid:durableId="1040129232">
    <w:abstractNumId w:val="1"/>
  </w:num>
  <w:num w:numId="30" w16cid:durableId="1707832699">
    <w:abstractNumId w:val="0"/>
  </w:num>
  <w:num w:numId="31" w16cid:durableId="2058772241">
    <w:abstractNumId w:val="9"/>
  </w:num>
  <w:num w:numId="32" w16cid:durableId="1693146170">
    <w:abstractNumId w:val="7"/>
  </w:num>
  <w:num w:numId="33" w16cid:durableId="1780448605">
    <w:abstractNumId w:val="6"/>
  </w:num>
  <w:num w:numId="34" w16cid:durableId="107820816">
    <w:abstractNumId w:val="5"/>
  </w:num>
  <w:num w:numId="35" w16cid:durableId="311176938">
    <w:abstractNumId w:val="4"/>
  </w:num>
  <w:num w:numId="36" w16cid:durableId="1367214559">
    <w:abstractNumId w:val="8"/>
  </w:num>
  <w:num w:numId="37" w16cid:durableId="689068504">
    <w:abstractNumId w:val="3"/>
  </w:num>
  <w:num w:numId="38" w16cid:durableId="754132161">
    <w:abstractNumId w:val="2"/>
  </w:num>
  <w:num w:numId="39" w16cid:durableId="1481730607">
    <w:abstractNumId w:val="1"/>
  </w:num>
  <w:num w:numId="40" w16cid:durableId="1520121989">
    <w:abstractNumId w:val="0"/>
  </w:num>
  <w:num w:numId="41" w16cid:durableId="928074832">
    <w:abstractNumId w:val="10"/>
  </w:num>
  <w:num w:numId="42" w16cid:durableId="1341811530">
    <w:abstractNumId w:val="10"/>
  </w:num>
  <w:num w:numId="43" w16cid:durableId="1498232408">
    <w:abstractNumId w:val="10"/>
  </w:num>
  <w:num w:numId="44" w16cid:durableId="5553544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5/2025"/>
    <w:docVar w:name="dvlangue" w:val="BG"/>
    <w:docVar w:name="dvnumam" w:val="0"/>
    <w:docVar w:name="dvpe" w:val="778.223"/>
    <w:docVar w:name="dvrapporteur" w:val="Докладчик: "/>
    <w:docVar w:name="dvtitre" w:val="Резолюция на Европейския парламент от ... 2025 г. относно предложението за решение на Европейския парламент и на Съвета относно мобилизирането на средства от фонд „Солидарност“ на Европейския съюз с цел предоставяне на помощ на Испания във връзка с наводненията в региона на Валенсия, Испания през октомври 2024 г. и във Франция вследствие на щетите, причинени от циклона Чидо в Майот през декември 2024 г. и от циклона Гаранс в Реюнион през февруари 2025 г.(COM(2025)0855 – C10-0239/2025 – 2025/0318(BUD))"/>
  </w:docVars>
  <w:rsids>
    <w:rsidRoot w:val="008B69B6"/>
    <w:rsid w:val="00002272"/>
    <w:rsid w:val="00035FDA"/>
    <w:rsid w:val="00045A78"/>
    <w:rsid w:val="00064002"/>
    <w:rsid w:val="000677B9"/>
    <w:rsid w:val="000831BA"/>
    <w:rsid w:val="000A42CC"/>
    <w:rsid w:val="000E7DD9"/>
    <w:rsid w:val="0010095E"/>
    <w:rsid w:val="00112912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6A6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EA5"/>
    <w:rsid w:val="005F1B17"/>
    <w:rsid w:val="006037C0"/>
    <w:rsid w:val="00656AF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A39"/>
    <w:rsid w:val="00786EC0"/>
    <w:rsid w:val="007D1690"/>
    <w:rsid w:val="007E22AD"/>
    <w:rsid w:val="007E3CD6"/>
    <w:rsid w:val="00817416"/>
    <w:rsid w:val="00842779"/>
    <w:rsid w:val="0085008B"/>
    <w:rsid w:val="00865F67"/>
    <w:rsid w:val="00881A7B"/>
    <w:rsid w:val="008840E5"/>
    <w:rsid w:val="00887B3E"/>
    <w:rsid w:val="008B69B6"/>
    <w:rsid w:val="008C2AC6"/>
    <w:rsid w:val="0090282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1E8"/>
    <w:rsid w:val="00B558F0"/>
    <w:rsid w:val="00BD48FE"/>
    <w:rsid w:val="00BD7BD8"/>
    <w:rsid w:val="00BE6ADC"/>
    <w:rsid w:val="00BF0BE3"/>
    <w:rsid w:val="00C05BFE"/>
    <w:rsid w:val="00C23CD4"/>
    <w:rsid w:val="00C378DE"/>
    <w:rsid w:val="00C61C0C"/>
    <w:rsid w:val="00C65A78"/>
    <w:rsid w:val="00C73D11"/>
    <w:rsid w:val="00C941CB"/>
    <w:rsid w:val="00CC2357"/>
    <w:rsid w:val="00CF071A"/>
    <w:rsid w:val="00D058B8"/>
    <w:rsid w:val="00D56C11"/>
    <w:rsid w:val="00D7238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5FA28"/>
  <w15:chartTrackingRefBased/>
  <w15:docId w15:val="{058603EE-563F-4E73-A455-0FFEA2C1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0282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90282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90282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028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0282E"/>
    <w:rPr>
      <w:sz w:val="24"/>
      <w:lang w:val="bg-BG"/>
    </w:rPr>
  </w:style>
  <w:style w:type="paragraph" w:customStyle="1" w:styleId="NormalBold24a">
    <w:name w:val="NormalBold24a"/>
    <w:basedOn w:val="Normal"/>
    <w:rsid w:val="0090282E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90282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0282E"/>
    <w:pPr>
      <w:spacing w:before="480" w:after="240"/>
    </w:pPr>
  </w:style>
  <w:style w:type="character" w:styleId="Hyperlink">
    <w:name w:val="Hyperlink"/>
    <w:basedOn w:val="DefaultParagraphFont"/>
    <w:uiPriority w:val="99"/>
    <w:rsid w:val="0090282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35FDA"/>
    <w:rPr>
      <w:sz w:val="24"/>
      <w:lang w:val="bg-BG"/>
    </w:rPr>
  </w:style>
  <w:style w:type="character" w:styleId="CommentReference">
    <w:name w:val="annotation reference"/>
    <w:basedOn w:val="DefaultParagraphFont"/>
    <w:rsid w:val="005D3E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3E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3EA5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5D3E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3EA5"/>
    <w:rPr>
      <w:b/>
      <w:bCs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5D3E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241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s://www.eea.europa.eu/publications/european-climate-risk-assessment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4/3242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3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1960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2026-01-08T15:47:00Z</dcterms:created>
  <dcterms:modified xsi:type="dcterms:W3CDTF">2026-01-08T15:47:00Z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P10_TA(2025)0274_</vt:lpwstr>
  </property>
  <property fmtid="{D5CDD505-2E9C-101B-9397-08002B2CF9AE}" pid="4" name="&lt;Type&gt;">
    <vt:lpwstr>RR</vt:lpwstr>
  </property>
</Properties>
</file>