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3FE6" w14:paraId="71DEA716" w14:textId="77777777" w:rsidTr="0010095E">
        <w:trPr>
          <w:trHeight w:hRule="exact" w:val="1418"/>
        </w:trPr>
        <w:tc>
          <w:tcPr>
            <w:tcW w:w="6804" w:type="dxa"/>
            <w:shd w:val="clear" w:color="auto" w:fill="auto"/>
            <w:vAlign w:val="center"/>
          </w:tcPr>
          <w:p w14:paraId="1DC9A5D1" w14:textId="77777777" w:rsidR="00751A4A" w:rsidRPr="00D93FE6" w:rsidRDefault="00E13E9A" w:rsidP="0010095E">
            <w:pPr>
              <w:pStyle w:val="EPName"/>
            </w:pPr>
            <w:r w:rsidRPr="00D93FE6">
              <w:t>Europa-Parlamentet</w:t>
            </w:r>
          </w:p>
          <w:p w14:paraId="5BEB12F3" w14:textId="77777777" w:rsidR="00751A4A" w:rsidRPr="00D93FE6" w:rsidRDefault="005F1B17" w:rsidP="005F1B17">
            <w:pPr>
              <w:pStyle w:val="EPTerm"/>
              <w:rPr>
                <w:rStyle w:val="HideTWBExt"/>
                <w:noProof w:val="0"/>
                <w:vanish w:val="0"/>
                <w:color w:val="auto"/>
              </w:rPr>
            </w:pPr>
            <w:r w:rsidRPr="00D93FE6">
              <w:t>2024</w:t>
            </w:r>
            <w:r w:rsidR="00817416" w:rsidRPr="00D93FE6">
              <w:t>-202</w:t>
            </w:r>
            <w:r w:rsidRPr="00D93FE6">
              <w:t>9</w:t>
            </w:r>
          </w:p>
        </w:tc>
        <w:tc>
          <w:tcPr>
            <w:tcW w:w="2268" w:type="dxa"/>
            <w:shd w:val="clear" w:color="auto" w:fill="auto"/>
          </w:tcPr>
          <w:p w14:paraId="6442CDD1" w14:textId="77777777" w:rsidR="00751A4A" w:rsidRPr="00D93FE6" w:rsidRDefault="00187494" w:rsidP="0010095E">
            <w:pPr>
              <w:pStyle w:val="EPLogo"/>
            </w:pPr>
            <w:r w:rsidRPr="00D93FE6">
              <w:rPr>
                <w:noProof/>
                <w:lang w:eastAsia="ja-JP"/>
              </w:rPr>
              <w:drawing>
                <wp:inline distT="0" distB="0" distL="0" distR="0" wp14:anchorId="02D1A392" wp14:editId="3F7CBD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BCE0DF" w14:textId="77777777" w:rsidR="00D058B8" w:rsidRPr="00D93FE6" w:rsidRDefault="00D058B8" w:rsidP="004C5D52">
      <w:pPr>
        <w:pStyle w:val="LineTop"/>
      </w:pPr>
    </w:p>
    <w:p w14:paraId="3A0B7173" w14:textId="77777777" w:rsidR="00680577" w:rsidRPr="00D93FE6" w:rsidRDefault="00E13E9A" w:rsidP="00680577">
      <w:pPr>
        <w:pStyle w:val="EPBodyTA1"/>
      </w:pPr>
      <w:r w:rsidRPr="00D93FE6">
        <w:t>VEDTAGNE TEKSTER</w:t>
      </w:r>
    </w:p>
    <w:p w14:paraId="640C2995" w14:textId="77777777" w:rsidR="00D058B8" w:rsidRPr="00D93FE6" w:rsidRDefault="00D058B8" w:rsidP="00D058B8">
      <w:pPr>
        <w:pStyle w:val="LineBottom"/>
      </w:pPr>
    </w:p>
    <w:p w14:paraId="41A42D0B" w14:textId="1255A73B" w:rsidR="00E13E9A" w:rsidRPr="00D93FE6" w:rsidRDefault="00E13E9A" w:rsidP="00E13E9A">
      <w:pPr>
        <w:pStyle w:val="ATHeading1"/>
      </w:pPr>
      <w:bookmarkStart w:id="0" w:name="TANumber"/>
      <w:r w:rsidRPr="00D93FE6">
        <w:t>P10_</w:t>
      </w:r>
      <w:proofErr w:type="gramStart"/>
      <w:r w:rsidRPr="00D93FE6">
        <w:t>TA(</w:t>
      </w:r>
      <w:proofErr w:type="gramEnd"/>
      <w:r w:rsidRPr="00D93FE6">
        <w:t>2025)0</w:t>
      </w:r>
      <w:bookmarkEnd w:id="0"/>
      <w:r w:rsidR="001C1467">
        <w:t>274</w:t>
      </w:r>
    </w:p>
    <w:p w14:paraId="5260D8C2" w14:textId="22CD9F6A" w:rsidR="00E13E9A" w:rsidRPr="00D93FE6" w:rsidRDefault="00B02F48" w:rsidP="00B02F48">
      <w:pPr>
        <w:pStyle w:val="ATHeading2"/>
      </w:pPr>
      <w:r w:rsidRPr="002E3704">
        <w:rPr>
          <w:bCs/>
        </w:rPr>
        <w:t>Anvendelse af Den Europæiske Unions Solidaritetsfond: bistand til Spanien og Frankrig i forbindelse</w:t>
      </w:r>
      <w:r>
        <w:rPr>
          <w:bCs/>
        </w:rPr>
        <w:t xml:space="preserve"> </w:t>
      </w:r>
      <w:r w:rsidRPr="002E3704">
        <w:rPr>
          <w:bCs/>
        </w:rPr>
        <w:t>med naturkatastrofer i 2024 og 2025</w:t>
      </w:r>
    </w:p>
    <w:p w14:paraId="68687B8B" w14:textId="77777777" w:rsidR="00E13E9A" w:rsidRPr="00D93FE6" w:rsidRDefault="00E13E9A" w:rsidP="00E13E9A">
      <w:pPr>
        <w:rPr>
          <w:i/>
          <w:vanish/>
        </w:rPr>
      </w:pPr>
      <w:r w:rsidRPr="00D93FE6">
        <w:rPr>
          <w:i/>
        </w:rPr>
        <w:fldChar w:fldCharType="begin"/>
      </w:r>
      <w:r w:rsidRPr="00D93FE6">
        <w:rPr>
          <w:i/>
        </w:rPr>
        <w:instrText xml:space="preserve"> TC"(</w:instrText>
      </w:r>
      <w:bookmarkStart w:id="1" w:name="DocNumber"/>
      <w:r w:rsidRPr="00D93FE6">
        <w:rPr>
          <w:i/>
        </w:rPr>
        <w:instrText>A10-0215/2025</w:instrText>
      </w:r>
      <w:bookmarkEnd w:id="1"/>
      <w:r w:rsidRPr="00D93FE6">
        <w:rPr>
          <w:i/>
        </w:rPr>
        <w:instrText xml:space="preserve"> - Ordfører: Sandra Gómez López)"\l3 \n&gt; \* MERGEFORMAT </w:instrText>
      </w:r>
      <w:r w:rsidRPr="00D93FE6">
        <w:rPr>
          <w:i/>
        </w:rPr>
        <w:fldChar w:fldCharType="end"/>
      </w:r>
    </w:p>
    <w:p w14:paraId="0B586103" w14:textId="77777777" w:rsidR="00E13E9A" w:rsidRPr="00D93FE6" w:rsidRDefault="00E13E9A" w:rsidP="00E13E9A">
      <w:pPr>
        <w:rPr>
          <w:vanish/>
        </w:rPr>
      </w:pPr>
      <w:bookmarkStart w:id="2" w:name="Commission"/>
      <w:r w:rsidRPr="00D93FE6">
        <w:rPr>
          <w:vanish/>
        </w:rPr>
        <w:t>Budgetudvalget</w:t>
      </w:r>
      <w:bookmarkEnd w:id="2"/>
    </w:p>
    <w:p w14:paraId="588E5793" w14:textId="77777777" w:rsidR="00E13E9A" w:rsidRPr="00D93FE6" w:rsidRDefault="00E13E9A" w:rsidP="00E13E9A">
      <w:pPr>
        <w:rPr>
          <w:vanish/>
        </w:rPr>
      </w:pPr>
      <w:bookmarkStart w:id="3" w:name="PE"/>
      <w:r w:rsidRPr="00D93FE6">
        <w:rPr>
          <w:vanish/>
        </w:rPr>
        <w:t>PE778.223</w:t>
      </w:r>
      <w:bookmarkEnd w:id="3"/>
    </w:p>
    <w:p w14:paraId="67C2980A" w14:textId="5AAC713F" w:rsidR="00E13E9A" w:rsidRPr="00D93FE6" w:rsidRDefault="00E13E9A" w:rsidP="00E13E9A">
      <w:pPr>
        <w:pStyle w:val="ATHeading3"/>
      </w:pPr>
      <w:bookmarkStart w:id="4" w:name="Sujet"/>
      <w:r w:rsidRPr="00D93FE6">
        <w:t xml:space="preserve">Europa-Parlamentets beslutning af </w:t>
      </w:r>
      <w:r w:rsidR="00B02F48">
        <w:t>13. november</w:t>
      </w:r>
      <w:r w:rsidRPr="00D93FE6">
        <w:t xml:space="preserve"> 2025 om forslag til Europa-Parlamentets og Rådets afgørelse om anvendelse af Den Europæiske Unions Solidaritetsfond med henblik på at yde bistand til Spanien i forbindelse med oversvømmelserne i regionen Valencia i Spanien i oktober 2024 og Frankrig efter skader forårsaget af cyklonen </w:t>
      </w:r>
      <w:proofErr w:type="spellStart"/>
      <w:r w:rsidRPr="00D93FE6">
        <w:t>Chido</w:t>
      </w:r>
      <w:proofErr w:type="spellEnd"/>
      <w:r w:rsidRPr="00D93FE6">
        <w:t xml:space="preserve">, som ramte </w:t>
      </w:r>
      <w:proofErr w:type="spellStart"/>
      <w:r w:rsidRPr="00D93FE6">
        <w:t>Mayotte</w:t>
      </w:r>
      <w:proofErr w:type="spellEnd"/>
      <w:r w:rsidRPr="00D93FE6">
        <w:t xml:space="preserve"> i december 2024, og cyklonen Garance, som ramte </w:t>
      </w:r>
      <w:proofErr w:type="spellStart"/>
      <w:r w:rsidRPr="00D93FE6">
        <w:t>Réunion</w:t>
      </w:r>
      <w:proofErr w:type="spellEnd"/>
      <w:r w:rsidRPr="00D93FE6">
        <w:t xml:space="preserve"> i februar 2025</w:t>
      </w:r>
      <w:bookmarkEnd w:id="4"/>
      <w:r w:rsidRPr="00D93FE6">
        <w:t xml:space="preserve"> </w:t>
      </w:r>
      <w:bookmarkStart w:id="5" w:name="References"/>
      <w:r w:rsidRPr="00D93FE6">
        <w:t>(</w:t>
      </w:r>
      <w:proofErr w:type="gramStart"/>
      <w:r w:rsidRPr="00D93FE6">
        <w:t>COM(</w:t>
      </w:r>
      <w:proofErr w:type="gramEnd"/>
      <w:r w:rsidRPr="00D93FE6">
        <w:t>2025)0855 – C10-0239/2025 – 2025/0318(BUD))</w:t>
      </w:r>
      <w:bookmarkEnd w:id="5"/>
    </w:p>
    <w:p w14:paraId="0D50CC47" w14:textId="77777777" w:rsidR="006B0642" w:rsidRPr="00D93FE6" w:rsidRDefault="006B0642" w:rsidP="006B0642">
      <w:pPr>
        <w:pStyle w:val="EPComma"/>
      </w:pPr>
      <w:r w:rsidRPr="00D93FE6">
        <w:rPr>
          <w:i/>
        </w:rPr>
        <w:t>Europa-Parlamentet,</w:t>
      </w:r>
    </w:p>
    <w:p w14:paraId="6FB9651B" w14:textId="77777777" w:rsidR="006B0642" w:rsidRPr="00D93FE6" w:rsidRDefault="006B0642" w:rsidP="006B0642">
      <w:pPr>
        <w:pStyle w:val="NormalHanging12a"/>
      </w:pPr>
      <w:r w:rsidRPr="00D93FE6">
        <w:t>–</w:t>
      </w:r>
      <w:r w:rsidRPr="00D93FE6">
        <w:tab/>
        <w:t>der henviser til Kommissionens forslag til Europa-Parlamentet og Rådet (</w:t>
      </w:r>
      <w:proofErr w:type="gramStart"/>
      <w:r w:rsidRPr="00D93FE6">
        <w:t>COM(</w:t>
      </w:r>
      <w:proofErr w:type="gramEnd"/>
      <w:r w:rsidRPr="00D93FE6">
        <w:t>2025)0855 – C10</w:t>
      </w:r>
      <w:r w:rsidRPr="00D93FE6">
        <w:noBreakHyphen/>
        <w:t>0239/2025),</w:t>
      </w:r>
    </w:p>
    <w:p w14:paraId="3668A82F" w14:textId="77777777" w:rsidR="006B0642" w:rsidRPr="00D93FE6" w:rsidRDefault="006B0642" w:rsidP="006B0642">
      <w:pPr>
        <w:pStyle w:val="NormalHanging12a"/>
      </w:pPr>
      <w:r w:rsidRPr="00D93FE6">
        <w:t>–</w:t>
      </w:r>
      <w:r w:rsidRPr="00D93FE6">
        <w:tab/>
        <w:t>der henviser til Rådets forordning (EF) nr. 2012/2002 af 11. november 2002 om oprettelse af Den Europæiske Unions Solidaritetsfond</w:t>
      </w:r>
      <w:r w:rsidRPr="00D93FE6">
        <w:rPr>
          <w:vertAlign w:val="superscript"/>
        </w:rPr>
        <w:footnoteReference w:id="1"/>
      </w:r>
      <w:r w:rsidRPr="00D93FE6">
        <w:t>,</w:t>
      </w:r>
    </w:p>
    <w:p w14:paraId="6808D1C9" w14:textId="77777777" w:rsidR="006B0642" w:rsidRPr="00D93FE6" w:rsidRDefault="006B0642" w:rsidP="006B0642">
      <w:pPr>
        <w:pStyle w:val="NormalHanging12a"/>
      </w:pPr>
      <w:r w:rsidRPr="00D93FE6">
        <w:t>–</w:t>
      </w:r>
      <w:r w:rsidRPr="00D93FE6">
        <w:tab/>
        <w:t xml:space="preserve">der henviser til Rådets forordning (EU, </w:t>
      </w:r>
      <w:proofErr w:type="spellStart"/>
      <w:r w:rsidRPr="00D93FE6">
        <w:t>Euratom</w:t>
      </w:r>
      <w:proofErr w:type="spellEnd"/>
      <w:r w:rsidRPr="00D93FE6">
        <w:t>) 2020/2093 af 17. december 2020 om fastlæggelse af den flerårige finansielle ramme for årene 2021-2027</w:t>
      </w:r>
      <w:r w:rsidRPr="00D93FE6">
        <w:rPr>
          <w:vertAlign w:val="superscript"/>
        </w:rPr>
        <w:footnoteReference w:id="2"/>
      </w:r>
      <w:r w:rsidRPr="00D93FE6">
        <w:t>, særlig artikel 9,</w:t>
      </w:r>
    </w:p>
    <w:p w14:paraId="35650D7F" w14:textId="77777777" w:rsidR="006B0642" w:rsidRPr="00D93FE6" w:rsidRDefault="006B0642" w:rsidP="006B0642">
      <w:pPr>
        <w:pStyle w:val="NormalHanging12a"/>
      </w:pPr>
      <w:r w:rsidRPr="00D93FE6">
        <w:t>–</w:t>
      </w:r>
      <w:r w:rsidRPr="00D93FE6">
        <w:tab/>
        <w:t xml:space="preserve">der henviser til den </w:t>
      </w:r>
      <w:proofErr w:type="spellStart"/>
      <w:r w:rsidRPr="00D93FE6">
        <w:t>interinstitutionelle</w:t>
      </w:r>
      <w:proofErr w:type="spellEnd"/>
      <w:r w:rsidRPr="00D93FE6">
        <w:t xml:space="preserve"> aftale af 16. december 2020 mellem Europa</w:t>
      </w:r>
      <w:r w:rsidRPr="00D93FE6">
        <w:noBreakHyphen/>
        <w:t>Parlamentet, Rådet og Kommissionen om budgetdisciplin, om samarbejde på budgetområdet og om forsvarlig økonomisk forvaltning samt om nye egne indtægter, herunder en køreplan hen imod indførelse af nye egne indtægter</w:t>
      </w:r>
      <w:r w:rsidRPr="00D93FE6">
        <w:rPr>
          <w:vertAlign w:val="superscript"/>
        </w:rPr>
        <w:footnoteReference w:id="3"/>
      </w:r>
      <w:r w:rsidRPr="00D93FE6">
        <w:t>, særlig punkt 10,</w:t>
      </w:r>
    </w:p>
    <w:p w14:paraId="00C3962F" w14:textId="77777777" w:rsidR="006B0642" w:rsidRPr="00D93FE6" w:rsidRDefault="006B0642" w:rsidP="006B0642">
      <w:pPr>
        <w:pStyle w:val="NormalHanging12a"/>
      </w:pPr>
      <w:r w:rsidRPr="00D93FE6">
        <w:t>–</w:t>
      </w:r>
      <w:r w:rsidRPr="00D93FE6">
        <w:tab/>
        <w:t>der henviser til Europa-Parlamentets og Rådets forordning (EU) 2021/1058 af 24. juni 2021 om Den Europæiske Fond for Regionaludvikling og Samhørighedsfonden</w:t>
      </w:r>
      <w:r w:rsidRPr="00D93FE6">
        <w:rPr>
          <w:vertAlign w:val="superscript"/>
        </w:rPr>
        <w:footnoteReference w:id="4"/>
      </w:r>
      <w:r w:rsidRPr="00D93FE6">
        <w:t xml:space="preserve">, </w:t>
      </w:r>
    </w:p>
    <w:p w14:paraId="6A6542C4" w14:textId="77777777" w:rsidR="006B0642" w:rsidRPr="00D93FE6" w:rsidRDefault="006B0642" w:rsidP="006B0642">
      <w:pPr>
        <w:pStyle w:val="NormalHanging12a"/>
      </w:pPr>
      <w:r w:rsidRPr="00D93FE6">
        <w:t>–</w:t>
      </w:r>
      <w:r w:rsidRPr="00D93FE6">
        <w:tab/>
        <w:t xml:space="preserve">der henviser til Europa-Parlamentets og Rådets forordning (EU) 2021/1057 af 24. juni </w:t>
      </w:r>
      <w:r w:rsidRPr="00D93FE6">
        <w:lastRenderedPageBreak/>
        <w:t>2021 om oprettelse af Den Europæiske Socialfond Plus (ESF+)</w:t>
      </w:r>
      <w:r w:rsidRPr="00D93FE6">
        <w:rPr>
          <w:vertAlign w:val="superscript"/>
        </w:rPr>
        <w:footnoteReference w:id="5"/>
      </w:r>
      <w:r w:rsidRPr="00D93FE6">
        <w:t xml:space="preserve">, </w:t>
      </w:r>
    </w:p>
    <w:p w14:paraId="49BF5429" w14:textId="77777777" w:rsidR="006B0642" w:rsidRPr="00D93FE6" w:rsidRDefault="006B0642" w:rsidP="006B0642">
      <w:pPr>
        <w:pStyle w:val="NormalHanging12a"/>
      </w:pPr>
      <w:r w:rsidRPr="00D93FE6">
        <w:t>–</w:t>
      </w:r>
      <w:r w:rsidRPr="00D93FE6">
        <w:tab/>
        <w:t>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w:t>
      </w:r>
      <w:r w:rsidRPr="00D93FE6">
        <w:rPr>
          <w:vertAlign w:val="superscript"/>
        </w:rPr>
        <w:footnoteReference w:id="6"/>
      </w:r>
      <w:r w:rsidRPr="00D93FE6">
        <w:t xml:space="preserve">, </w:t>
      </w:r>
    </w:p>
    <w:p w14:paraId="4C0C90F8" w14:textId="77777777" w:rsidR="006B0642" w:rsidRPr="00D93FE6" w:rsidRDefault="006B0642" w:rsidP="006B0642">
      <w:pPr>
        <w:pStyle w:val="NormalHanging12a"/>
      </w:pPr>
      <w:r w:rsidRPr="00D93FE6">
        <w:t>–</w:t>
      </w:r>
      <w:r w:rsidRPr="00D93FE6">
        <w:tab/>
        <w:t>der henviser til betænkning fra Udvalget om Beskæftigelse og Sociale Anliggender og Regionaludviklingsudvalget (A10-0031/2024) inden for rammerne af lovgivningsproceduren med henblik på vedtagelse af Europa-Parlamentets og Rådets forordning (EU) 2024/3236 af 19. december 2024 om ændring af forordning (EU) 2021/1057 og (EU) 2021/1058 for så vidt angår regional nødhjælp til genopbygning (RESTORE)</w:t>
      </w:r>
      <w:r w:rsidRPr="00D93FE6">
        <w:rPr>
          <w:vertAlign w:val="superscript"/>
        </w:rPr>
        <w:footnoteReference w:id="7"/>
      </w:r>
      <w:r w:rsidRPr="00D93FE6">
        <w:t xml:space="preserve">, og navnlig Budgetudvalgets budgetmæssige vurdering, der er vedlagt denne betænkning, </w:t>
      </w:r>
    </w:p>
    <w:p w14:paraId="19225F66" w14:textId="77777777" w:rsidR="006B0642" w:rsidRPr="00D93FE6" w:rsidRDefault="006B0642" w:rsidP="006B0642">
      <w:pPr>
        <w:pStyle w:val="NormalHanging12a"/>
      </w:pPr>
      <w:r w:rsidRPr="00D93FE6">
        <w:t>–</w:t>
      </w:r>
      <w:r w:rsidRPr="00D93FE6">
        <w:tab/>
        <w:t>der henviser til sin beslutning af 7. maj 2025 om et fornyet langsigtet budget for Unionen i en verden i forandring</w:t>
      </w:r>
      <w:r w:rsidRPr="00D93FE6">
        <w:rPr>
          <w:vertAlign w:val="superscript"/>
        </w:rPr>
        <w:footnoteReference w:id="8"/>
      </w:r>
      <w:r w:rsidRPr="00D93FE6">
        <w:t xml:space="preserve">, </w:t>
      </w:r>
    </w:p>
    <w:p w14:paraId="56B295B5" w14:textId="77777777" w:rsidR="006B0642" w:rsidRPr="00D93FE6" w:rsidRDefault="006B0642" w:rsidP="006B0642">
      <w:pPr>
        <w:pStyle w:val="NormalHanging12a"/>
      </w:pPr>
      <w:r w:rsidRPr="00D93FE6">
        <w:t>–</w:t>
      </w:r>
      <w:r w:rsidRPr="00D93FE6">
        <w:tab/>
        <w:t>der henviser til Det Europæiske Miljøagenturs rapport nr. 1/2024 – Europæisk klimarisikovurdering (EUCRA)</w:t>
      </w:r>
      <w:r w:rsidRPr="00D93FE6">
        <w:rPr>
          <w:vertAlign w:val="superscript"/>
        </w:rPr>
        <w:footnoteReference w:id="9"/>
      </w:r>
      <w:r w:rsidRPr="00D93FE6">
        <w:t>,</w:t>
      </w:r>
    </w:p>
    <w:p w14:paraId="1C262FCD" w14:textId="77777777" w:rsidR="006B0642" w:rsidRPr="00D93FE6" w:rsidRDefault="006B0642" w:rsidP="006B0642">
      <w:pPr>
        <w:pStyle w:val="NormalHanging12a"/>
      </w:pPr>
      <w:r w:rsidRPr="00D93FE6">
        <w:t>–</w:t>
      </w:r>
      <w:r w:rsidRPr="00D93FE6">
        <w:tab/>
        <w:t>der henviser til betænkning fra Budgetudvalget (A10-0215/2025),</w:t>
      </w:r>
    </w:p>
    <w:p w14:paraId="0004864C" w14:textId="77777777" w:rsidR="006B0642" w:rsidRPr="00D93FE6" w:rsidRDefault="006B0642" w:rsidP="006B0642">
      <w:pPr>
        <w:pStyle w:val="NormalHanging12a"/>
      </w:pPr>
      <w:r w:rsidRPr="00D93FE6">
        <w:t>A.</w:t>
      </w:r>
      <w:r w:rsidRPr="00D93FE6">
        <w:tab/>
        <w:t>der henviser til, at hele regionen Valencia i Spanien mellem den 28. oktober og den 4. november 2024 blev ramt af en storm, der medførte kraftig regn og førte til alvorlige oversvømmelser, som resulterede i samlede direkte skader, som Kommissionen har anslået til 18,08 mia. EUR, og som berørte 845 000 mennesker fra 84 kommuner, 170 uddannelsesinstitutioner, over 50 sundhedsinstitutioner og offentlig infrastruktur; der henviser til, at oversvømmelserne forårsagede mindst 229 dødsfald;</w:t>
      </w:r>
    </w:p>
    <w:p w14:paraId="48A0B546" w14:textId="77777777" w:rsidR="006B0642" w:rsidRPr="00D93FE6" w:rsidRDefault="006B0642" w:rsidP="006B0642">
      <w:pPr>
        <w:pStyle w:val="NormalHanging12a"/>
        <w:rPr>
          <w:bCs/>
          <w:iCs/>
        </w:rPr>
      </w:pPr>
      <w:r w:rsidRPr="00D93FE6">
        <w:t>B.</w:t>
      </w:r>
      <w:r w:rsidRPr="00D93FE6">
        <w:tab/>
        <w:t>der henviser til, at skønnet over stormenes og oversvømmelsernes enorme indvirkning på regionernes økonomi er på 18 mia. EUR, at de har berørt 63 industriområder, 64 000 virksomheder (hvoraf 99,6 % er SMV'er) og 250 000 arbejdstagere og har givet anledning til 243 388 erstatningskrav, som det fremgår af de undersøgelser, der er fremlagt af Valencias regionalregering og Valencias erhvervssammenslutning;</w:t>
      </w:r>
    </w:p>
    <w:p w14:paraId="585729F4" w14:textId="77777777" w:rsidR="006B0642" w:rsidRPr="00D93FE6" w:rsidRDefault="006B0642" w:rsidP="006B0642">
      <w:pPr>
        <w:pStyle w:val="NormalHanging12a"/>
      </w:pPr>
      <w:r w:rsidRPr="00D93FE6">
        <w:t>C.</w:t>
      </w:r>
      <w:r w:rsidRPr="00D93FE6">
        <w:tab/>
        <w:t xml:space="preserve">der henviser til, at cyklonen </w:t>
      </w:r>
      <w:proofErr w:type="spellStart"/>
      <w:r w:rsidRPr="00D93FE6">
        <w:t>Chidos</w:t>
      </w:r>
      <w:proofErr w:type="spellEnd"/>
      <w:r w:rsidRPr="00D93FE6">
        <w:t xml:space="preserve"> øje den 14. december 2024 ramte øen </w:t>
      </w:r>
      <w:proofErr w:type="spellStart"/>
      <w:r w:rsidRPr="00D93FE6">
        <w:t>Mayotte</w:t>
      </w:r>
      <w:proofErr w:type="spellEnd"/>
      <w:r w:rsidRPr="00D93FE6">
        <w:t>, Frankrig, og førte til vindstød på over 180 km i timen og kraftig nedbør kombineret med høje bølgehøjder, hvilket resulterede i samlede direkte skader, som Kommissionen har anslået til 3,6 mia. EUR; der henviser til, at cyklonen berørte 337 000 mennesker og forårsagede mindst 39 dødsfald; der henviser til, at 200 mennesker stadig er savnet;</w:t>
      </w:r>
    </w:p>
    <w:p w14:paraId="22F15015" w14:textId="77777777" w:rsidR="006B0642" w:rsidRPr="00D93FE6" w:rsidRDefault="006B0642" w:rsidP="006B0642">
      <w:pPr>
        <w:pStyle w:val="NormalHanging12a"/>
      </w:pPr>
      <w:r w:rsidRPr="00D93FE6">
        <w:t>D.</w:t>
      </w:r>
      <w:r w:rsidRPr="00D93FE6">
        <w:tab/>
        <w:t xml:space="preserve">der henviser til, at cyklonen Garance den 28. februar 2025 ramte øen </w:t>
      </w:r>
      <w:proofErr w:type="spellStart"/>
      <w:r w:rsidRPr="00D93FE6">
        <w:t>Réunion</w:t>
      </w:r>
      <w:proofErr w:type="spellEnd"/>
      <w:r w:rsidRPr="00D93FE6">
        <w:t xml:space="preserve">, Frankrig, og førte til vindhastigheder på op til 215 km i timen, kraftig regn og farlige havforhold, hvilket resulterede i samlede direkte skader, som de franske myndigheder har anslået til </w:t>
      </w:r>
      <w:r w:rsidRPr="00D93FE6">
        <w:lastRenderedPageBreak/>
        <w:t>849,45 mio. EUR, hovedsagelig inden for elnet og kommunikationsinfrastruktur; der henviser til, at cyklonen berørte 160 000 mennesker og forårsagede mindst 4 dødsfald;</w:t>
      </w:r>
    </w:p>
    <w:p w14:paraId="1E99F253" w14:textId="77777777" w:rsidR="006B0642" w:rsidRPr="00D93FE6" w:rsidRDefault="006B0642" w:rsidP="006B0642">
      <w:pPr>
        <w:pStyle w:val="NormalHanging12a"/>
      </w:pPr>
      <w:r w:rsidRPr="00D93FE6">
        <w:t>1.</w:t>
      </w:r>
      <w:r w:rsidRPr="00D93FE6">
        <w:tab/>
        <w:t xml:space="preserve">udtrykker sin dybeste solidaritet med alle ofrene, deres familier og alle de personer, der blev berørt af de ødelæggende oversvømmelser i Valencia, Spanien, og de ødelæggende cykloner i </w:t>
      </w:r>
      <w:proofErr w:type="spellStart"/>
      <w:r w:rsidRPr="00D93FE6">
        <w:t>Mayotte</w:t>
      </w:r>
      <w:proofErr w:type="spellEnd"/>
      <w:r w:rsidRPr="00D93FE6">
        <w:t xml:space="preserve"> og </w:t>
      </w:r>
      <w:proofErr w:type="spellStart"/>
      <w:r w:rsidRPr="00D93FE6">
        <w:t>Réunion</w:t>
      </w:r>
      <w:proofErr w:type="spellEnd"/>
      <w:r w:rsidRPr="00D93FE6">
        <w:t>, Frankrig, samt med de nationale, regionale og lokale myndigheder, der var involveret i nødhjælpsindsatsen;</w:t>
      </w:r>
    </w:p>
    <w:p w14:paraId="12F21294" w14:textId="77777777" w:rsidR="006B0642" w:rsidRPr="00D93FE6" w:rsidRDefault="006B0642" w:rsidP="006B0642">
      <w:pPr>
        <w:pStyle w:val="NormalHanging12a"/>
      </w:pPr>
      <w:r w:rsidRPr="00D93FE6">
        <w:t>2.</w:t>
      </w:r>
      <w:r w:rsidRPr="00D93FE6">
        <w:tab/>
        <w:t>hilser afgørelsen velkommen, idet den giver Unionens solidaritet med sine borgere og med regionerne i de berørte områder materiel og synlig form, men bemærker, at en sådan solidaritet ikke kan erstatte de lokale, regionale og nationale myndigheders direkte ansvar for forebyggelse og håndtering af klimarelaterede naturkatastrofer;</w:t>
      </w:r>
    </w:p>
    <w:p w14:paraId="6BBF629F" w14:textId="77777777" w:rsidR="006B0642" w:rsidRPr="00D93FE6" w:rsidRDefault="006B0642" w:rsidP="006B0642">
      <w:pPr>
        <w:pStyle w:val="NormalHanging12a"/>
      </w:pPr>
      <w:r w:rsidRPr="00D93FE6">
        <w:t>3.</w:t>
      </w:r>
      <w:r w:rsidRPr="00D93FE6">
        <w:tab/>
        <w:t>gentager, at det er vigtigt, at offentligheden oplyses om de konkrete fordele, som Den Europæiske Unions Solidaritetsfond (EUSF) har bragt med sig, også for yderligere at øge borgernes bevidsthed om Unionens værktøjer og programmer;</w:t>
      </w:r>
    </w:p>
    <w:p w14:paraId="28376A12" w14:textId="77777777" w:rsidR="006B0642" w:rsidRPr="00D93FE6" w:rsidRDefault="006B0642" w:rsidP="006B0642">
      <w:pPr>
        <w:pStyle w:val="NormalHanging12a"/>
      </w:pPr>
      <w:r w:rsidRPr="00D93FE6">
        <w:t>4.</w:t>
      </w:r>
      <w:r w:rsidRPr="00D93FE6">
        <w:tab/>
        <w:t xml:space="preserve">fremhæver det stigende antal alvorlige, ødelæggende og dødbringende naturkatastrofer i Europa og opfordrer medlemsstaterne og Kommissionen til at øge investeringerne i forebyggelse, offentlig infrastruktur, </w:t>
      </w:r>
      <w:proofErr w:type="spellStart"/>
      <w:r w:rsidRPr="00D93FE6">
        <w:t>modvirkning</w:t>
      </w:r>
      <w:proofErr w:type="spellEnd"/>
      <w:r w:rsidRPr="00D93FE6">
        <w:t xml:space="preserve"> af og tilpasning til klimaforandringer og kriseberedskabsforanstaltninger for at undgå menneskelige og økonomiske tab; opfordrer medlemsstaterne til at tage hensyn til, at klimarisici og andre naturkatastrofer påvirker sårbare befolkningsgrupper og små og mellemstore virksomheder uforholdsmæssigt hårdt på grund af socioøkonomiske og demografiske faktorer samt sårbare regioner såsom regionerne i den yderste periferi; mener, at det er afgørende at sikre, at budgetmyndigheden udøver et højt niveau af demokratisk kontrol med EUSF; minder om, at EUSF har et begrænset budget og ikke kan betragtes som det eneste instrument til håndtering af større naturkatastrofer; opfordrer derfor til en vurdering af EU-budgettets finansielle kapacitet og til at overveje en eventuel forøgelse af dets ressourcer, så der kan ydes bistand til borgerne i et rimeligt forhold til katastroferne; bemærker, at en forøgelse af denne form for bistand ville gøre det muligt for medlemsstaterne at reagere mere effektivt og hurtigt på katastrofer, mens andre instrumenter, navnlig samhørighedsfondene, hvis primære formål ikke er katastrofeberedskab, ville kunne beskyttes; </w:t>
      </w:r>
    </w:p>
    <w:p w14:paraId="70ECF533" w14:textId="77777777" w:rsidR="006B0642" w:rsidRPr="00D93FE6" w:rsidRDefault="006B0642" w:rsidP="006B0642">
      <w:pPr>
        <w:pStyle w:val="NormalHanging12a"/>
      </w:pPr>
      <w:r w:rsidRPr="00D93FE6">
        <w:t>5.</w:t>
      </w:r>
      <w:r w:rsidRPr="00D93FE6">
        <w:tab/>
        <w:t xml:space="preserve">understreger, at EUSF kun er et afhjælpende instrument, og at Unionen også fortsat bør bidrage til tilpasning til og </w:t>
      </w:r>
      <w:proofErr w:type="spellStart"/>
      <w:r w:rsidRPr="00D93FE6">
        <w:t>modvirkning</w:t>
      </w:r>
      <w:proofErr w:type="spellEnd"/>
      <w:r w:rsidRPr="00D93FE6">
        <w:t xml:space="preserve"> af klimaforandringer ved at støtte europæiske og nationale politikker til forebyggelse af naturkatastrofer samt understøtte princippet om "bedre genopbygning" i alle sine foranstaltninger; fremhæver, at Det Europæiske Miljøagenturs rapport nr. 1/2024 "Europæisk klimarisikovurdering" advarede om, at Unionen ikke er rustet til virkningerne af klimaforandringerne, og understreger nødvendigheden af tiltag med henblik på at undgå, at de påviste klimarisici når kritiske niveauer; opfordrer medlemsstaterne og Kommissionen til at træffe de nødvendige foranstaltninger til at få Unionen til at opfylde de forpligtelser, der er indgået i forbindelse med </w:t>
      </w:r>
      <w:proofErr w:type="spellStart"/>
      <w:r w:rsidRPr="00D93FE6">
        <w:t>Parisaftalen</w:t>
      </w:r>
      <w:proofErr w:type="spellEnd"/>
      <w:r w:rsidRPr="00D93FE6">
        <w:t xml:space="preserve">; minder om behovet for effektive synergier med andre EU-politikker og -programmer og understreger, at medlemsstaterne bør gøre bedst mulig brug af finansieringsmulighederne, navnlig Den Europæiske Fond for Regionaludvikling, Den Europæiske Socialfond Plus og programmerne for udvikling af landdistrikterne; opfordrer Kommissionen til hurtigst muligt at vurdere eventuelle begrundede anmodninger fra medlemsstaterne om at omfordele midler inden for rammerne af de nationale genopretnings- og resiliensplaner til naturkatastrofebistand i overensstemmelse med de regler, der er fastsat i Europa-Parlamentets og Rådets </w:t>
      </w:r>
      <w:r w:rsidRPr="00D93FE6">
        <w:lastRenderedPageBreak/>
        <w:t>forordning (EU) 2021/241</w:t>
      </w:r>
      <w:r w:rsidRPr="00D93FE6">
        <w:rPr>
          <w:vertAlign w:val="superscript"/>
        </w:rPr>
        <w:footnoteReference w:id="10"/>
      </w:r>
      <w:r w:rsidRPr="00D93FE6">
        <w:t xml:space="preserve">, navnlig i betragtning af den store procentdel af ressourcer fra denne mekanisme, som stadig ikke er blevet anvendt; fremhæver også behovet for forebyggende foranstaltninger, ikke blot for at afbøde fremtidige skader, men også for at forhindre en forværring af risikoforholdene som følge af katastrofale hændelser såsom oversvømmelser, naturbrande, jordskred eller udtørring af søer og floder; understreger endvidere de risici, som ekstreme vejrforhold og naturkatastrofer såsom hedebølger udgør for folkesundheden i hele Europa, og opfordrer Kommissionen til at overveje dette aspekt i relevante politikker; tilskynder til anvendelse af innovative digitale værktøjer, satellitdata (f.eks. </w:t>
      </w:r>
      <w:proofErr w:type="spellStart"/>
      <w:r w:rsidRPr="00D93FE6">
        <w:t>Copernicus</w:t>
      </w:r>
      <w:proofErr w:type="spellEnd"/>
      <w:r w:rsidRPr="00D93FE6">
        <w:t>) og systemer til tidlig varsling for at styrke katastrofeberedskabet; understreger vigtigheden af tilstrækkelig fleksibilitet mellem de forskellige programmer; understreger, at den bistand, der ydes under EUSF, ikke bør være på bekostning af den EU</w:t>
      </w:r>
      <w:r w:rsidRPr="00D93FE6">
        <w:noBreakHyphen/>
        <w:t>finansiering, som medlemsstaterne modtager under andre EU</w:t>
      </w:r>
      <w:r w:rsidRPr="00D93FE6">
        <w:noBreakHyphen/>
        <w:t xml:space="preserve">politikker eller </w:t>
      </w:r>
      <w:r w:rsidRPr="00D93FE6">
        <w:noBreakHyphen/>
        <w:t>programmer; minder om, at medlemsstaterne kan yde statsstøtte i overensstemmelse med gældende EU-regler, navnlig til landbrugsvirksomheder, der har lidt skade som følge af naturkatastrofer;</w:t>
      </w:r>
    </w:p>
    <w:p w14:paraId="4D879C5D" w14:textId="77777777" w:rsidR="006B0642" w:rsidRPr="00D93FE6" w:rsidRDefault="006B0642" w:rsidP="006B0642">
      <w:pPr>
        <w:pStyle w:val="NormalHanging12a"/>
      </w:pPr>
      <w:r w:rsidRPr="00D93FE6">
        <w:t>6.</w:t>
      </w:r>
      <w:r w:rsidRPr="00D93FE6">
        <w:tab/>
        <w:t>minder om, at RESTORE</w:t>
      </w:r>
      <w:r w:rsidRPr="00D93FE6">
        <w:rPr>
          <w:vertAlign w:val="superscript"/>
        </w:rPr>
        <w:footnoteReference w:id="11"/>
      </w:r>
      <w:r w:rsidRPr="00D93FE6">
        <w:t xml:space="preserve"> og de specifikke foranstaltninger under Den Europæiske Landbrugsfond for Udvikling af Landdistrikterne (ELFUL)</w:t>
      </w:r>
      <w:r w:rsidRPr="00D93FE6">
        <w:rPr>
          <w:vertAlign w:val="superscript"/>
        </w:rPr>
        <w:footnoteReference w:id="12"/>
      </w:r>
      <w:r w:rsidRPr="00D93FE6">
        <w:t xml:space="preserve"> yder supplerende bistand til medlemsstater, der er ramt af naturkatastrofer, gennem yderligere fleksibilitet i anvendelsen af midlerne; understreger, at medlemsstaterne bør gøre brug af disse muligheder; </w:t>
      </w:r>
    </w:p>
    <w:p w14:paraId="668678EB" w14:textId="77777777" w:rsidR="006B0642" w:rsidRPr="00D93FE6" w:rsidRDefault="006B0642" w:rsidP="006B0642">
      <w:pPr>
        <w:pStyle w:val="NormalHanging12a"/>
        <w:rPr>
          <w:bCs/>
          <w:iCs/>
        </w:rPr>
      </w:pPr>
      <w:r w:rsidRPr="00D93FE6">
        <w:t>7.</w:t>
      </w:r>
      <w:r w:rsidRPr="00D93FE6">
        <w:tab/>
        <w:t>beklager, at det gennemsnitligt tager et år, før det fulde støttebeløb fra EUSF er nået frem til støttemodtageren; minder om betydningen af en hurtig og solid skadesvurdering, der tager behørigt hensyn til de økonomiske konsekvenser, og opfordrer til, at der gøres en øget operationel indsats for at reducere den gennemsnitlige tid, der går, før forskudsbetalinger frigives, samtidig med at det sikres, at EU</w:t>
      </w:r>
      <w:r w:rsidRPr="00D93FE6">
        <w:noBreakHyphen/>
        <w:t>budgettet beskyttes; bemærker, at metoden til beregning af det samlede støttebeløb i højere grad kunne tage hensyn til forholdet mellem de samlede direkte skader og det berørte områdes BNI, navnlig når det berørte område er regioner i den yderste periferi;</w:t>
      </w:r>
    </w:p>
    <w:p w14:paraId="4FD9C71B" w14:textId="77777777" w:rsidR="006B0642" w:rsidRPr="00D93FE6" w:rsidRDefault="006B0642" w:rsidP="006B0642">
      <w:pPr>
        <w:pStyle w:val="NormalHanging12a"/>
      </w:pPr>
      <w:r w:rsidRPr="00D93FE6">
        <w:t>8.</w:t>
      </w:r>
      <w:r w:rsidRPr="00D93FE6">
        <w:tab/>
        <w:t xml:space="preserve">understreger, at det er påtrængende nødvendigt at frigive omgående finansiel bistand gennem EUSF for at sikre, at støtten kan nå frem til de berørte regioner i tide med henblik på at støtte en hurtig og varig genopretning; understreger vigtigheden af at forkorte tidsrummet mellem indgivelsen af en ansøgning om EUSF-støtte og finansieringsafgørelsen; opfordrer til, at der gøres en indsats for at sikre, at EUSF-støtten hurtigt når ud til de endelige modtagere, herunder virksomheder, SMV'er, familier og berørte borgere, samt til genopbygning af infrastruktur og reparation af materielle skader, alt sammen med den tilhørende konsekvensanalyse og passende kontrolmekanismer; understreger nødvendigheden af at forenkle og fremskynde interne procedurer, uden at dette undergraver den institutionelle balance, navnlig Europa-Parlamentets rettigheder som den ene af budgetmyndighedens to arme; bemærker, at den foreslåede styring af efterfølgeren til Den Europæiske Solidaritetsfond efter 2027 ikke er i overensstemmelse med Europa-Parlamentets holdning som udtrykt i dets initiativbetænkning af 7. maj 2025 "Et fornyet langsigtet budget for Unionen i en verden </w:t>
      </w:r>
      <w:r w:rsidRPr="00D93FE6">
        <w:lastRenderedPageBreak/>
        <w:t>i forandring"</w:t>
      </w:r>
      <w:r w:rsidRPr="00D93FE6">
        <w:rPr>
          <w:rStyle w:val="FootnoteReference"/>
          <w:bCs/>
          <w:iCs/>
        </w:rPr>
        <w:footnoteReference w:id="13"/>
      </w:r>
      <w:r w:rsidRPr="00D93FE6">
        <w:t xml:space="preserve">; </w:t>
      </w:r>
    </w:p>
    <w:p w14:paraId="70B83AAF" w14:textId="77777777" w:rsidR="006B0642" w:rsidRPr="00D93FE6" w:rsidRDefault="006B0642" w:rsidP="006B0642">
      <w:pPr>
        <w:pStyle w:val="NormalHanging12a"/>
      </w:pPr>
      <w:r w:rsidRPr="00D93FE6">
        <w:t>9.</w:t>
      </w:r>
      <w:r w:rsidRPr="00D93FE6">
        <w:tab/>
        <w:t>godkender den afgørelse, der er vedføjet denne beslutning;</w:t>
      </w:r>
    </w:p>
    <w:p w14:paraId="66B050A5" w14:textId="77777777" w:rsidR="006B0642" w:rsidRPr="00D93FE6" w:rsidRDefault="006B0642" w:rsidP="006B0642">
      <w:pPr>
        <w:pStyle w:val="NormalHanging12a"/>
      </w:pPr>
      <w:r w:rsidRPr="00D93FE6">
        <w:t>10.</w:t>
      </w:r>
      <w:r w:rsidRPr="00D93FE6">
        <w:tab/>
        <w:t xml:space="preserve">pålægger sin formand at undertegne denne afgørelse sammen med Rådets formand og drage omsorg for, at den offentliggøres i </w:t>
      </w:r>
      <w:r w:rsidRPr="00D93FE6">
        <w:rPr>
          <w:i/>
        </w:rPr>
        <w:t>Den Europæiske Unions Tidende</w:t>
      </w:r>
      <w:r w:rsidRPr="00D93FE6">
        <w:t>;</w:t>
      </w:r>
    </w:p>
    <w:p w14:paraId="1512BA90" w14:textId="77777777" w:rsidR="006B0642" w:rsidRPr="00D93FE6" w:rsidRDefault="006B0642" w:rsidP="006B0642">
      <w:pPr>
        <w:pStyle w:val="NormalHanging12a"/>
      </w:pPr>
      <w:r w:rsidRPr="00D93FE6">
        <w:t>11.</w:t>
      </w:r>
      <w:r w:rsidRPr="00D93FE6">
        <w:tab/>
        <w:t>pålægger sin formand at sende denne beslutning sammen med bilaget til Rådet og Kommissionen.</w:t>
      </w:r>
    </w:p>
    <w:p w14:paraId="0A8BDA04" w14:textId="77777777" w:rsidR="006B0642" w:rsidRPr="00D93FE6" w:rsidRDefault="006B0642" w:rsidP="006B0642">
      <w:pPr>
        <w:pStyle w:val="PageHeading"/>
        <w:jc w:val="left"/>
        <w:sectPr w:rsidR="006B0642" w:rsidRPr="00D93FE6" w:rsidSect="00D93FE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5BFCEE" w14:textId="77777777" w:rsidR="004564B4" w:rsidRDefault="006B0642" w:rsidP="006B0642">
      <w:pPr>
        <w:pStyle w:val="PageHeading"/>
        <w:rPr>
          <w:rFonts w:ascii="Times New Roman" w:hAnsi="Times New Roman" w:cs="Times New Roman"/>
        </w:rPr>
      </w:pPr>
      <w:bookmarkStart w:id="6" w:name="_Toc213760676"/>
      <w:r w:rsidRPr="002E3704">
        <w:rPr>
          <w:rFonts w:ascii="Times New Roman" w:hAnsi="Times New Roman" w:cs="Times New Roman"/>
        </w:rPr>
        <w:lastRenderedPageBreak/>
        <w:t>BILAG</w:t>
      </w:r>
    </w:p>
    <w:p w14:paraId="32378BAB" w14:textId="62DAA795" w:rsidR="006B0642" w:rsidRPr="002E3704" w:rsidRDefault="006B0642" w:rsidP="006B0642">
      <w:pPr>
        <w:pStyle w:val="PageHeading"/>
        <w:rPr>
          <w:rFonts w:ascii="Times New Roman" w:hAnsi="Times New Roman" w:cs="Times New Roman"/>
        </w:rPr>
      </w:pPr>
      <w:r w:rsidRPr="002E3704">
        <w:rPr>
          <w:rFonts w:ascii="Times New Roman" w:hAnsi="Times New Roman" w:cs="Times New Roman"/>
        </w:rPr>
        <w:t>EUROPA-PARLAMENTETS OG RÅDETS AFGØRELSE</w:t>
      </w:r>
      <w:bookmarkEnd w:id="6"/>
    </w:p>
    <w:p w14:paraId="17F5EC26" w14:textId="77777777" w:rsidR="006B0642" w:rsidRDefault="006B0642" w:rsidP="006B0642">
      <w:pPr>
        <w:pStyle w:val="NormalBold24a"/>
      </w:pPr>
      <w:r w:rsidRPr="00B02F48">
        <w:t xml:space="preserve">om anvendelse af Den Europæiske Unions Solidaritetsfond med henblik på at yde bistand til Spanien i forbindelse med oversvømmelserne i regionen Valencia i Spanien i oktober 2024 og Frankrig efter skader forårsaget af cyklonen </w:t>
      </w:r>
      <w:proofErr w:type="spellStart"/>
      <w:r w:rsidRPr="00B02F48">
        <w:t>Chido</w:t>
      </w:r>
      <w:proofErr w:type="spellEnd"/>
      <w:r w:rsidRPr="00B02F48">
        <w:t xml:space="preserve">, som ramte </w:t>
      </w:r>
      <w:proofErr w:type="spellStart"/>
      <w:r w:rsidRPr="00B02F48">
        <w:t>Mayotte</w:t>
      </w:r>
      <w:proofErr w:type="spellEnd"/>
      <w:r w:rsidRPr="00B02F48">
        <w:t xml:space="preserve"> i december 2024, og cyklonen Garance, som ramte </w:t>
      </w:r>
      <w:proofErr w:type="spellStart"/>
      <w:r w:rsidRPr="00B02F48">
        <w:t>Réunion</w:t>
      </w:r>
      <w:proofErr w:type="spellEnd"/>
      <w:r w:rsidRPr="00B02F48">
        <w:t xml:space="preserve"> i februar 2025</w:t>
      </w:r>
    </w:p>
    <w:p w14:paraId="3F507268" w14:textId="45B8F2A8" w:rsidR="004564B4" w:rsidRPr="004564B4" w:rsidRDefault="004564B4" w:rsidP="006B0642">
      <w:pPr>
        <w:pStyle w:val="NormalBold24a"/>
        <w:rPr>
          <w:b w:val="0"/>
          <w:bCs w:val="0"/>
          <w:i/>
          <w:iCs/>
        </w:rPr>
      </w:pPr>
      <w:r w:rsidRPr="004564B4">
        <w:rPr>
          <w:rStyle w:val="Emphasis"/>
          <w:rFonts w:ascii="Times New Roman" w:hAnsi="Times New Roman"/>
        </w:rPr>
        <w:t>(</w:t>
      </w:r>
      <w:r w:rsidRPr="004564B4">
        <w:rPr>
          <w:b w:val="0"/>
          <w:bCs w:val="0"/>
          <w:i/>
          <w:iCs/>
        </w:rPr>
        <w:t xml:space="preserve">Teksten i bilaget gengives ikke her, eftersom det svarer til den endelige retsakt, afgørelse (EU) </w:t>
      </w:r>
      <w:r w:rsidRPr="004564B4">
        <w:rPr>
          <w:b w:val="0"/>
          <w:bCs w:val="0"/>
          <w:i/>
          <w:iCs/>
        </w:rPr>
        <w:t>2025/2403</w:t>
      </w:r>
      <w:r w:rsidRPr="004564B4">
        <w:rPr>
          <w:rStyle w:val="Emphasis"/>
          <w:rFonts w:ascii="Times New Roman" w:hAnsi="Times New Roman"/>
        </w:rPr>
        <w:t>.)</w:t>
      </w:r>
    </w:p>
    <w:sectPr w:rsidR="004564B4" w:rsidRPr="004564B4" w:rsidSect="00D93FE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2913A" w14:textId="77777777" w:rsidR="00E13E9A" w:rsidRPr="00D93FE6" w:rsidRDefault="00E13E9A">
      <w:r w:rsidRPr="00D93FE6">
        <w:separator/>
      </w:r>
    </w:p>
  </w:endnote>
  <w:endnote w:type="continuationSeparator" w:id="0">
    <w:p w14:paraId="016EEA13" w14:textId="77777777" w:rsidR="00E13E9A" w:rsidRPr="00D93FE6" w:rsidRDefault="00E13E9A">
      <w:r w:rsidRPr="00D93F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4FFB1" w14:textId="77777777" w:rsidR="006B0642" w:rsidRPr="00D93FE6" w:rsidRDefault="006B0642" w:rsidP="00232494">
    <w:pPr>
      <w:pStyle w:val="EPFooter"/>
    </w:pPr>
    <w:r w:rsidRPr="00D93FE6">
      <w:t>PE</w:t>
    </w:r>
    <w:r w:rsidRPr="00D93FE6">
      <w:rPr>
        <w:rStyle w:val="HideTWBExt"/>
      </w:rPr>
      <w:t>&lt;NoPE&gt;</w:t>
    </w:r>
    <w:r w:rsidRPr="00D93FE6">
      <w:t>778.223</w:t>
    </w:r>
    <w:r w:rsidRPr="00D93FE6">
      <w:rPr>
        <w:rStyle w:val="HideTWBExt"/>
      </w:rPr>
      <w:t>&lt;/NoPE&gt;&lt;Version&gt;</w:t>
    </w:r>
    <w:r w:rsidRPr="00D93FE6">
      <w:t>v02-00</w:t>
    </w:r>
    <w:r w:rsidRPr="00D93FE6">
      <w:rPr>
        <w:rStyle w:val="HideTWBExt"/>
      </w:rPr>
      <w:t>&lt;/Version&gt;</w:t>
    </w:r>
    <w:r w:rsidRPr="00D93FE6">
      <w:tab/>
    </w:r>
    <w:r w:rsidRPr="00D93FE6">
      <w:fldChar w:fldCharType="begin"/>
    </w:r>
    <w:r w:rsidRPr="00D93FE6">
      <w:instrText xml:space="preserve"> PAGE  \* MERGEFORMAT </w:instrText>
    </w:r>
    <w:r w:rsidRPr="00D93FE6">
      <w:fldChar w:fldCharType="separate"/>
    </w:r>
    <w:r w:rsidRPr="00D93FE6">
      <w:rPr>
        <w:noProof/>
      </w:rPr>
      <w:t>1</w:t>
    </w:r>
    <w:r w:rsidRPr="00D93FE6">
      <w:fldChar w:fldCharType="end"/>
    </w:r>
    <w:r w:rsidRPr="00D93FE6">
      <w:t>/</w:t>
    </w:r>
    <w:r w:rsidR="004564B4">
      <w:fldChar w:fldCharType="begin"/>
    </w:r>
    <w:r w:rsidR="004564B4">
      <w:instrText xml:space="preserve"> NUMPAGES  \* MERGEFORMAT </w:instrText>
    </w:r>
    <w:r w:rsidR="004564B4">
      <w:fldChar w:fldCharType="separate"/>
    </w:r>
    <w:r w:rsidRPr="00D93FE6">
      <w:rPr>
        <w:noProof/>
      </w:rPr>
      <w:t>1</w:t>
    </w:r>
    <w:r w:rsidR="004564B4">
      <w:rPr>
        <w:noProof/>
      </w:rPr>
      <w:fldChar w:fldCharType="end"/>
    </w:r>
    <w:r w:rsidRPr="00D93FE6">
      <w:tab/>
    </w:r>
    <w:r w:rsidRPr="00D93FE6">
      <w:rPr>
        <w:rStyle w:val="HideTWBExt"/>
      </w:rPr>
      <w:t>&lt;PathFdR&gt;</w:t>
    </w:r>
    <w:r w:rsidRPr="00D93FE6">
      <w:t>RR\1331466DA.docx</w:t>
    </w:r>
    <w:r w:rsidRPr="00D93FE6">
      <w:rPr>
        <w:rStyle w:val="HideTWBExt"/>
      </w:rPr>
      <w:t>&lt;/PathFdR&gt;</w:t>
    </w:r>
  </w:p>
  <w:p w14:paraId="2A51E65E" w14:textId="77777777" w:rsidR="006B0642" w:rsidRPr="00D93FE6" w:rsidRDefault="006B0642" w:rsidP="00232494">
    <w:pPr>
      <w:pStyle w:val="EPFooter2"/>
    </w:pPr>
    <w:r w:rsidRPr="00D93FE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F28F6" w14:textId="77777777" w:rsidR="006B0642" w:rsidRPr="00D93FE6" w:rsidRDefault="006B0642" w:rsidP="00232494">
    <w:pPr>
      <w:pStyle w:val="EPFooter"/>
    </w:pPr>
    <w:r w:rsidRPr="00D93FE6">
      <w:rPr>
        <w:rStyle w:val="HideTWBExt"/>
      </w:rPr>
      <w:t>&lt;PathFdR&gt;</w:t>
    </w:r>
    <w:r w:rsidRPr="00D93FE6">
      <w:t>RR\1331466DA.docx</w:t>
    </w:r>
    <w:r w:rsidRPr="00D93FE6">
      <w:rPr>
        <w:rStyle w:val="HideTWBExt"/>
      </w:rPr>
      <w:t>&lt;/PathFdR&gt;</w:t>
    </w:r>
    <w:r w:rsidRPr="00D93FE6">
      <w:tab/>
    </w:r>
    <w:r w:rsidRPr="00D93FE6">
      <w:tab/>
      <w:t>PE</w:t>
    </w:r>
    <w:r w:rsidRPr="00D93FE6">
      <w:rPr>
        <w:rStyle w:val="HideTWBExt"/>
      </w:rPr>
      <w:t>&lt;NoPE&gt;</w:t>
    </w:r>
    <w:r w:rsidRPr="00D93FE6">
      <w:t>778.223</w:t>
    </w:r>
    <w:r w:rsidRPr="00D93FE6">
      <w:rPr>
        <w:rStyle w:val="HideTWBExt"/>
      </w:rPr>
      <w:t>&lt;/NoPE&gt;&lt;Version&gt;</w:t>
    </w:r>
    <w:r w:rsidRPr="00D93FE6">
      <w:t>v02-00</w:t>
    </w:r>
    <w:r w:rsidRPr="00D93FE6">
      <w:rPr>
        <w:rStyle w:val="HideTWBExt"/>
      </w:rPr>
      <w:t>&lt;/Version&gt;</w:t>
    </w:r>
  </w:p>
  <w:p w14:paraId="26734B92" w14:textId="77777777" w:rsidR="006B0642" w:rsidRPr="00D93FE6" w:rsidRDefault="006B0642" w:rsidP="00232494">
    <w:pPr>
      <w:pStyle w:val="EPFooter2"/>
    </w:pPr>
    <w:r w:rsidRPr="00D93FE6">
      <w:t>DA</w:t>
    </w:r>
    <w:r w:rsidRPr="00D93FE6">
      <w:tab/>
    </w:r>
    <w:r w:rsidRPr="00D93FE6">
      <w:rPr>
        <w:b w:val="0"/>
        <w:i/>
        <w:color w:val="C0C0C0"/>
        <w:sz w:val="22"/>
      </w:rPr>
      <w:t>Forenet i mangfoldighed</w:t>
    </w:r>
    <w:r w:rsidRPr="00D93FE6">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59AED" w14:textId="77777777" w:rsidR="00064002" w:rsidRPr="00D93FE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C24BA" w14:textId="77777777" w:rsidR="00064002" w:rsidRPr="00D93FE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09FC2" w14:textId="77777777" w:rsidR="00064002" w:rsidRPr="00D93F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0B52E" w14:textId="77777777" w:rsidR="00E13E9A" w:rsidRPr="00D93FE6" w:rsidRDefault="00E13E9A">
      <w:r w:rsidRPr="00D93FE6">
        <w:separator/>
      </w:r>
    </w:p>
  </w:footnote>
  <w:footnote w:type="continuationSeparator" w:id="0">
    <w:p w14:paraId="174A8D29" w14:textId="77777777" w:rsidR="00E13E9A" w:rsidRPr="00D93FE6" w:rsidRDefault="00E13E9A">
      <w:r w:rsidRPr="00D93FE6">
        <w:continuationSeparator/>
      </w:r>
    </w:p>
  </w:footnote>
  <w:footnote w:id="1">
    <w:p w14:paraId="38CBF10C" w14:textId="5B77F93C"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 xml:space="preserve">EFT L 311 af 14.11.2002, s. 3, ELI: </w:t>
      </w:r>
      <w:hyperlink r:id="rId1" w:history="1">
        <w:r w:rsidRPr="00D93FE6">
          <w:rPr>
            <w:rStyle w:val="Hyperlink"/>
            <w:sz w:val="24"/>
            <w:lang w:val="da-DK"/>
          </w:rPr>
          <w:t>http://data.europa.eu/eli/reg/2002/2012/oj</w:t>
        </w:r>
      </w:hyperlink>
      <w:r w:rsidRPr="00D93FE6">
        <w:rPr>
          <w:sz w:val="24"/>
          <w:lang w:val="da-DK"/>
        </w:rPr>
        <w:t>.</w:t>
      </w:r>
    </w:p>
  </w:footnote>
  <w:footnote w:id="2">
    <w:p w14:paraId="02EB330D" w14:textId="5C8149D0"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 xml:space="preserve">EUT L 433 I af 22.12.2020, s. 11, ELI: </w:t>
      </w:r>
      <w:hyperlink r:id="rId2" w:history="1">
        <w:r w:rsidRPr="00D93FE6">
          <w:rPr>
            <w:rStyle w:val="Hyperlink"/>
            <w:sz w:val="24"/>
            <w:lang w:val="da-DK"/>
          </w:rPr>
          <w:t>http://data.europa.eu/eli/reg/2020/2093/oj</w:t>
        </w:r>
      </w:hyperlink>
      <w:r w:rsidRPr="00D93FE6">
        <w:rPr>
          <w:sz w:val="24"/>
          <w:lang w:val="da-DK"/>
        </w:rPr>
        <w:t>.</w:t>
      </w:r>
    </w:p>
  </w:footnote>
  <w:footnote w:id="3">
    <w:p w14:paraId="14123D76" w14:textId="12E56D8D"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 xml:space="preserve">EUT L 433 I af 22.12.2020, s. 28, ELI: </w:t>
      </w:r>
      <w:hyperlink r:id="rId3" w:history="1">
        <w:r w:rsidRPr="00D93FE6">
          <w:rPr>
            <w:rStyle w:val="Hyperlink"/>
            <w:sz w:val="24"/>
            <w:lang w:val="da-DK"/>
          </w:rPr>
          <w:t>http://data.europa.eu/eli/agree_interinstit/2020/1222/oj</w:t>
        </w:r>
      </w:hyperlink>
      <w:r w:rsidRPr="00D93FE6">
        <w:rPr>
          <w:sz w:val="24"/>
          <w:lang w:val="da-DK"/>
        </w:rPr>
        <w:t>.</w:t>
      </w:r>
    </w:p>
  </w:footnote>
  <w:footnote w:id="4">
    <w:p w14:paraId="1ACC9324" w14:textId="097C1B90"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 xml:space="preserve">EUT L 231 af 30.6.2021, s. 60, ELI: </w:t>
      </w:r>
      <w:hyperlink r:id="rId4" w:history="1">
        <w:r w:rsidRPr="00D93FE6">
          <w:rPr>
            <w:rStyle w:val="Hyperlink"/>
            <w:sz w:val="24"/>
            <w:lang w:val="da-DK"/>
          </w:rPr>
          <w:t>http://data.europa.eu/eli/reg/2021/1058/oj</w:t>
        </w:r>
      </w:hyperlink>
      <w:r w:rsidRPr="00D93FE6">
        <w:rPr>
          <w:sz w:val="24"/>
          <w:lang w:val="da-DK"/>
        </w:rPr>
        <w:t>.</w:t>
      </w:r>
    </w:p>
  </w:footnote>
  <w:footnote w:id="5">
    <w:p w14:paraId="35358A32" w14:textId="4266EDA0"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 xml:space="preserve">EUT L 231 af 30.6.2021, s. 21, ELI: </w:t>
      </w:r>
      <w:hyperlink r:id="rId5" w:history="1">
        <w:r w:rsidRPr="00D93FE6">
          <w:rPr>
            <w:rStyle w:val="Hyperlink"/>
            <w:sz w:val="24"/>
            <w:lang w:val="da-DK"/>
          </w:rPr>
          <w:t>http://data.europa.eu/eli/reg/2021/1057/oj</w:t>
        </w:r>
      </w:hyperlink>
      <w:r w:rsidRPr="00D93FE6">
        <w:rPr>
          <w:sz w:val="24"/>
          <w:lang w:val="da-DK"/>
        </w:rPr>
        <w:t>.</w:t>
      </w:r>
    </w:p>
  </w:footnote>
  <w:footnote w:id="6">
    <w:p w14:paraId="620369E4" w14:textId="63F7F705"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 xml:space="preserve">EUT L 435 af 6.12.2021, s. 1, ELI: </w:t>
      </w:r>
      <w:hyperlink r:id="rId6" w:history="1">
        <w:r w:rsidRPr="00D93FE6">
          <w:rPr>
            <w:rStyle w:val="Hyperlink"/>
            <w:sz w:val="24"/>
            <w:lang w:val="da-DK"/>
          </w:rPr>
          <w:t>http://data.europa.eu/eli/reg/2021/2115/oj</w:t>
        </w:r>
      </w:hyperlink>
      <w:r w:rsidRPr="00D93FE6">
        <w:rPr>
          <w:sz w:val="24"/>
          <w:lang w:val="da-DK"/>
        </w:rPr>
        <w:t xml:space="preserve"> </w:t>
      </w:r>
    </w:p>
  </w:footnote>
  <w:footnote w:id="7">
    <w:p w14:paraId="380245D7" w14:textId="014A0ACB"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Vedtagne tekster, P10_</w:t>
      </w:r>
      <w:proofErr w:type="gramStart"/>
      <w:r w:rsidRPr="00D93FE6">
        <w:rPr>
          <w:sz w:val="24"/>
          <w:lang w:val="da-DK"/>
        </w:rPr>
        <w:t>TA(</w:t>
      </w:r>
      <w:proofErr w:type="gramEnd"/>
      <w:r w:rsidRPr="00D93FE6">
        <w:rPr>
          <w:sz w:val="24"/>
          <w:lang w:val="da-DK"/>
        </w:rPr>
        <w:t>2024)0059.</w:t>
      </w:r>
    </w:p>
  </w:footnote>
  <w:footnote w:id="8">
    <w:p w14:paraId="4A3E262B" w14:textId="008B0706"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Vedtagne tekster, P10_</w:t>
      </w:r>
      <w:proofErr w:type="gramStart"/>
      <w:r w:rsidRPr="00D93FE6">
        <w:rPr>
          <w:sz w:val="24"/>
          <w:lang w:val="da-DK"/>
        </w:rPr>
        <w:t>TA(</w:t>
      </w:r>
      <w:proofErr w:type="gramEnd"/>
      <w:r w:rsidRPr="00D93FE6">
        <w:rPr>
          <w:sz w:val="24"/>
          <w:lang w:val="da-DK"/>
        </w:rPr>
        <w:t>2025)0090.</w:t>
      </w:r>
    </w:p>
  </w:footnote>
  <w:footnote w:id="9">
    <w:p w14:paraId="4D4B0A06" w14:textId="3EF1E944"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hyperlink r:id="rId7" w:history="1">
        <w:r w:rsidRPr="00D93FE6">
          <w:rPr>
            <w:rStyle w:val="Hyperlink"/>
            <w:sz w:val="24"/>
            <w:lang w:val="da-DK"/>
          </w:rPr>
          <w:t>https://www.eea.europa.eu/publications/european-climate-risk-assessment</w:t>
        </w:r>
      </w:hyperlink>
      <w:r w:rsidRPr="00D93FE6">
        <w:rPr>
          <w:sz w:val="24"/>
          <w:lang w:val="da-DK"/>
        </w:rPr>
        <w:t xml:space="preserve"> </w:t>
      </w:r>
    </w:p>
  </w:footnote>
  <w:footnote w:id="10">
    <w:p w14:paraId="52CC702E" w14:textId="36C69DA4"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Europa-Parlamentets og Rådets forordning (EU) 2021/241 af 12. februar 2021 om oprettelse af genopretnings- og resiliensfaciliteten (EUT L 57 af 18.2.2021, s. 17, ELI:</w:t>
      </w:r>
      <w:r w:rsidRPr="00D93FE6">
        <w:rPr>
          <w:color w:val="333333"/>
          <w:sz w:val="24"/>
          <w:shd w:val="clear" w:color="auto" w:fill="FFFFFF"/>
          <w:lang w:val="da-DK"/>
        </w:rPr>
        <w:t> </w:t>
      </w:r>
      <w:hyperlink r:id="rId8" w:tooltip="Giver adgang til dokumentet via dets ELI-URI." w:history="1">
        <w:r w:rsidRPr="00D93FE6">
          <w:rPr>
            <w:rStyle w:val="Hyperlink"/>
            <w:color w:val="23527C"/>
            <w:sz w:val="24"/>
            <w:shd w:val="clear" w:color="auto" w:fill="FFFFFF"/>
            <w:lang w:val="da-DK"/>
          </w:rPr>
          <w:t>http://data.europa.eu/eli/reg/2021/241/oj</w:t>
        </w:r>
      </w:hyperlink>
      <w:r w:rsidRPr="00D93FE6">
        <w:rPr>
          <w:sz w:val="24"/>
          <w:lang w:val="da-DK"/>
        </w:rPr>
        <w:t>).</w:t>
      </w:r>
    </w:p>
  </w:footnote>
  <w:footnote w:id="11">
    <w:p w14:paraId="07F8730D" w14:textId="489BE822" w:rsidR="006B0642" w:rsidRPr="002E3704" w:rsidRDefault="006B0642" w:rsidP="00D93FE6">
      <w:pPr>
        <w:pStyle w:val="FootnoteText"/>
        <w:ind w:left="567" w:hanging="567"/>
        <w:rPr>
          <w:sz w:val="24"/>
          <w:lang w:val="fi-FI"/>
        </w:rPr>
      </w:pPr>
      <w:r w:rsidRPr="00D93FE6">
        <w:rPr>
          <w:rStyle w:val="FootnoteReference"/>
          <w:sz w:val="24"/>
          <w:lang w:val="da-DK"/>
        </w:rPr>
        <w:footnoteRef/>
      </w:r>
      <w:r w:rsidR="00D93FE6" w:rsidRPr="002E3704">
        <w:rPr>
          <w:sz w:val="24"/>
          <w:lang w:val="fi-FI"/>
        </w:rPr>
        <w:t xml:space="preserve"> </w:t>
      </w:r>
      <w:r w:rsidR="00D93FE6" w:rsidRPr="002E3704">
        <w:rPr>
          <w:sz w:val="24"/>
          <w:lang w:val="fi-FI"/>
        </w:rPr>
        <w:tab/>
      </w:r>
      <w:r w:rsidRPr="002E3704">
        <w:rPr>
          <w:sz w:val="24"/>
          <w:lang w:val="fi-FI"/>
        </w:rPr>
        <w:t xml:space="preserve">EUT L, 2024/3236, 23.12.2024, ELI: </w:t>
      </w:r>
      <w:hyperlink r:id="rId9" w:history="1">
        <w:r w:rsidRPr="002E3704">
          <w:rPr>
            <w:rStyle w:val="Hyperlink"/>
            <w:sz w:val="24"/>
            <w:shd w:val="clear" w:color="auto" w:fill="FFFFFF"/>
            <w:lang w:val="fi-FI"/>
          </w:rPr>
          <w:t>http://data.europa.eu/eli/reg/2024/3236/oj</w:t>
        </w:r>
      </w:hyperlink>
      <w:r w:rsidRPr="002E3704">
        <w:rPr>
          <w:sz w:val="24"/>
          <w:lang w:val="fi-FI"/>
        </w:rPr>
        <w:t xml:space="preserve">. </w:t>
      </w:r>
    </w:p>
  </w:footnote>
  <w:footnote w:id="12">
    <w:p w14:paraId="61626122" w14:textId="523898D0" w:rsidR="006B0642" w:rsidRPr="002E3704" w:rsidRDefault="006B0642" w:rsidP="00D93FE6">
      <w:pPr>
        <w:pStyle w:val="FootnoteText"/>
        <w:ind w:left="567" w:hanging="567"/>
        <w:rPr>
          <w:sz w:val="24"/>
          <w:lang w:val="fi-FI"/>
        </w:rPr>
      </w:pPr>
      <w:r w:rsidRPr="00D93FE6">
        <w:rPr>
          <w:rStyle w:val="FootnoteReference"/>
          <w:sz w:val="24"/>
          <w:lang w:val="da-DK"/>
        </w:rPr>
        <w:footnoteRef/>
      </w:r>
      <w:r w:rsidR="00D93FE6" w:rsidRPr="002E3704">
        <w:rPr>
          <w:sz w:val="24"/>
          <w:lang w:val="fi-FI"/>
        </w:rPr>
        <w:t xml:space="preserve"> </w:t>
      </w:r>
      <w:r w:rsidR="00D93FE6" w:rsidRPr="002E3704">
        <w:rPr>
          <w:sz w:val="24"/>
          <w:lang w:val="fi-FI"/>
        </w:rPr>
        <w:tab/>
      </w:r>
      <w:r w:rsidRPr="002E3704">
        <w:rPr>
          <w:sz w:val="24"/>
          <w:lang w:val="fi-FI"/>
        </w:rPr>
        <w:t xml:space="preserve">EUT L, 2024/3242, 23.12.2024, ELI: </w:t>
      </w:r>
      <w:hyperlink r:id="rId10" w:history="1">
        <w:r w:rsidRPr="002E3704">
          <w:rPr>
            <w:rStyle w:val="Hyperlink"/>
            <w:sz w:val="24"/>
            <w:shd w:val="clear" w:color="auto" w:fill="FFFFFF"/>
            <w:lang w:val="fi-FI"/>
          </w:rPr>
          <w:t>http://data.europa.eu/eli/reg/2024/3242/oj</w:t>
        </w:r>
      </w:hyperlink>
      <w:r w:rsidRPr="002E3704">
        <w:rPr>
          <w:sz w:val="24"/>
          <w:lang w:val="fi-FI"/>
        </w:rPr>
        <w:t xml:space="preserve">. </w:t>
      </w:r>
    </w:p>
  </w:footnote>
  <w:footnote w:id="13">
    <w:p w14:paraId="16354406" w14:textId="42A49CE6" w:rsidR="006B0642" w:rsidRPr="00D93FE6" w:rsidRDefault="006B0642" w:rsidP="00D93FE6">
      <w:pPr>
        <w:pStyle w:val="FootnoteText"/>
        <w:ind w:left="567" w:hanging="567"/>
        <w:rPr>
          <w:sz w:val="24"/>
          <w:lang w:val="da-DK"/>
        </w:rPr>
      </w:pPr>
      <w:r w:rsidRPr="00D93FE6">
        <w:rPr>
          <w:rStyle w:val="FootnoteReference"/>
          <w:sz w:val="24"/>
          <w:lang w:val="da-DK"/>
        </w:rPr>
        <w:footnoteRef/>
      </w:r>
      <w:r w:rsidR="00D93FE6" w:rsidRPr="00D93FE6">
        <w:rPr>
          <w:sz w:val="24"/>
          <w:lang w:val="da-DK"/>
        </w:rPr>
        <w:t xml:space="preserve"> </w:t>
      </w:r>
      <w:r w:rsidR="00D93FE6" w:rsidRPr="00D93FE6">
        <w:rPr>
          <w:sz w:val="24"/>
          <w:lang w:val="da-DK"/>
        </w:rPr>
        <w:tab/>
      </w:r>
      <w:r w:rsidRPr="00D93FE6">
        <w:rPr>
          <w:sz w:val="24"/>
          <w:lang w:val="da-DK"/>
        </w:rPr>
        <w:t>Vedtagne tekster, P10_</w:t>
      </w:r>
      <w:proofErr w:type="gramStart"/>
      <w:r w:rsidRPr="00D93FE6">
        <w:rPr>
          <w:sz w:val="24"/>
          <w:lang w:val="da-DK"/>
        </w:rPr>
        <w:t>TA(</w:t>
      </w:r>
      <w:proofErr w:type="gramEnd"/>
      <w:r w:rsidRPr="00D93FE6">
        <w:rPr>
          <w:sz w:val="24"/>
          <w:lang w:val="da-DK"/>
        </w:rPr>
        <w:t>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FEDC0" w14:textId="77777777" w:rsidR="00064002" w:rsidRPr="00D93F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C2A63" w14:textId="77777777" w:rsidR="00064002" w:rsidRPr="00D93F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4B37" w14:textId="77777777" w:rsidR="00064002" w:rsidRPr="00D93F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5775593">
    <w:abstractNumId w:val="9"/>
  </w:num>
  <w:num w:numId="2" w16cid:durableId="1381325378">
    <w:abstractNumId w:val="9"/>
  </w:num>
  <w:num w:numId="3" w16cid:durableId="1756825056">
    <w:abstractNumId w:val="7"/>
  </w:num>
  <w:num w:numId="4" w16cid:durableId="1132288364">
    <w:abstractNumId w:val="7"/>
  </w:num>
  <w:num w:numId="5" w16cid:durableId="1542133695">
    <w:abstractNumId w:val="6"/>
  </w:num>
  <w:num w:numId="6" w16cid:durableId="452217226">
    <w:abstractNumId w:val="6"/>
  </w:num>
  <w:num w:numId="7" w16cid:durableId="331107777">
    <w:abstractNumId w:val="5"/>
  </w:num>
  <w:num w:numId="8" w16cid:durableId="656763047">
    <w:abstractNumId w:val="5"/>
  </w:num>
  <w:num w:numId="9" w16cid:durableId="1842696085">
    <w:abstractNumId w:val="4"/>
  </w:num>
  <w:num w:numId="10" w16cid:durableId="1249344197">
    <w:abstractNumId w:val="4"/>
  </w:num>
  <w:num w:numId="11" w16cid:durableId="1599482614">
    <w:abstractNumId w:val="8"/>
  </w:num>
  <w:num w:numId="12" w16cid:durableId="619262612">
    <w:abstractNumId w:val="8"/>
  </w:num>
  <w:num w:numId="13" w16cid:durableId="2147313300">
    <w:abstractNumId w:val="3"/>
  </w:num>
  <w:num w:numId="14" w16cid:durableId="1873566360">
    <w:abstractNumId w:val="3"/>
  </w:num>
  <w:num w:numId="15" w16cid:durableId="1479371908">
    <w:abstractNumId w:val="2"/>
  </w:num>
  <w:num w:numId="16" w16cid:durableId="1257980381">
    <w:abstractNumId w:val="2"/>
  </w:num>
  <w:num w:numId="17" w16cid:durableId="192882256">
    <w:abstractNumId w:val="1"/>
  </w:num>
  <w:num w:numId="18" w16cid:durableId="1872840106">
    <w:abstractNumId w:val="1"/>
  </w:num>
  <w:num w:numId="19" w16cid:durableId="2018606204">
    <w:abstractNumId w:val="0"/>
  </w:num>
  <w:num w:numId="20" w16cid:durableId="1085415777">
    <w:abstractNumId w:val="0"/>
  </w:num>
  <w:num w:numId="21" w16cid:durableId="1690525894">
    <w:abstractNumId w:val="9"/>
  </w:num>
  <w:num w:numId="22" w16cid:durableId="2071952295">
    <w:abstractNumId w:val="7"/>
  </w:num>
  <w:num w:numId="23" w16cid:durableId="1561358803">
    <w:abstractNumId w:val="6"/>
  </w:num>
  <w:num w:numId="24" w16cid:durableId="419103017">
    <w:abstractNumId w:val="5"/>
  </w:num>
  <w:num w:numId="25" w16cid:durableId="1727954567">
    <w:abstractNumId w:val="4"/>
  </w:num>
  <w:num w:numId="26" w16cid:durableId="1234463411">
    <w:abstractNumId w:val="8"/>
  </w:num>
  <w:num w:numId="27" w16cid:durableId="1603957526">
    <w:abstractNumId w:val="3"/>
  </w:num>
  <w:num w:numId="28" w16cid:durableId="1910310594">
    <w:abstractNumId w:val="2"/>
  </w:num>
  <w:num w:numId="29" w16cid:durableId="208225605">
    <w:abstractNumId w:val="1"/>
  </w:num>
  <w:num w:numId="30" w16cid:durableId="1956517927">
    <w:abstractNumId w:val="0"/>
  </w:num>
  <w:num w:numId="31" w16cid:durableId="1245409229">
    <w:abstractNumId w:val="9"/>
  </w:num>
  <w:num w:numId="32" w16cid:durableId="1595632628">
    <w:abstractNumId w:val="7"/>
  </w:num>
  <w:num w:numId="33" w16cid:durableId="921647746">
    <w:abstractNumId w:val="6"/>
  </w:num>
  <w:num w:numId="34" w16cid:durableId="2069450821">
    <w:abstractNumId w:val="5"/>
  </w:num>
  <w:num w:numId="35" w16cid:durableId="559943004">
    <w:abstractNumId w:val="4"/>
  </w:num>
  <w:num w:numId="36" w16cid:durableId="1865942822">
    <w:abstractNumId w:val="8"/>
  </w:num>
  <w:num w:numId="37" w16cid:durableId="221600514">
    <w:abstractNumId w:val="3"/>
  </w:num>
  <w:num w:numId="38" w16cid:durableId="1339506231">
    <w:abstractNumId w:val="2"/>
  </w:num>
  <w:num w:numId="39" w16cid:durableId="1331450117">
    <w:abstractNumId w:val="1"/>
  </w:num>
  <w:num w:numId="40" w16cid:durableId="2141263137">
    <w:abstractNumId w:val="0"/>
  </w:num>
  <w:num w:numId="41" w16cid:durableId="1444837444">
    <w:abstractNumId w:val="10"/>
  </w:num>
  <w:num w:numId="42" w16cid:durableId="1575509630">
    <w:abstractNumId w:val="10"/>
  </w:num>
  <w:num w:numId="43" w16cid:durableId="1556623488">
    <w:abstractNumId w:val="10"/>
  </w:num>
  <w:num w:numId="44" w16cid:durableId="7454184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DA"/>
    <w:docVar w:name="dvnumam" w:val="0"/>
    <w:docVar w:name="dvpe" w:val="778.223"/>
    <w:docVar w:name="dvrapporteur" w:val="Ordfører: "/>
    <w:docVar w:name="dvtitre" w:val="Europa-Parlamentets beslutning af xx.xx 2025 om forslag til Europa-Parlamentets og Rådets afgørelse om anvendelse af Den Europæiske Unions Solidaritetsfond med henblik på at yde bistand til Spanien i forbindelse med oversvømmelserne i regionen Valencia i Spanien i oktober 2024 og Frankrig efter skader forårsaget af cyklonen Chido, som ramte Mayotte i december 2024, og cyklonen Garance, som ramte Réunion i februar 2025(COM(2025)0855 – C10-0239/2025 – 2025/0318(BUD))"/>
  </w:docVars>
  <w:rsids>
    <w:rsidRoot w:val="00E13E9A"/>
    <w:rsid w:val="00002272"/>
    <w:rsid w:val="00064002"/>
    <w:rsid w:val="000677B9"/>
    <w:rsid w:val="000831BA"/>
    <w:rsid w:val="000A42CC"/>
    <w:rsid w:val="000E7DD9"/>
    <w:rsid w:val="0010095E"/>
    <w:rsid w:val="00125B37"/>
    <w:rsid w:val="00141703"/>
    <w:rsid w:val="00187494"/>
    <w:rsid w:val="001C1467"/>
    <w:rsid w:val="001F32AE"/>
    <w:rsid w:val="002279AC"/>
    <w:rsid w:val="002767FF"/>
    <w:rsid w:val="002B18FE"/>
    <w:rsid w:val="002B5493"/>
    <w:rsid w:val="002E3704"/>
    <w:rsid w:val="002E5203"/>
    <w:rsid w:val="00343214"/>
    <w:rsid w:val="00361C00"/>
    <w:rsid w:val="00395FA1"/>
    <w:rsid w:val="003A0799"/>
    <w:rsid w:val="003E15D4"/>
    <w:rsid w:val="00411CCE"/>
    <w:rsid w:val="0041666E"/>
    <w:rsid w:val="00421060"/>
    <w:rsid w:val="004564B4"/>
    <w:rsid w:val="00471C19"/>
    <w:rsid w:val="004867E3"/>
    <w:rsid w:val="00494A28"/>
    <w:rsid w:val="004C0004"/>
    <w:rsid w:val="004C4160"/>
    <w:rsid w:val="004C5D52"/>
    <w:rsid w:val="0050519A"/>
    <w:rsid w:val="005072A1"/>
    <w:rsid w:val="00514517"/>
    <w:rsid w:val="00545827"/>
    <w:rsid w:val="00560270"/>
    <w:rsid w:val="005C2568"/>
    <w:rsid w:val="005F1B17"/>
    <w:rsid w:val="006037C0"/>
    <w:rsid w:val="006236BB"/>
    <w:rsid w:val="006631B6"/>
    <w:rsid w:val="00680577"/>
    <w:rsid w:val="006B0642"/>
    <w:rsid w:val="006C090A"/>
    <w:rsid w:val="006F74FA"/>
    <w:rsid w:val="00713958"/>
    <w:rsid w:val="00731ADD"/>
    <w:rsid w:val="00734777"/>
    <w:rsid w:val="00747932"/>
    <w:rsid w:val="00751A4A"/>
    <w:rsid w:val="00756632"/>
    <w:rsid w:val="00762C74"/>
    <w:rsid w:val="00786EC0"/>
    <w:rsid w:val="007D1690"/>
    <w:rsid w:val="007E22AD"/>
    <w:rsid w:val="00817416"/>
    <w:rsid w:val="00842779"/>
    <w:rsid w:val="008572F1"/>
    <w:rsid w:val="00865F67"/>
    <w:rsid w:val="00881A7B"/>
    <w:rsid w:val="008840E5"/>
    <w:rsid w:val="00887B3E"/>
    <w:rsid w:val="008C2AC6"/>
    <w:rsid w:val="00930C23"/>
    <w:rsid w:val="0093193B"/>
    <w:rsid w:val="009509D8"/>
    <w:rsid w:val="00950B64"/>
    <w:rsid w:val="009552A9"/>
    <w:rsid w:val="00981893"/>
    <w:rsid w:val="009F6B7C"/>
    <w:rsid w:val="00A1687D"/>
    <w:rsid w:val="00A43E52"/>
    <w:rsid w:val="00A4678D"/>
    <w:rsid w:val="00A778C7"/>
    <w:rsid w:val="00AB441E"/>
    <w:rsid w:val="00AB6293"/>
    <w:rsid w:val="00AE0928"/>
    <w:rsid w:val="00AF3B82"/>
    <w:rsid w:val="00B02F48"/>
    <w:rsid w:val="00B12E95"/>
    <w:rsid w:val="00B22876"/>
    <w:rsid w:val="00B558F0"/>
    <w:rsid w:val="00B837F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FE6"/>
    <w:rsid w:val="00DA7FCD"/>
    <w:rsid w:val="00E135E8"/>
    <w:rsid w:val="00E13E9A"/>
    <w:rsid w:val="00E365E1"/>
    <w:rsid w:val="00E820A4"/>
    <w:rsid w:val="00EB006A"/>
    <w:rsid w:val="00EB4772"/>
    <w:rsid w:val="00ED169E"/>
    <w:rsid w:val="00ED4235"/>
    <w:rsid w:val="00F04346"/>
    <w:rsid w:val="00F075DC"/>
    <w:rsid w:val="00F149E9"/>
    <w:rsid w:val="00F5134D"/>
    <w:rsid w:val="00F74202"/>
    <w:rsid w:val="00F87713"/>
    <w:rsid w:val="00F87857"/>
    <w:rsid w:val="00FB423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1B512"/>
  <w15:chartTrackingRefBased/>
  <w15:docId w15:val="{974381A6-7F78-4F57-B814-947AC81E7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064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B0642"/>
    <w:pPr>
      <w:keepNext/>
      <w:spacing w:after="480"/>
      <w:jc w:val="center"/>
    </w:pPr>
    <w:rPr>
      <w:rFonts w:ascii="Arial" w:hAnsi="Arial" w:cs="Arial"/>
      <w:b/>
    </w:rPr>
  </w:style>
  <w:style w:type="paragraph" w:customStyle="1" w:styleId="NormalHanging12a">
    <w:name w:val="NormalHanging12a"/>
    <w:basedOn w:val="Normal"/>
    <w:rsid w:val="006B0642"/>
    <w:pPr>
      <w:spacing w:after="240"/>
      <w:ind w:left="567" w:hanging="567"/>
    </w:pPr>
  </w:style>
  <w:style w:type="paragraph" w:styleId="Header">
    <w:name w:val="header"/>
    <w:basedOn w:val="Normal"/>
    <w:link w:val="HeaderChar"/>
    <w:rsid w:val="006B0642"/>
    <w:pPr>
      <w:tabs>
        <w:tab w:val="center" w:pos="4513"/>
        <w:tab w:val="right" w:pos="9026"/>
      </w:tabs>
    </w:pPr>
  </w:style>
  <w:style w:type="character" w:customStyle="1" w:styleId="HeaderChar">
    <w:name w:val="Header Char"/>
    <w:basedOn w:val="DefaultParagraphFont"/>
    <w:link w:val="Header"/>
    <w:rsid w:val="006B0642"/>
    <w:rPr>
      <w:sz w:val="24"/>
      <w:lang w:val="da-DK"/>
    </w:rPr>
  </w:style>
  <w:style w:type="paragraph" w:customStyle="1" w:styleId="NormalBold24a">
    <w:name w:val="NormalBold24a"/>
    <w:basedOn w:val="Normal"/>
    <w:rsid w:val="006B0642"/>
    <w:pPr>
      <w:spacing w:after="480"/>
    </w:pPr>
    <w:rPr>
      <w:b/>
      <w:bCs/>
    </w:rPr>
  </w:style>
  <w:style w:type="paragraph" w:customStyle="1" w:styleId="EPFooter">
    <w:name w:val="EPFooter"/>
    <w:basedOn w:val="Normal"/>
    <w:rsid w:val="006B0642"/>
    <w:pPr>
      <w:tabs>
        <w:tab w:val="center" w:pos="4535"/>
        <w:tab w:val="right" w:pos="9071"/>
      </w:tabs>
      <w:spacing w:before="240" w:after="240"/>
    </w:pPr>
    <w:rPr>
      <w:color w:val="010000"/>
      <w:sz w:val="22"/>
    </w:rPr>
  </w:style>
  <w:style w:type="paragraph" w:customStyle="1" w:styleId="EPComma">
    <w:name w:val="EPComma"/>
    <w:basedOn w:val="Normal"/>
    <w:rsid w:val="006B0642"/>
    <w:pPr>
      <w:spacing w:before="480" w:after="240"/>
    </w:pPr>
  </w:style>
  <w:style w:type="character" w:styleId="Hyperlink">
    <w:name w:val="Hyperlink"/>
    <w:basedOn w:val="DefaultParagraphFont"/>
    <w:uiPriority w:val="99"/>
    <w:rsid w:val="006B0642"/>
    <w:rPr>
      <w:color w:val="0563C1" w:themeColor="hyperlink"/>
      <w:u w:val="single"/>
    </w:rPr>
  </w:style>
  <w:style w:type="paragraph" w:styleId="Revision">
    <w:name w:val="Revision"/>
    <w:hidden/>
    <w:uiPriority w:val="99"/>
    <w:semiHidden/>
    <w:rsid w:val="009552A9"/>
    <w:rPr>
      <w:sz w:val="24"/>
      <w:lang w:val="da-DK"/>
    </w:rPr>
  </w:style>
  <w:style w:type="character" w:customStyle="1" w:styleId="Heading6Char">
    <w:name w:val="Heading 6 Char"/>
    <w:basedOn w:val="DefaultParagraphFont"/>
    <w:link w:val="Heading6"/>
    <w:uiPriority w:val="9"/>
    <w:semiHidden/>
    <w:rsid w:val="008572F1"/>
    <w:rPr>
      <w:i/>
      <w:sz w:val="22"/>
      <w:lang w:val="da-DK"/>
    </w:rPr>
  </w:style>
  <w:style w:type="character" w:styleId="CommentReference">
    <w:name w:val="annotation reference"/>
    <w:basedOn w:val="DefaultParagraphFont"/>
    <w:rsid w:val="008572F1"/>
    <w:rPr>
      <w:sz w:val="16"/>
      <w:szCs w:val="16"/>
    </w:rPr>
  </w:style>
  <w:style w:type="paragraph" w:styleId="CommentText">
    <w:name w:val="annotation text"/>
    <w:basedOn w:val="Normal"/>
    <w:link w:val="CommentTextChar"/>
    <w:rsid w:val="008572F1"/>
    <w:rPr>
      <w:sz w:val="20"/>
    </w:rPr>
  </w:style>
  <w:style w:type="character" w:customStyle="1" w:styleId="CommentTextChar">
    <w:name w:val="Comment Text Char"/>
    <w:basedOn w:val="DefaultParagraphFont"/>
    <w:link w:val="CommentText"/>
    <w:rsid w:val="008572F1"/>
    <w:rPr>
      <w:lang w:val="da-DK"/>
    </w:rPr>
  </w:style>
  <w:style w:type="paragraph" w:styleId="CommentSubject">
    <w:name w:val="annotation subject"/>
    <w:basedOn w:val="CommentText"/>
    <w:next w:val="CommentText"/>
    <w:link w:val="CommentSubjectChar"/>
    <w:rsid w:val="008572F1"/>
    <w:rPr>
      <w:b/>
      <w:bCs/>
    </w:rPr>
  </w:style>
  <w:style w:type="character" w:customStyle="1" w:styleId="CommentSubjectChar">
    <w:name w:val="Comment Subject Char"/>
    <w:basedOn w:val="CommentTextChar"/>
    <w:link w:val="CommentSubject"/>
    <w:rsid w:val="008572F1"/>
    <w:rPr>
      <w:b/>
      <w:bCs/>
      <w:lang w:val="da-DK"/>
    </w:rPr>
  </w:style>
  <w:style w:type="character" w:styleId="Emphasis">
    <w:name w:val="Emphasis"/>
    <w:basedOn w:val="DefaultParagraphFont"/>
    <w:qFormat/>
    <w:rsid w:val="004564B4"/>
    <w:rPr>
      <w:rFonts w:asciiTheme="minorHAnsi" w:hAnsiTheme="minorHAnsi"/>
      <w:b/>
      <w:i/>
      <w:iCs/>
    </w:rPr>
  </w:style>
  <w:style w:type="paragraph" w:styleId="Footer">
    <w:name w:val="footer"/>
    <w:basedOn w:val="Normal"/>
    <w:link w:val="FooterChar"/>
    <w:rsid w:val="004564B4"/>
    <w:pPr>
      <w:tabs>
        <w:tab w:val="center" w:pos="4513"/>
        <w:tab w:val="right" w:pos="9026"/>
      </w:tabs>
    </w:pPr>
  </w:style>
  <w:style w:type="character" w:customStyle="1" w:styleId="FooterChar">
    <w:name w:val="Footer Char"/>
    <w:basedOn w:val="DefaultParagraphFont"/>
    <w:link w:val="Footer"/>
    <w:rsid w:val="004564B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1764</Words>
  <Characters>10970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2026-01-21T11:18:00Z</dcterms:created>
  <dcterms:modified xsi:type="dcterms:W3CDTF">2026-01-21T11:18:00Z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P10_TA(2025)0274_</vt:lpwstr>
  </property>
  <property fmtid="{D5CDD505-2E9C-101B-9397-08002B2CF9AE}" pid="4" name="&lt;Type&gt;">
    <vt:lpwstr>RR</vt:lpwstr>
  </property>
</Properties>
</file>