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1D26" w14:paraId="5CB59639" w14:textId="77777777" w:rsidTr="0010095E">
        <w:trPr>
          <w:trHeight w:hRule="exact" w:val="1418"/>
        </w:trPr>
        <w:tc>
          <w:tcPr>
            <w:tcW w:w="6804" w:type="dxa"/>
            <w:shd w:val="clear" w:color="auto" w:fill="auto"/>
            <w:vAlign w:val="center"/>
          </w:tcPr>
          <w:p w14:paraId="0638DE82" w14:textId="77777777" w:rsidR="00751A4A" w:rsidRPr="00601D26" w:rsidRDefault="0057065A" w:rsidP="0010095E">
            <w:pPr>
              <w:pStyle w:val="EPName"/>
            </w:pPr>
            <w:r w:rsidRPr="00601D26">
              <w:t>Euroopan parlamentti</w:t>
            </w:r>
          </w:p>
          <w:p w14:paraId="4EBCE3C3" w14:textId="77777777" w:rsidR="00751A4A" w:rsidRPr="00601D26" w:rsidRDefault="005F1B17" w:rsidP="005F1B17">
            <w:pPr>
              <w:pStyle w:val="EPTerm"/>
              <w:rPr>
                <w:rStyle w:val="HideTWBExt"/>
                <w:noProof w:val="0"/>
                <w:vanish w:val="0"/>
                <w:color w:val="auto"/>
              </w:rPr>
            </w:pPr>
            <w:proofErr w:type="gramStart"/>
            <w:r w:rsidRPr="00601D26">
              <w:t>2024</w:t>
            </w:r>
            <w:r w:rsidR="00817416" w:rsidRPr="00601D26">
              <w:t>-202</w:t>
            </w:r>
            <w:r w:rsidRPr="00601D26">
              <w:t>9</w:t>
            </w:r>
            <w:proofErr w:type="gramEnd"/>
          </w:p>
        </w:tc>
        <w:tc>
          <w:tcPr>
            <w:tcW w:w="2268" w:type="dxa"/>
            <w:shd w:val="clear" w:color="auto" w:fill="auto"/>
          </w:tcPr>
          <w:p w14:paraId="3F7A9511" w14:textId="77777777" w:rsidR="00751A4A" w:rsidRPr="00601D26" w:rsidRDefault="00187494" w:rsidP="0010095E">
            <w:pPr>
              <w:pStyle w:val="EPLogo"/>
            </w:pPr>
            <w:r w:rsidRPr="00601D26">
              <w:rPr>
                <w:noProof/>
                <w:lang w:eastAsia="ja-JP"/>
              </w:rPr>
              <w:drawing>
                <wp:inline distT="0" distB="0" distL="0" distR="0" wp14:anchorId="3551DFDE" wp14:editId="2106216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50FBDF" w14:textId="77777777" w:rsidR="00D058B8" w:rsidRPr="00601D26" w:rsidRDefault="00D058B8" w:rsidP="004C5D52">
      <w:pPr>
        <w:pStyle w:val="LineTop"/>
      </w:pPr>
    </w:p>
    <w:p w14:paraId="66DB7AD1" w14:textId="77777777" w:rsidR="00680577" w:rsidRPr="00601D26" w:rsidRDefault="0057065A" w:rsidP="00680577">
      <w:pPr>
        <w:pStyle w:val="EPBodyTA1"/>
      </w:pPr>
      <w:r w:rsidRPr="00601D26">
        <w:t>HYVÄKSYTYT TEKSTIT</w:t>
      </w:r>
    </w:p>
    <w:p w14:paraId="0D0397D8" w14:textId="77777777" w:rsidR="00D058B8" w:rsidRPr="00601D26" w:rsidRDefault="00D058B8" w:rsidP="00D058B8">
      <w:pPr>
        <w:pStyle w:val="LineBottom"/>
      </w:pPr>
    </w:p>
    <w:p w14:paraId="5DE4ECDE" w14:textId="494CBA14" w:rsidR="0057065A" w:rsidRPr="00601D26" w:rsidRDefault="0057065A" w:rsidP="0057065A">
      <w:pPr>
        <w:pStyle w:val="ATHeading1"/>
      </w:pPr>
      <w:bookmarkStart w:id="0" w:name="TANumber"/>
      <w:r w:rsidRPr="00601D26">
        <w:t>P10_</w:t>
      </w:r>
      <w:proofErr w:type="gramStart"/>
      <w:r w:rsidRPr="00601D26">
        <w:t>TA(</w:t>
      </w:r>
      <w:proofErr w:type="gramEnd"/>
      <w:r w:rsidRPr="00601D26">
        <w:t>2025)0</w:t>
      </w:r>
      <w:r w:rsidR="001D3FC2">
        <w:t>27</w:t>
      </w:r>
      <w:r w:rsidR="00051E6D">
        <w:t>4</w:t>
      </w:r>
      <w:bookmarkEnd w:id="0"/>
    </w:p>
    <w:p w14:paraId="325FF1B7" w14:textId="1748100C" w:rsidR="0057065A" w:rsidRPr="00601D26" w:rsidRDefault="0057065A" w:rsidP="00C32500">
      <w:pPr>
        <w:pStyle w:val="ATHeading2"/>
      </w:pPr>
      <w:bookmarkStart w:id="1" w:name="title"/>
      <w:r w:rsidRPr="00601D26">
        <w:t xml:space="preserve">Euroopan </w:t>
      </w:r>
      <w:r w:rsidR="00C32500" w:rsidRPr="00601D26">
        <w:t xml:space="preserve">unionin solidaarisuusrahaston varojen käyttöönotto: tuen antaminen Espanjalle ja Ranskalle vuosien 2024 ja 2025 luonnonkatastrofien </w:t>
      </w:r>
      <w:proofErr w:type="gramStart"/>
      <w:r w:rsidR="00C32500" w:rsidRPr="00601D26">
        <w:t>johdosta</w:t>
      </w:r>
      <w:bookmarkEnd w:id="1"/>
      <w:proofErr w:type="gramEnd"/>
    </w:p>
    <w:p w14:paraId="25C8D6FE" w14:textId="77777777" w:rsidR="0057065A" w:rsidRPr="00601D26" w:rsidRDefault="0057065A" w:rsidP="0057065A">
      <w:pPr>
        <w:rPr>
          <w:i/>
          <w:vanish/>
        </w:rPr>
      </w:pPr>
      <w:r w:rsidRPr="00601D26">
        <w:rPr>
          <w:i/>
        </w:rPr>
        <w:fldChar w:fldCharType="begin"/>
      </w:r>
      <w:r w:rsidRPr="00601D26">
        <w:rPr>
          <w:i/>
        </w:rPr>
        <w:instrText xml:space="preserve"> TC"(</w:instrText>
      </w:r>
      <w:bookmarkStart w:id="2" w:name="DocNumber"/>
      <w:r w:rsidRPr="00601D26">
        <w:rPr>
          <w:i/>
        </w:rPr>
        <w:instrText>A10-0215/2025</w:instrText>
      </w:r>
      <w:bookmarkEnd w:id="2"/>
      <w:r w:rsidRPr="00601D26">
        <w:rPr>
          <w:i/>
        </w:rPr>
        <w:instrText xml:space="preserve"> - Esittelijä: Sandra </w:instrText>
      </w:r>
      <w:proofErr w:type="spellStart"/>
      <w:r w:rsidRPr="00601D26">
        <w:rPr>
          <w:i/>
        </w:rPr>
        <w:instrText>Gómez</w:instrText>
      </w:r>
      <w:proofErr w:type="spellEnd"/>
      <w:r w:rsidRPr="00601D26">
        <w:rPr>
          <w:i/>
        </w:rPr>
        <w:instrText xml:space="preserve"> </w:instrText>
      </w:r>
      <w:proofErr w:type="spellStart"/>
      <w:r w:rsidRPr="00601D26">
        <w:rPr>
          <w:i/>
        </w:rPr>
        <w:instrText>López</w:instrText>
      </w:r>
      <w:proofErr w:type="spellEnd"/>
      <w:r w:rsidRPr="00601D26">
        <w:rPr>
          <w:i/>
        </w:rPr>
        <w:instrText xml:space="preserve">)"\l3 \n&gt; \* MERGEFORMAT </w:instrText>
      </w:r>
      <w:r w:rsidRPr="00601D26">
        <w:rPr>
          <w:i/>
        </w:rPr>
        <w:fldChar w:fldCharType="end"/>
      </w:r>
    </w:p>
    <w:p w14:paraId="24EC9C20" w14:textId="77777777" w:rsidR="0057065A" w:rsidRPr="00601D26" w:rsidRDefault="0057065A" w:rsidP="0057065A">
      <w:pPr>
        <w:rPr>
          <w:vanish/>
        </w:rPr>
      </w:pPr>
      <w:bookmarkStart w:id="3" w:name="Commission"/>
      <w:r w:rsidRPr="00601D26">
        <w:rPr>
          <w:vanish/>
        </w:rPr>
        <w:t>Budjettivaliokunta</w:t>
      </w:r>
      <w:bookmarkEnd w:id="3"/>
    </w:p>
    <w:p w14:paraId="242E46E7" w14:textId="77777777" w:rsidR="0057065A" w:rsidRPr="00601D26" w:rsidRDefault="0057065A" w:rsidP="0057065A">
      <w:pPr>
        <w:rPr>
          <w:vanish/>
        </w:rPr>
      </w:pPr>
      <w:bookmarkStart w:id="4" w:name="PE"/>
      <w:r w:rsidRPr="00601D26">
        <w:rPr>
          <w:vanish/>
        </w:rPr>
        <w:t>PE778.223</w:t>
      </w:r>
      <w:bookmarkEnd w:id="4"/>
    </w:p>
    <w:p w14:paraId="1E62C624" w14:textId="77777777" w:rsidR="0057065A" w:rsidRPr="00601D26" w:rsidRDefault="0057065A" w:rsidP="0057065A">
      <w:pPr>
        <w:pStyle w:val="ATHeading3"/>
      </w:pPr>
      <w:bookmarkStart w:id="5" w:name="Sujet"/>
      <w:r w:rsidRPr="00601D26">
        <w:t xml:space="preserve">Euroopan parlamentin päätöslauselma 13. marraskuuta 2025 ehdotuksesta Euroopan parlamentin ja neuvoston päätökseksi Euroopan unionin solidaarisuusrahaston varojen käyttöönotosta tuen antamiseksi Espanjalle Valencian alueella Espanjassa lokakuussa 2024 esiintyneiden tulvien johdosta ja Ranskalle </w:t>
      </w:r>
      <w:proofErr w:type="spellStart"/>
      <w:r w:rsidRPr="00601D26">
        <w:t>Chido</w:t>
      </w:r>
      <w:proofErr w:type="spellEnd"/>
      <w:r w:rsidRPr="00601D26">
        <w:t xml:space="preserve">-syklonin Mayottessa joulukuussa 2024 ja </w:t>
      </w:r>
      <w:proofErr w:type="spellStart"/>
      <w:r w:rsidRPr="00601D26">
        <w:t>Garance</w:t>
      </w:r>
      <w:proofErr w:type="spellEnd"/>
      <w:r w:rsidRPr="00601D26">
        <w:t>-syklonin Réunionissa helmikuussa 2025 aiheuttamien vahinkojen johdosta</w:t>
      </w:r>
      <w:bookmarkEnd w:id="5"/>
      <w:r w:rsidRPr="00601D26">
        <w:t xml:space="preserve"> </w:t>
      </w:r>
      <w:bookmarkStart w:id="6" w:name="References"/>
      <w:r w:rsidRPr="00601D26">
        <w:t>(</w:t>
      </w:r>
      <w:proofErr w:type="gramStart"/>
      <w:r w:rsidRPr="00601D26">
        <w:t>COM(</w:t>
      </w:r>
      <w:proofErr w:type="gramEnd"/>
      <w:r w:rsidRPr="00601D26">
        <w:t>2025)0855 – C10-0239/2025 – 2025/0318(BUD))</w:t>
      </w:r>
      <w:bookmarkEnd w:id="6"/>
    </w:p>
    <w:p w14:paraId="49C2213D" w14:textId="77777777" w:rsidR="006B4425" w:rsidRPr="00601D26" w:rsidRDefault="006B4425" w:rsidP="006B4425">
      <w:pPr>
        <w:pStyle w:val="EPComma"/>
        <w:widowControl/>
        <w:rPr>
          <w:noProof/>
        </w:rPr>
      </w:pPr>
      <w:r w:rsidRPr="00601D26">
        <w:rPr>
          <w:i/>
        </w:rPr>
        <w:t>Euroopan parlamentti</w:t>
      </w:r>
      <w:r w:rsidRPr="00601D26">
        <w:t>, joka</w:t>
      </w:r>
    </w:p>
    <w:p w14:paraId="37820364" w14:textId="77777777" w:rsidR="006B4425" w:rsidRPr="00601D26" w:rsidRDefault="006B4425" w:rsidP="006B4425">
      <w:pPr>
        <w:pStyle w:val="NormalHanging12a"/>
        <w:widowControl/>
        <w:rPr>
          <w:noProof/>
        </w:rPr>
      </w:pPr>
      <w:r w:rsidRPr="00601D26">
        <w:t>–</w:t>
      </w:r>
      <w:r w:rsidRPr="00601D26">
        <w:tab/>
        <w:t>ottaa huomioon komission ehdotuksen Euroopan parlamentille ja neuvostolle (</w:t>
      </w:r>
      <w:proofErr w:type="gramStart"/>
      <w:r w:rsidRPr="00601D26">
        <w:t>COM(</w:t>
      </w:r>
      <w:proofErr w:type="gramEnd"/>
      <w:r w:rsidRPr="00601D26">
        <w:t>2025)0855 – C10</w:t>
      </w:r>
      <w:r w:rsidRPr="00601D26">
        <w:noBreakHyphen/>
        <w:t>0239/2025),</w:t>
      </w:r>
    </w:p>
    <w:p w14:paraId="11C8F231" w14:textId="77777777" w:rsidR="006B4425" w:rsidRPr="00601D26" w:rsidRDefault="006B4425" w:rsidP="006B4425">
      <w:pPr>
        <w:pStyle w:val="NormalHanging12a"/>
        <w:widowControl/>
        <w:rPr>
          <w:noProof/>
        </w:rPr>
      </w:pPr>
      <w:r w:rsidRPr="00601D26">
        <w:t>–</w:t>
      </w:r>
      <w:r w:rsidRPr="00601D26">
        <w:tab/>
        <w:t>ottaa huomioon Euroopan unionin solidaarisuusrahaston perustamisesta 11. marraskuuta 2002 annetun neuvoston asetuksen (EY) N:o 2012/2002</w:t>
      </w:r>
      <w:r w:rsidRPr="00601D26">
        <w:rPr>
          <w:rStyle w:val="FootnoteReference"/>
        </w:rPr>
        <w:footnoteReference w:id="1"/>
      </w:r>
      <w:r w:rsidRPr="00601D26">
        <w:t>,</w:t>
      </w:r>
    </w:p>
    <w:p w14:paraId="64FFF3A0" w14:textId="77777777" w:rsidR="006B4425" w:rsidRPr="00601D26" w:rsidRDefault="006B4425" w:rsidP="006B4425">
      <w:pPr>
        <w:pStyle w:val="NormalHanging12a"/>
        <w:widowControl/>
        <w:rPr>
          <w:noProof/>
        </w:rPr>
      </w:pPr>
      <w:r w:rsidRPr="00601D26">
        <w:t>–</w:t>
      </w:r>
      <w:r w:rsidRPr="00601D26">
        <w:tab/>
        <w:t>ottaa huomioon vuosia 2021–2027 koskevan monivuotisen rahoituskehyksen vahvistamisesta 17. joulukuuta 2020 annetun neuvoston asetuksen (EU, Euratom) 2020/2093</w:t>
      </w:r>
      <w:r w:rsidRPr="00601D26">
        <w:rPr>
          <w:rStyle w:val="FootnoteReference"/>
        </w:rPr>
        <w:footnoteReference w:id="2"/>
      </w:r>
      <w:r w:rsidRPr="00601D26">
        <w:t xml:space="preserve"> ja erityisesti sen 9 artiklan,</w:t>
      </w:r>
    </w:p>
    <w:p w14:paraId="4A32394F" w14:textId="7CABEFFD" w:rsidR="006B4425" w:rsidRPr="00601D26" w:rsidRDefault="006B4425" w:rsidP="006B4425">
      <w:pPr>
        <w:pStyle w:val="NormalHanging12a"/>
        <w:widowControl/>
        <w:rPr>
          <w:noProof/>
        </w:rPr>
      </w:pPr>
      <w:r w:rsidRPr="00601D26">
        <w:t>–</w:t>
      </w:r>
      <w:r w:rsidRPr="00601D26">
        <w:tab/>
        <w:t xml:space="preserve">ottaa huomioon talousarviota koskevasta kurinalaisuudesta, talousarvioyhteistyöstä ja moitteettomasta varainhoidosta sekä uusista omista varoista, mukaan lukien etenemissuunnitelma uusien omien varojen käyttöönottamiseksi, 16. joulukuuta 2020 tehdyn Euroopan parlamentin, </w:t>
      </w:r>
      <w:r w:rsidR="00E92252" w:rsidRPr="00601D26">
        <w:t xml:space="preserve">Euroopan unionin </w:t>
      </w:r>
      <w:r w:rsidRPr="00601D26">
        <w:t xml:space="preserve">neuvoston ja </w:t>
      </w:r>
      <w:r w:rsidR="00E92252" w:rsidRPr="00601D26">
        <w:t xml:space="preserve">Euroopan </w:t>
      </w:r>
      <w:r w:rsidRPr="00601D26">
        <w:t>komission välisen toimielinten sopimuksen</w:t>
      </w:r>
      <w:r w:rsidRPr="00601D26">
        <w:rPr>
          <w:rStyle w:val="FootnoteReference"/>
        </w:rPr>
        <w:footnoteReference w:id="3"/>
      </w:r>
      <w:r w:rsidRPr="00601D26">
        <w:t xml:space="preserve"> ja erityisesti sen 10 kohdan,</w:t>
      </w:r>
    </w:p>
    <w:p w14:paraId="03CD7308" w14:textId="77777777" w:rsidR="006B4425" w:rsidRPr="00601D26" w:rsidRDefault="006B4425" w:rsidP="006B4425">
      <w:pPr>
        <w:pStyle w:val="NormalHanging12a"/>
        <w:widowControl/>
        <w:rPr>
          <w:noProof/>
        </w:rPr>
      </w:pPr>
      <w:r w:rsidRPr="00601D26">
        <w:lastRenderedPageBreak/>
        <w:t>–</w:t>
      </w:r>
      <w:r w:rsidRPr="00601D26">
        <w:tab/>
        <w:t>ottaa huomioon Euroopan aluekehitysrahastosta ja koheesiorahastosta 24. kesäkuuta 2021 annetun Euroopan parlamentin ja neuvoston asetuksen (EU) 2021/1058</w:t>
      </w:r>
      <w:r w:rsidRPr="00601D26">
        <w:rPr>
          <w:rStyle w:val="FootnoteReference"/>
        </w:rPr>
        <w:footnoteReference w:id="4"/>
      </w:r>
      <w:r w:rsidRPr="00601D26">
        <w:t>,</w:t>
      </w:r>
    </w:p>
    <w:p w14:paraId="7BC29986" w14:textId="77777777" w:rsidR="006B4425" w:rsidRPr="00601D26" w:rsidRDefault="006B4425" w:rsidP="006B4425">
      <w:pPr>
        <w:pStyle w:val="NormalHanging12a"/>
        <w:widowControl/>
        <w:rPr>
          <w:noProof/>
        </w:rPr>
      </w:pPr>
      <w:r w:rsidRPr="00601D26">
        <w:t>–</w:t>
      </w:r>
      <w:r w:rsidRPr="00601D26">
        <w:tab/>
        <w:t>ottaa huomioon Euroopan sosiaalirahasto plussan (ESR+) perustamisesta 24. kesäkuuta 2021 annetun Euroopan parlamentin ja neuvoston asetuksen (EU) 2021/1057</w:t>
      </w:r>
      <w:r w:rsidRPr="00601D26">
        <w:rPr>
          <w:rStyle w:val="FootnoteReference"/>
        </w:rPr>
        <w:footnoteReference w:id="5"/>
      </w:r>
      <w:r w:rsidRPr="00601D26">
        <w:t>,</w:t>
      </w:r>
    </w:p>
    <w:p w14:paraId="73889C8B" w14:textId="77777777" w:rsidR="006B4425" w:rsidRPr="00601D26" w:rsidRDefault="006B4425" w:rsidP="006B4425">
      <w:pPr>
        <w:pStyle w:val="NormalHanging12a"/>
        <w:widowControl/>
        <w:rPr>
          <w:noProof/>
        </w:rPr>
      </w:pPr>
      <w:r w:rsidRPr="00601D26">
        <w:t>–</w:t>
      </w:r>
      <w:r w:rsidRPr="00601D26">
        <w:tab/>
        <w:t>ottaa huomioon jäsenvaltioiden yhteisen maatalouspolitiikan nojalla laadittavien, Euroopan maatalouden tukirahastosta (maataloustukirahasto) ja Euroopan maaseudun kehittämisen maatalousrahastosta (maaseuturahasto) rahoitettavien strategiasuunnitelmien (YMP:n strategiasuunnitelmat) tukea koskevista säännöistä sekä asetusten (EU) N:o 1305/2013 ja (EU) N:o 1307/2013 kumoamisesta 2. joulukuuta 2021 annetun Euroopan parlamentin ja neuvoston asetuksen (EU) 2021/2115</w:t>
      </w:r>
      <w:r w:rsidRPr="00601D26">
        <w:rPr>
          <w:rStyle w:val="FootnoteReference"/>
        </w:rPr>
        <w:footnoteReference w:id="6"/>
      </w:r>
      <w:r w:rsidRPr="00601D26">
        <w:t>,</w:t>
      </w:r>
    </w:p>
    <w:p w14:paraId="5AEA6BDE" w14:textId="77777777" w:rsidR="006B4425" w:rsidRPr="00601D26" w:rsidRDefault="006B4425" w:rsidP="006B4425">
      <w:pPr>
        <w:pStyle w:val="NormalHanging12a"/>
        <w:widowControl/>
        <w:rPr>
          <w:noProof/>
        </w:rPr>
      </w:pPr>
      <w:r w:rsidRPr="00601D26">
        <w:t>–</w:t>
      </w:r>
      <w:r w:rsidRPr="00601D26">
        <w:tab/>
        <w:t>ottaa huomioon työllisyyden ja sosiaaliasioiden valiokunnan ja aluekehitysvaliokunnan mietinnön (A10-0031/2024)</w:t>
      </w:r>
      <w:r w:rsidRPr="00601D26">
        <w:rPr>
          <w:rStyle w:val="FootnoteReference"/>
        </w:rPr>
        <w:footnoteReference w:id="7"/>
      </w:r>
      <w:r w:rsidRPr="00601D26">
        <w:t xml:space="preserve">, joka koskee lainsäädäntömenettelyä 19. joulukuuta 2024 annetun Euroopan parlamentin ja neuvoston asetuksen (EU) 2024/3236 hyväksymiseksi asetusten (EU) 2021/1057 ja (EU) 2021/1058 muuttamisesta jälleenrakennukseen myönnettävän alueellisen hätätilanteen tuen (RESTORE) osalta, ja erityisesti kyseisen mietinnön liitteenä olevan budjettivaliokunnan talousarvionäkökohtia koskevan arvion, </w:t>
      </w:r>
    </w:p>
    <w:p w14:paraId="6E3908B9" w14:textId="77777777" w:rsidR="006B4425" w:rsidRPr="00601D26" w:rsidRDefault="006B4425" w:rsidP="006B4425">
      <w:pPr>
        <w:pStyle w:val="NormalHanging12a"/>
        <w:widowControl/>
        <w:rPr>
          <w:noProof/>
        </w:rPr>
      </w:pPr>
      <w:r w:rsidRPr="00601D26">
        <w:t>–</w:t>
      </w:r>
      <w:r w:rsidRPr="00601D26">
        <w:tab/>
        <w:t>ottaa huomioon 7. toukokuuta 2025 antamansa päätöslauselman unionin pitkän aikavälin uudistetusta talousarviosta muuttuvassa maailmassa</w:t>
      </w:r>
      <w:r w:rsidRPr="00601D26">
        <w:rPr>
          <w:rStyle w:val="FootnoteReference"/>
        </w:rPr>
        <w:footnoteReference w:id="8"/>
      </w:r>
      <w:r w:rsidRPr="00601D26">
        <w:t xml:space="preserve">, </w:t>
      </w:r>
    </w:p>
    <w:p w14:paraId="1D10A2B0" w14:textId="77777777" w:rsidR="006B4425" w:rsidRPr="00601D26" w:rsidRDefault="006B4425" w:rsidP="006B4425">
      <w:pPr>
        <w:pStyle w:val="NormalHanging12a"/>
        <w:widowControl/>
        <w:rPr>
          <w:noProof/>
        </w:rPr>
      </w:pPr>
      <w:r w:rsidRPr="00601D26">
        <w:t>–</w:t>
      </w:r>
      <w:r w:rsidRPr="00601D26">
        <w:tab/>
        <w:t xml:space="preserve">ottaa huomioon Euroopan ympäristökeskuksen raportin nro 1/2024 – European </w:t>
      </w:r>
      <w:proofErr w:type="spellStart"/>
      <w:r w:rsidRPr="00601D26">
        <w:t>Climate</w:t>
      </w:r>
      <w:proofErr w:type="spellEnd"/>
      <w:r w:rsidRPr="00601D26">
        <w:t xml:space="preserve"> </w:t>
      </w:r>
      <w:proofErr w:type="spellStart"/>
      <w:r w:rsidRPr="00601D26">
        <w:t>Risk</w:t>
      </w:r>
      <w:proofErr w:type="spellEnd"/>
      <w:r w:rsidRPr="00601D26">
        <w:t xml:space="preserve"> </w:t>
      </w:r>
      <w:proofErr w:type="spellStart"/>
      <w:r w:rsidRPr="00601D26">
        <w:t>Assessment</w:t>
      </w:r>
      <w:proofErr w:type="spellEnd"/>
      <w:r w:rsidRPr="00601D26">
        <w:t xml:space="preserve"> (EUCRA)</w:t>
      </w:r>
      <w:r w:rsidRPr="00601D26">
        <w:rPr>
          <w:rStyle w:val="FootnoteReference"/>
        </w:rPr>
        <w:footnoteReference w:id="9"/>
      </w:r>
      <w:r w:rsidRPr="00601D26">
        <w:t>,</w:t>
      </w:r>
    </w:p>
    <w:p w14:paraId="223DE89F" w14:textId="77777777" w:rsidR="006B4425" w:rsidRPr="00601D26" w:rsidRDefault="006B4425" w:rsidP="006B4425">
      <w:pPr>
        <w:pStyle w:val="NormalHanging12a"/>
        <w:widowControl/>
        <w:rPr>
          <w:noProof/>
        </w:rPr>
      </w:pPr>
      <w:r w:rsidRPr="00601D26">
        <w:t>–</w:t>
      </w:r>
      <w:r w:rsidRPr="00601D26">
        <w:tab/>
        <w:t>ottaa huomioon budjettivaliokunnan mietinnön (A10-0215/2025),</w:t>
      </w:r>
    </w:p>
    <w:p w14:paraId="3C11D575" w14:textId="77777777" w:rsidR="006B4425" w:rsidRPr="00601D26" w:rsidRDefault="006B4425" w:rsidP="006B4425">
      <w:pPr>
        <w:pStyle w:val="NormalHanging12a"/>
        <w:widowControl/>
        <w:rPr>
          <w:noProof/>
        </w:rPr>
      </w:pPr>
      <w:r w:rsidRPr="00601D26">
        <w:t>A.</w:t>
      </w:r>
      <w:r w:rsidRPr="00601D26">
        <w:tab/>
        <w:t>ottaa huomioon, että 28. lokakuuta ja 4. marraskuuta 2024 välisenä aikana koko Valencian alue Espanjassa kärsi myrskyn tuomista rankkasateista ja niiden aiheuttamasta vakavasta tulvimisesta, joka aiheutti komission arvion mukaan yhteensä 18,08 miljardin euron välittömät vahingot ja vaikutti 845 000 ihmiseen 84 kunnassa sekä 170 oppilaitokseen, yli 50 terveydenhuoltolaitokseen ja julkiseen infrastruktuuriin; ottaa huomioon, että tulvat aiheuttivat ainakin 229 kuolemantapausta;</w:t>
      </w:r>
    </w:p>
    <w:p w14:paraId="1336BE1A" w14:textId="77777777" w:rsidR="006B4425" w:rsidRPr="00601D26" w:rsidRDefault="006B4425" w:rsidP="006B4425">
      <w:pPr>
        <w:pStyle w:val="NormalHanging12a"/>
        <w:widowControl/>
        <w:rPr>
          <w:bCs/>
          <w:iCs/>
          <w:noProof/>
        </w:rPr>
      </w:pPr>
      <w:r w:rsidRPr="00601D26">
        <w:t>B.</w:t>
      </w:r>
      <w:r w:rsidRPr="00601D26">
        <w:tab/>
        <w:t>ottaa huomioon, että Valencian aluehallinnon ja Valencian yritysten keskusliiton esittämissä tutkimuksissa arvioidaan, että myrskyt ja tulvat ovat vaikuttaneet alueen talouteen merkittävällä tavalla 18 miljardin euron edestä ja että vaikutus ulottuu 63 teollisuusalueeseen, 64 000 yritykseen (joista 99,6 prosenttia on pk-yrityksiä) ja 250 000 työntekijään, ja toteaa, että korvaushakemuksia on esitetty 243 388;</w:t>
      </w:r>
    </w:p>
    <w:p w14:paraId="3627A1B2" w14:textId="77777777" w:rsidR="006B4425" w:rsidRPr="00601D26" w:rsidRDefault="006B4425" w:rsidP="006B4425">
      <w:pPr>
        <w:pStyle w:val="NormalHanging12a"/>
        <w:widowControl/>
        <w:rPr>
          <w:noProof/>
        </w:rPr>
      </w:pPr>
      <w:r w:rsidRPr="00601D26">
        <w:t>C.</w:t>
      </w:r>
      <w:r w:rsidRPr="00601D26">
        <w:tab/>
        <w:t xml:space="preserve">ottaa huomioon, että </w:t>
      </w:r>
      <w:proofErr w:type="spellStart"/>
      <w:r w:rsidRPr="00601D26">
        <w:t>Chido</w:t>
      </w:r>
      <w:proofErr w:type="spellEnd"/>
      <w:r w:rsidRPr="00601D26">
        <w:t xml:space="preserve">-syklonin silmä iski Ranskan Mayotten saareen 14. joulukuuta 2024 ja aiheutti tuulenpuuskia, joiden nopeus oli yli 180 kilometriä tunnissa, sekä rankkasateita ja korkeita aaltoja, jotka johtivat komission arvion mukaan </w:t>
      </w:r>
      <w:r w:rsidRPr="00601D26">
        <w:lastRenderedPageBreak/>
        <w:t>yhteensä 3,6 miljardin euron välittömiin vahinkoihin; ottaa huomioon, että sykloni vaikutti 337 000 henkilöön ja aiheutti ainakin 39 kuolemantapausta; ottaa huomioon, että 200 ihmistä on edelleen kadoksissa;</w:t>
      </w:r>
    </w:p>
    <w:p w14:paraId="2972F09F" w14:textId="77777777" w:rsidR="006B4425" w:rsidRPr="00601D26" w:rsidRDefault="006B4425" w:rsidP="006B4425">
      <w:pPr>
        <w:pStyle w:val="NormalHanging12a"/>
        <w:widowControl/>
        <w:rPr>
          <w:noProof/>
        </w:rPr>
      </w:pPr>
      <w:r w:rsidRPr="00601D26">
        <w:t>D.</w:t>
      </w:r>
      <w:r w:rsidRPr="00601D26">
        <w:tab/>
        <w:t xml:space="preserve">ottaa huomioon, että </w:t>
      </w:r>
      <w:proofErr w:type="spellStart"/>
      <w:r w:rsidRPr="00601D26">
        <w:t>Garance</w:t>
      </w:r>
      <w:proofErr w:type="spellEnd"/>
      <w:r w:rsidRPr="00601D26">
        <w:t>-sykloni iski Ranskan Réunionin saareen 28. helmikuuta 2025 johtaen syklonituuliin, joiden nopeus oli peräti 215 kilometriä tunnissa, rankkasateisiin ja vaarallisiin meriolosuhteisiin, jotka aiheuttivat Ranskan viranomaisten arvion mukaan yhteensä 849,45 miljoonan euron välittömät vahingot pääasiassa sähköverkko- ja viestintäinfrastruktuuriin; ottaa huomioon, että sykloni vaikutti 160 000 henkilöön ja aiheutti ainakin neljä kuolemantapausta;</w:t>
      </w:r>
    </w:p>
    <w:p w14:paraId="3985DE20" w14:textId="77777777" w:rsidR="006B4425" w:rsidRPr="00601D26" w:rsidRDefault="006B4425" w:rsidP="006B4425">
      <w:pPr>
        <w:pStyle w:val="NormalHanging12a"/>
        <w:widowControl/>
        <w:rPr>
          <w:noProof/>
        </w:rPr>
      </w:pPr>
      <w:r w:rsidRPr="00601D26">
        <w:t>1.</w:t>
      </w:r>
      <w:r w:rsidRPr="00601D26">
        <w:tab/>
        <w:t>ilmaisee syvän solidaarisuutensa kaikkia uhreja ja heidän perheitään sekä kaikkia Espanjan Valencian alueen tuhoisista tulvista ja Ranskan Mayotten ja Réunionin tuhoisista sykloneista kärsineitä ihmisiä kohtaan samoin kuin avustustoimiin osallistuneita kansallisia, alueellisia ja paikallisia viranomaisia kohtaan;</w:t>
      </w:r>
    </w:p>
    <w:p w14:paraId="5FA74DB6" w14:textId="77777777" w:rsidR="006B4425" w:rsidRPr="00601D26" w:rsidRDefault="006B4425" w:rsidP="006B4425">
      <w:pPr>
        <w:pStyle w:val="NormalHanging12a"/>
        <w:widowControl/>
        <w:rPr>
          <w:noProof/>
        </w:rPr>
      </w:pPr>
      <w:r w:rsidRPr="00601D26">
        <w:t>2.</w:t>
      </w:r>
      <w:r w:rsidRPr="00601D26">
        <w:tab/>
        <w:t>pitää päätöstä myönteisenä, sillä se on konkreettinen ja näkyvä osoitus unionin solidaarisuudesta katastrofeista kärsineitä alueita ja niiden asukkaita kohtaan, mutta toteaa, että tällainen solidaarisuus ei saa korvata paikallisten, alueellisten ja kansallisten viranomaisten suoraa vastuuta ilmastoon liittyvien luonnonkatastrofien ennaltaehkäisemisestä ja hallinnasta;</w:t>
      </w:r>
    </w:p>
    <w:p w14:paraId="305D2206" w14:textId="77777777" w:rsidR="006B4425" w:rsidRPr="00601D26" w:rsidRDefault="006B4425" w:rsidP="006B4425">
      <w:pPr>
        <w:pStyle w:val="NormalHanging12a"/>
        <w:widowControl/>
        <w:rPr>
          <w:noProof/>
        </w:rPr>
      </w:pPr>
      <w:r w:rsidRPr="00601D26">
        <w:t>3.</w:t>
      </w:r>
      <w:r w:rsidRPr="00601D26">
        <w:tab/>
        <w:t>muistuttaa, että on tärkeää tiedottaa suurelle yleisölle Euroopan unionin solidaarisuusrahaston (EUSR) tuomista konkreettisista hyödyistä, myös siksi, että se on keino lisätä edelleen kansalaisten tietämystä unionin välineistä ja ohjelmista;</w:t>
      </w:r>
    </w:p>
    <w:p w14:paraId="7FEF1106" w14:textId="77777777" w:rsidR="006B4425" w:rsidRPr="00601D26" w:rsidRDefault="006B4425" w:rsidP="006B4425">
      <w:pPr>
        <w:pStyle w:val="NormalHanging12a"/>
        <w:widowControl/>
        <w:rPr>
          <w:noProof/>
        </w:rPr>
      </w:pPr>
      <w:r w:rsidRPr="00601D26">
        <w:t>4.</w:t>
      </w:r>
      <w:r w:rsidRPr="00601D26">
        <w:tab/>
        <w:t xml:space="preserve">korostaa, että vakavat, tuhoisat ja tappavat luonnonkatastrofit yleistyvät Euroopassa, ja kehottaa jäsenvaltioita ja komissiota lisäämään investointeja ennaltaehkäisyyn, julkiseen infrastruktuuriin ja ilmastonmuutoksen hillintään ja siihen sopeutumiseen sekä hätätilanteisiin varautumiseen tähtääviin toimenpiteisiin, jotta voidaan välttyä ihmishenkien menetyksiltä ja taloudellisilta tappioilta; kehottaa jäsenvaltioita ottamaan huomioon, että ilmastoriskit ja muut luonnonkatastrofit vaikuttavat suhteettomasti haavoittuvassa asemassa oleviin väestöryhmiin ja pieniin ja keskisuuriin yrityksiin sosioekonomisten ja demografisten tekijöiden vuoksi sekä haavoittuvassa asemassa oleviin alueisiin, kuten syrjäisimpiin alueisiin; katsoo, että on olennaisen tärkeää varmistaa, että </w:t>
      </w:r>
      <w:proofErr w:type="spellStart"/>
      <w:r w:rsidRPr="00601D26">
        <w:t>EUSR:n</w:t>
      </w:r>
      <w:proofErr w:type="spellEnd"/>
      <w:r w:rsidRPr="00601D26">
        <w:t xml:space="preserve"> budjettivallan käyttäjä harjoittaa korkeatasoista demokraattista valvontaa; muistuttaa, että </w:t>
      </w:r>
      <w:proofErr w:type="spellStart"/>
      <w:r w:rsidRPr="00601D26">
        <w:t>EUSR:n</w:t>
      </w:r>
      <w:proofErr w:type="spellEnd"/>
      <w:r w:rsidRPr="00601D26">
        <w:t xml:space="preserve"> määrärahat ovat rajalliset eikä sen voida katsoa olevan ainoa väline, jolla vastataan suuriin luonnonkatastrofeihin; kehottaa siksi arvioimaan unionin talousarvion rahoituskapasiteettia ja harkitsemaan sen varojen mahdollista lisäämistä, jotta kansalaisille voidaan antaa tällaisten katastrofien mittaluokkaa vastaavaa tukea; toteaa, että tällaisen tuen lisääminen antaisi jäsenvaltioille mahdollisuuden reagoida katastrofeihin tehokkaammin ja nopeammin, mikä poistaisi tarpeen turvautua muihin välineisiin, erityisesti koheesiovaroihin, joita ei ole ensisijaisesti tarkoitettu katastrofiavun antamiseen; </w:t>
      </w:r>
    </w:p>
    <w:p w14:paraId="116D1303" w14:textId="77777777" w:rsidR="006B4425" w:rsidRPr="00601D26" w:rsidRDefault="006B4425" w:rsidP="006B4425">
      <w:pPr>
        <w:pStyle w:val="NormalHanging12a"/>
        <w:widowControl/>
        <w:rPr>
          <w:noProof/>
        </w:rPr>
      </w:pPr>
      <w:r w:rsidRPr="00601D26">
        <w:t>5.</w:t>
      </w:r>
      <w:r w:rsidRPr="00601D26">
        <w:tab/>
        <w:t xml:space="preserve">korostaa, että </w:t>
      </w:r>
      <w:proofErr w:type="spellStart"/>
      <w:r w:rsidRPr="00601D26">
        <w:t>EUSR:n</w:t>
      </w:r>
      <w:proofErr w:type="spellEnd"/>
      <w:r w:rsidRPr="00601D26">
        <w:t xml:space="preserve"> avulla voidaan ainoastaan hoitaa seurauksia ja että unionin olisi myös edelleen toteutettava toimia ilmastonmuutokseen sopeutumisen ja sen hillitsemisen hyväksi tukemalla eurooppalaisia ja kansallisia politiikkatoimia luonnonkatastrofien ehkäisemiseksi sekä vahvistamalla ”paremman jälleenrakentamisen” periaatetta kaikissa sen toimissa; korostaa, että Euroopan ympäristökeskuksen eurooppalaisessa ilmastoriskiraportissa nro 1/2024 (European </w:t>
      </w:r>
      <w:proofErr w:type="spellStart"/>
      <w:r w:rsidRPr="00601D26">
        <w:t>Climate</w:t>
      </w:r>
      <w:proofErr w:type="spellEnd"/>
      <w:r w:rsidRPr="00601D26">
        <w:t xml:space="preserve"> </w:t>
      </w:r>
      <w:proofErr w:type="spellStart"/>
      <w:r w:rsidRPr="00601D26">
        <w:t>Risk</w:t>
      </w:r>
      <w:proofErr w:type="spellEnd"/>
      <w:r w:rsidRPr="00601D26">
        <w:t xml:space="preserve"> </w:t>
      </w:r>
      <w:proofErr w:type="spellStart"/>
      <w:r w:rsidRPr="00601D26">
        <w:t>Assessment</w:t>
      </w:r>
      <w:proofErr w:type="spellEnd"/>
      <w:r w:rsidRPr="00601D26">
        <w:t xml:space="preserve">) varoitettiin, että unioni ei ole valmistautunut </w:t>
      </w:r>
      <w:r w:rsidRPr="00601D26">
        <w:lastRenderedPageBreak/>
        <w:t>ilmastonmuutoksen vaikutuksiin, ja korostaa, että on toteutettava toimia, jotta tunnistetut ilmastoriskit eivät saavuta kriittistä tasoa; kehottaa jäsenvaltioita ja komissiota toteuttamaan tarvittavat toimenpiteet, jotta unioni voi täyttää Pariisin sopimuksen mukaiset sitoumukset; palauttaa mieliin, että tarvitaan tehokkaita synergioita unionin muiden politiikkatoimien ja ohjelmien kanssa, ja korostaa, että jäsenvaltioiden olisi hyödynnettävä parhaalla mahdollisella tavalla erityisesti Euroopan aluekehitysrahaston, Euroopan sosiaalirahasto plussan ja maaseudun kehittämisohjelmien rahoitusmahdollisuuksia; kehottaa komissiota arvioimaan asian kiireellisyys huomioon ottaen jäsenvaltioilta mahdollisesti tulevia perusteltuja pyyntöjä, jotka koskevat varojen uudelleenkohdentamista luonnonkatastrofiapuun kansallisissa elpymis- ja palautumissuunnitelmissa Euroopan parlamentin ja neuvoston asetuksessa (EU) 2021/241</w:t>
      </w:r>
      <w:r w:rsidRPr="00601D26">
        <w:rPr>
          <w:rStyle w:val="FootnoteReference"/>
        </w:rPr>
        <w:footnoteReference w:id="10"/>
      </w:r>
      <w:r w:rsidRPr="00601D26">
        <w:t xml:space="preserve"> vahvistettujen sääntöjen mukaisesti etenkin, kun otetaan huomioon, että suuri osa tämän mekanismin varoista on edelleen käyttämättä; korostaa, että tarvitaan myös ennaltaehkäiseviä toimenpiteitä, jotta voidaan sekä lieventää tulevia vahinkoja että estää riskiolosuhteiden paheneminen katastrofien, kuten tulvien, maastopalojen, maanvyörymien tai järvien ja jokien kuivumisen, seurauksena; korostaa lisäksi riskejä, joita helleaaltojen kaltaiset äärimmäiset sääolot ja luonnonkatastrofit aiheuttavat kansanterveydelle kaikkialla Euroopassa, ja kehottaa komissiota ottamaan tämän näkökohdan huomioon asiaankuuluvissa toimintapolitiikoissaan; kannustaa käyttämään innovatiivisia digitaalisia välineitä, satelliittidataa (esimerkiksi </w:t>
      </w:r>
      <w:proofErr w:type="spellStart"/>
      <w:r w:rsidRPr="00601D26">
        <w:t>Copernicus</w:t>
      </w:r>
      <w:proofErr w:type="spellEnd"/>
      <w:r w:rsidRPr="00601D26">
        <w:noBreakHyphen/>
        <w:t xml:space="preserve">ohjelmasta) ja varhaisvaroitusjärjestelmiä, jotta voidaan parantaa katastrofivalmiutta; korostaa eri ohjelmien välisen riittävän joustovaran merkitystä; painottaa, että </w:t>
      </w:r>
      <w:proofErr w:type="spellStart"/>
      <w:r w:rsidRPr="00601D26">
        <w:t>EUSR:stä</w:t>
      </w:r>
      <w:proofErr w:type="spellEnd"/>
      <w:r w:rsidRPr="00601D26">
        <w:t xml:space="preserve"> myönnettävä tuki ei saisi vähentää jäsenvaltioiden muista unionin politiikoista tai ohjelmista saamaa unionin rahoitusta; palauttaa mieliin, että jäsenvaltiot voivat myöntää valtiontukea sovellettavien unionin sääntöjen mukaisesti erityisesti maatalousyrityksille, joille on aiheutunut vahinkoa luonnonkatastrofien vuoksi;</w:t>
      </w:r>
    </w:p>
    <w:p w14:paraId="207F0912" w14:textId="77777777" w:rsidR="006B4425" w:rsidRPr="00601D26" w:rsidRDefault="006B4425" w:rsidP="006B4425">
      <w:pPr>
        <w:pStyle w:val="NormalHanging12a"/>
        <w:widowControl/>
        <w:rPr>
          <w:noProof/>
        </w:rPr>
      </w:pPr>
      <w:r w:rsidRPr="00601D26">
        <w:t>6.</w:t>
      </w:r>
      <w:r w:rsidRPr="00601D26">
        <w:tab/>
        <w:t>muistuttaa, että RESTORE-välineestä</w:t>
      </w:r>
      <w:r w:rsidRPr="00601D26">
        <w:rPr>
          <w:rStyle w:val="FootnoteReference"/>
        </w:rPr>
        <w:footnoteReference w:id="11"/>
      </w:r>
      <w:r w:rsidRPr="00601D26">
        <w:t xml:space="preserve"> ja Euroopan maaseudun kehittämisen maatalousrahaston (maaseuturahasto)</w:t>
      </w:r>
      <w:r w:rsidRPr="00601D26">
        <w:rPr>
          <w:rStyle w:val="FootnoteReference"/>
        </w:rPr>
        <w:footnoteReference w:id="12"/>
      </w:r>
      <w:r w:rsidRPr="00601D26">
        <w:t xml:space="preserve"> erityistoimenpiteistä annetaan lisätukea luonnonkatastrofeista kärsiville jäsenvaltioille lisäämällä varojen käyttöön liittyvää joustovaraa; korostaa, että jäsenvaltioiden olisi hyödynnettävä näitä mahdollisuuksia;</w:t>
      </w:r>
    </w:p>
    <w:p w14:paraId="448BCD1B" w14:textId="77777777" w:rsidR="006B4425" w:rsidRPr="00601D26" w:rsidRDefault="006B4425" w:rsidP="006B4425">
      <w:pPr>
        <w:pStyle w:val="NormalHanging12a"/>
        <w:widowControl/>
        <w:rPr>
          <w:bCs/>
          <w:iCs/>
        </w:rPr>
      </w:pPr>
      <w:r w:rsidRPr="00601D26">
        <w:t>7.</w:t>
      </w:r>
      <w:r w:rsidRPr="00601D26">
        <w:tab/>
        <w:t xml:space="preserve">pitää valitettavana, että </w:t>
      </w:r>
      <w:proofErr w:type="spellStart"/>
      <w:r w:rsidRPr="00601D26">
        <w:t>EUSR:n</w:t>
      </w:r>
      <w:proofErr w:type="spellEnd"/>
      <w:r w:rsidRPr="00601D26">
        <w:t xml:space="preserve"> koko tukimäärän maksamiseen tuensaajalle kuluu keskimäärin yksi vuosi; muistuttaa, että vahingot on tärkeää arvioida ripeästi ja perusteellisesti ja siten, että otetaan asianmukaisesti huomioon taloudelliset seuraukset, ja kehottaa lisäämään operatiivisia toimia ennakkomaksujen maksamiseen keskimäärin kuluvan ajan lyhentämiseksi samalla, kun varmistetaan EU:n talousarvion suojaaminen; toteaa, että tuen kokonaismäärän laskentamenetelmässä voitaisiin ottaa paremmin huomioon välittömien vahinkojen kokonaismäärän ja asianomaisen alueen BKTL:n välinen suhde erityisesti syrjäisimpien alueiden tapauksessa;</w:t>
      </w:r>
    </w:p>
    <w:p w14:paraId="42486F48" w14:textId="77777777" w:rsidR="006B4425" w:rsidRPr="00601D26" w:rsidRDefault="006B4425" w:rsidP="006B4425">
      <w:pPr>
        <w:pStyle w:val="NormalHanging12a"/>
        <w:widowControl/>
        <w:rPr>
          <w:noProof/>
        </w:rPr>
      </w:pPr>
      <w:r w:rsidRPr="00601D26">
        <w:t>8.</w:t>
      </w:r>
      <w:r w:rsidRPr="00601D26">
        <w:tab/>
        <w:t xml:space="preserve">korostaa, että </w:t>
      </w:r>
      <w:proofErr w:type="spellStart"/>
      <w:r w:rsidRPr="00601D26">
        <w:t>EUSR:stä</w:t>
      </w:r>
      <w:proofErr w:type="spellEnd"/>
      <w:r w:rsidRPr="00601D26">
        <w:t xml:space="preserve"> on välittömästi myönnettävä kiireellistä taloudellista tukea, jotta voidaan varmistaa, että se saadaan asianomaisille alueille oikea-aikaisesti, ja näin tukea nopeaa ja kestävää elpymistä; korostaa, että on tärkeää lyhentää EUSR</w:t>
      </w:r>
      <w:r w:rsidRPr="00601D26">
        <w:noBreakHyphen/>
        <w:t xml:space="preserve">tukihakemuksen jättämisen ja rahoituspäätöksen tekemisen välistä aikaa; </w:t>
      </w:r>
      <w:r w:rsidRPr="00601D26">
        <w:lastRenderedPageBreak/>
        <w:t xml:space="preserve">kehottaa toteuttamaan toimia, joilla varmistetaan, että </w:t>
      </w:r>
      <w:proofErr w:type="spellStart"/>
      <w:r w:rsidRPr="00601D26">
        <w:t>EUSR:n</w:t>
      </w:r>
      <w:proofErr w:type="spellEnd"/>
      <w:r w:rsidRPr="00601D26">
        <w:t xml:space="preserve"> tuki saavuttaa nopeasti lopulliset saajansa, mukaan lukien yritykset, pk-yritykset, perheet ja asianomaiset kansalaiset, sekä toimia, joilla tähdätään infrastruktuurin jälleenrakentamiseen ja aineellisten vahinkojen korjaamiseen ja joihin kaikkiin liittyy vaikutustenarviointi ja asianmukaisia valvontamekanismeja; korostaa, että sisäisiä menettelyjä on yksinkertaistettava ja nopeutettava heikentämättä toimielinten välistä tasapainoa, erityisesti Euroopan parlamentin oikeuksia toisena budjettivallan käyttäjänä; toteaa, että vuoden 2027 jälkeiselle Euroopan solidaarisuusrahaston seuraajalle ehdotettu hallintotapa ei vastaa Euroopan parlamentin 7. toukokuuta 2025 antamassa päätöslauselmassa ”Unionin pitkän aikavälin uudistettu talousarvio muuttuvassa maailmassa”</w:t>
      </w:r>
      <w:r w:rsidRPr="00601D26">
        <w:rPr>
          <w:rStyle w:val="FootnoteReference"/>
          <w:bCs/>
          <w:iCs/>
        </w:rPr>
        <w:footnoteReference w:id="13"/>
      </w:r>
      <w:r w:rsidRPr="00601D26">
        <w:t xml:space="preserve"> esittämää kantaa; </w:t>
      </w:r>
    </w:p>
    <w:p w14:paraId="6FE1FB43" w14:textId="77777777" w:rsidR="006B4425" w:rsidRPr="00601D26" w:rsidRDefault="006B4425" w:rsidP="006B4425">
      <w:pPr>
        <w:pStyle w:val="NormalHanging12a"/>
        <w:widowControl/>
        <w:rPr>
          <w:noProof/>
        </w:rPr>
      </w:pPr>
      <w:r w:rsidRPr="00601D26">
        <w:t>9.</w:t>
      </w:r>
      <w:r w:rsidRPr="00601D26">
        <w:tab/>
        <w:t>hyväksyy tämän päätöslauselman liitteenä olevan päätöksen;</w:t>
      </w:r>
    </w:p>
    <w:p w14:paraId="4B713EF0" w14:textId="77777777" w:rsidR="006B4425" w:rsidRPr="00601D26" w:rsidRDefault="006B4425" w:rsidP="006B4425">
      <w:pPr>
        <w:pStyle w:val="NormalHanging12a"/>
        <w:widowControl/>
        <w:rPr>
          <w:noProof/>
        </w:rPr>
      </w:pPr>
      <w:r w:rsidRPr="00601D26">
        <w:t>10.</w:t>
      </w:r>
      <w:r w:rsidRPr="00601D26">
        <w:tab/>
        <w:t xml:space="preserve">kehottaa puhemiestä allekirjoittamaan päätöksen neuvoston puheenjohtajan kanssa ja huolehtimaan sen julkaisemisesta </w:t>
      </w:r>
      <w:r w:rsidRPr="00601D26">
        <w:rPr>
          <w:i/>
        </w:rPr>
        <w:t>Euroopan unionin virallisessa lehdessä</w:t>
      </w:r>
      <w:r w:rsidRPr="00601D26">
        <w:t>;</w:t>
      </w:r>
    </w:p>
    <w:p w14:paraId="528851EE" w14:textId="77777777" w:rsidR="006B4425" w:rsidRPr="00601D26" w:rsidRDefault="006B4425" w:rsidP="006B4425">
      <w:pPr>
        <w:pStyle w:val="NormalHanging12a"/>
        <w:widowControl/>
        <w:rPr>
          <w:noProof/>
        </w:rPr>
      </w:pPr>
      <w:r w:rsidRPr="00601D26">
        <w:t>11.</w:t>
      </w:r>
      <w:r w:rsidRPr="00601D26">
        <w:tab/>
        <w:t>kehottaa puhemiestä välittämään tämän päätöslauselman liitteineen neuvostolle ja komissiolle.</w:t>
      </w:r>
    </w:p>
    <w:p w14:paraId="52BC0202" w14:textId="77777777" w:rsidR="006B4425" w:rsidRPr="00601D26" w:rsidRDefault="006B4425" w:rsidP="006B4425">
      <w:pPr>
        <w:pStyle w:val="PageHeading"/>
        <w:widowControl/>
        <w:jc w:val="left"/>
        <w:rPr>
          <w:noProof/>
        </w:rPr>
        <w:sectPr w:rsidR="006B4425" w:rsidRPr="00601D26" w:rsidSect="009614E7">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8B22CF5" w14:textId="77777777" w:rsidR="0061737D" w:rsidRDefault="006B4425" w:rsidP="0061737D">
      <w:pPr>
        <w:pStyle w:val="PageHeading"/>
        <w:widowControl/>
        <w:rPr>
          <w:rFonts w:ascii="Times New Roman" w:hAnsi="Times New Roman" w:cs="Times New Roman"/>
        </w:rPr>
      </w:pPr>
      <w:bookmarkStart w:id="7" w:name="_Toc213762501"/>
      <w:r w:rsidRPr="0061737D">
        <w:rPr>
          <w:rFonts w:ascii="Times New Roman" w:hAnsi="Times New Roman" w:cs="Times New Roman"/>
        </w:rPr>
        <w:lastRenderedPageBreak/>
        <w:t>LIITE</w:t>
      </w:r>
    </w:p>
    <w:p w14:paraId="11A5EBCF" w14:textId="36736A9A" w:rsidR="006B4425" w:rsidRPr="0061737D" w:rsidRDefault="006B4425" w:rsidP="0061737D">
      <w:pPr>
        <w:pStyle w:val="PageHeading"/>
        <w:widowControl/>
        <w:rPr>
          <w:rFonts w:ascii="Times New Roman" w:hAnsi="Times New Roman" w:cs="Times New Roman"/>
          <w:noProof/>
        </w:rPr>
      </w:pPr>
      <w:r w:rsidRPr="0061737D">
        <w:rPr>
          <w:rFonts w:ascii="Times New Roman" w:hAnsi="Times New Roman" w:cs="Times New Roman"/>
        </w:rPr>
        <w:t>EUROOPAN PARLAMENTIN JA NEUVOSTON PÄÄTÖS</w:t>
      </w:r>
      <w:bookmarkEnd w:id="7"/>
    </w:p>
    <w:p w14:paraId="255418F3" w14:textId="77777777" w:rsidR="006B4425" w:rsidRDefault="006B4425" w:rsidP="0061737D">
      <w:pPr>
        <w:pStyle w:val="NormalHanging12a"/>
        <w:widowControl/>
        <w:ind w:left="0" w:firstLine="0"/>
        <w:jc w:val="center"/>
        <w:rPr>
          <w:b/>
        </w:rPr>
      </w:pPr>
      <w:r w:rsidRPr="00601D26">
        <w:rPr>
          <w:b/>
        </w:rPr>
        <w:t xml:space="preserve">Euroopan unionin solidaarisuusrahaston varojen käyttöönotosta tuen antamiseksi Espanjalle Valencian alueella Espanjassa lokakuussa 2024 esiintyneiden tulvien </w:t>
      </w:r>
      <w:proofErr w:type="gramStart"/>
      <w:r w:rsidRPr="00601D26">
        <w:rPr>
          <w:b/>
        </w:rPr>
        <w:t>johdosta</w:t>
      </w:r>
      <w:proofErr w:type="gramEnd"/>
      <w:r w:rsidRPr="00601D26">
        <w:rPr>
          <w:b/>
        </w:rPr>
        <w:t xml:space="preserve"> ja Ranskalle </w:t>
      </w:r>
      <w:proofErr w:type="spellStart"/>
      <w:r w:rsidRPr="00601D26">
        <w:rPr>
          <w:b/>
        </w:rPr>
        <w:t>Chido</w:t>
      </w:r>
      <w:proofErr w:type="spellEnd"/>
      <w:r w:rsidRPr="00601D26">
        <w:rPr>
          <w:b/>
        </w:rPr>
        <w:t xml:space="preserve">-syklonin Mayottessa joulukuussa 2024 ja </w:t>
      </w:r>
      <w:proofErr w:type="spellStart"/>
      <w:r w:rsidRPr="00601D26">
        <w:rPr>
          <w:b/>
        </w:rPr>
        <w:t>Garance</w:t>
      </w:r>
      <w:proofErr w:type="spellEnd"/>
      <w:r w:rsidRPr="00601D26">
        <w:rPr>
          <w:b/>
        </w:rPr>
        <w:t>-syklonin Réunionissa helmikuussa 2025 aiheuttamien vahinkojen johdosta</w:t>
      </w:r>
    </w:p>
    <w:p w14:paraId="38B512D3" w14:textId="4CCA5DEB" w:rsidR="00E365E1" w:rsidRDefault="0061737D" w:rsidP="0061737D">
      <w:pPr>
        <w:rPr>
          <w:i/>
          <w:szCs w:val="24"/>
        </w:rPr>
      </w:pPr>
      <w:r w:rsidRPr="006E0791">
        <w:rPr>
          <w:i/>
          <w:szCs w:val="24"/>
        </w:rPr>
        <w:t xml:space="preserve">(Tätä liitettä ei esitetä tässä, koska se vastaa lopullista säädöstä, päätöstä </w:t>
      </w:r>
      <w:r>
        <w:rPr>
          <w:i/>
          <w:szCs w:val="24"/>
        </w:rPr>
        <w:t>(</w:t>
      </w:r>
      <w:r w:rsidRPr="006E0791">
        <w:rPr>
          <w:i/>
          <w:szCs w:val="24"/>
        </w:rPr>
        <w:t>EU</w:t>
      </w:r>
      <w:r>
        <w:rPr>
          <w:i/>
          <w:szCs w:val="24"/>
        </w:rPr>
        <w:t>) 20</w:t>
      </w:r>
      <w:r>
        <w:rPr>
          <w:i/>
          <w:szCs w:val="24"/>
        </w:rPr>
        <w:t>25</w:t>
      </w:r>
      <w:r>
        <w:rPr>
          <w:i/>
          <w:szCs w:val="24"/>
        </w:rPr>
        <w:t>/</w:t>
      </w:r>
      <w:r>
        <w:rPr>
          <w:i/>
          <w:szCs w:val="24"/>
        </w:rPr>
        <w:t>2403</w:t>
      </w:r>
      <w:r w:rsidRPr="006E0791">
        <w:rPr>
          <w:i/>
          <w:szCs w:val="24"/>
        </w:rPr>
        <w:t>.)</w:t>
      </w:r>
    </w:p>
    <w:p w14:paraId="042B6CF8" w14:textId="77777777" w:rsidR="0061737D" w:rsidRPr="00601D26" w:rsidRDefault="0061737D" w:rsidP="0061737D"/>
    <w:sectPr w:rsidR="0061737D" w:rsidRPr="00601D26" w:rsidSect="009614E7">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F19BC" w14:textId="77777777" w:rsidR="0057065A" w:rsidRPr="009614E7" w:rsidRDefault="0057065A">
      <w:r w:rsidRPr="009614E7">
        <w:separator/>
      </w:r>
    </w:p>
  </w:endnote>
  <w:endnote w:type="continuationSeparator" w:id="0">
    <w:p w14:paraId="0121AC87" w14:textId="77777777" w:rsidR="0057065A" w:rsidRPr="009614E7" w:rsidRDefault="0057065A">
      <w:r w:rsidRPr="009614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02776" w14:textId="77777777" w:rsidR="006B4425" w:rsidRPr="009614E7" w:rsidRDefault="006B4425" w:rsidP="008C7171">
    <w:pPr>
      <w:pStyle w:val="EPFooter"/>
    </w:pPr>
    <w:r w:rsidRPr="009614E7">
      <w:t>PE</w:t>
    </w:r>
    <w:r w:rsidRPr="009614E7">
      <w:rPr>
        <w:rStyle w:val="HideTWBExt"/>
      </w:rPr>
      <w:t>&lt;</w:t>
    </w:r>
    <w:proofErr w:type="spellStart"/>
    <w:r w:rsidRPr="009614E7">
      <w:rPr>
        <w:rStyle w:val="HideTWBExt"/>
      </w:rPr>
      <w:t>NoPE</w:t>
    </w:r>
    <w:proofErr w:type="spellEnd"/>
    <w:r w:rsidRPr="009614E7">
      <w:rPr>
        <w:rStyle w:val="HideTWBExt"/>
      </w:rPr>
      <w:t>&gt;</w:t>
    </w:r>
    <w:r w:rsidRPr="009614E7">
      <w:t>778.223</w:t>
    </w:r>
    <w:r w:rsidRPr="009614E7">
      <w:rPr>
        <w:rStyle w:val="HideTWBExt"/>
      </w:rPr>
      <w:t>&lt;/</w:t>
    </w:r>
    <w:proofErr w:type="spellStart"/>
    <w:r w:rsidRPr="009614E7">
      <w:rPr>
        <w:rStyle w:val="HideTWBExt"/>
      </w:rPr>
      <w:t>NoPE</w:t>
    </w:r>
    <w:proofErr w:type="spellEnd"/>
    <w:r w:rsidRPr="009614E7">
      <w:rPr>
        <w:rStyle w:val="HideTWBExt"/>
      </w:rPr>
      <w:t>&gt;&lt;Version&gt;</w:t>
    </w:r>
    <w:r w:rsidRPr="009614E7">
      <w:t>v02-00</w:t>
    </w:r>
    <w:r w:rsidRPr="009614E7">
      <w:rPr>
        <w:rStyle w:val="HideTWBExt"/>
      </w:rPr>
      <w:t>&lt;/Version&gt;</w:t>
    </w:r>
    <w:r w:rsidRPr="009614E7">
      <w:tab/>
    </w:r>
    <w:r w:rsidRPr="009614E7">
      <w:fldChar w:fldCharType="begin"/>
    </w:r>
    <w:r w:rsidRPr="009614E7">
      <w:instrText xml:space="preserve"> PAGE  \* MERGEFORMAT </w:instrText>
    </w:r>
    <w:r w:rsidRPr="009614E7">
      <w:fldChar w:fldCharType="separate"/>
    </w:r>
    <w:r w:rsidRPr="009614E7">
      <w:rPr>
        <w:noProof/>
      </w:rPr>
      <w:t>10</w:t>
    </w:r>
    <w:r w:rsidRPr="009614E7">
      <w:fldChar w:fldCharType="end"/>
    </w:r>
    <w:r w:rsidRPr="009614E7">
      <w:t>/</w:t>
    </w:r>
    <w:r w:rsidR="0061737D">
      <w:fldChar w:fldCharType="begin"/>
    </w:r>
    <w:r w:rsidR="0061737D">
      <w:instrText xml:space="preserve"> NUMPAGES  \* MERGEFORMAT </w:instrText>
    </w:r>
    <w:r w:rsidR="0061737D">
      <w:fldChar w:fldCharType="separate"/>
    </w:r>
    <w:r w:rsidRPr="009614E7">
      <w:rPr>
        <w:noProof/>
      </w:rPr>
      <w:t>14</w:t>
    </w:r>
    <w:r w:rsidR="0061737D">
      <w:rPr>
        <w:noProof/>
      </w:rPr>
      <w:fldChar w:fldCharType="end"/>
    </w:r>
    <w:r w:rsidRPr="009614E7">
      <w:tab/>
    </w:r>
    <w:r w:rsidRPr="009614E7">
      <w:rPr>
        <w:rStyle w:val="HideTWBExt"/>
      </w:rPr>
      <w:t>&lt;PathFdR&gt;</w:t>
    </w:r>
    <w:r w:rsidRPr="009614E7">
      <w:t>RR\1331466FI.docx</w:t>
    </w:r>
    <w:r w:rsidRPr="009614E7">
      <w:rPr>
        <w:rStyle w:val="HideTWBExt"/>
      </w:rPr>
      <w:t>&lt;/</w:t>
    </w:r>
    <w:proofErr w:type="spellStart"/>
    <w:r w:rsidRPr="009614E7">
      <w:rPr>
        <w:rStyle w:val="HideTWBExt"/>
      </w:rPr>
      <w:t>PathFdR</w:t>
    </w:r>
    <w:proofErr w:type="spellEnd"/>
    <w:r w:rsidRPr="009614E7">
      <w:rPr>
        <w:rStyle w:val="HideTWBExt"/>
      </w:rPr>
      <w:t>&gt;</w:t>
    </w:r>
  </w:p>
  <w:p w14:paraId="0D569AFC" w14:textId="77777777" w:rsidR="006B4425" w:rsidRPr="009614E7" w:rsidRDefault="006B4425" w:rsidP="008C7171">
    <w:pPr>
      <w:pStyle w:val="EPFooter2"/>
    </w:pPr>
    <w:r w:rsidRPr="009614E7">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CDDA1" w14:textId="77777777" w:rsidR="006B4425" w:rsidRPr="009614E7" w:rsidRDefault="006B4425" w:rsidP="008C7171">
    <w:pPr>
      <w:pStyle w:val="EPFooter"/>
    </w:pPr>
    <w:r w:rsidRPr="009614E7">
      <w:rPr>
        <w:rStyle w:val="HideTWBExt"/>
      </w:rPr>
      <w:t>&lt;PathFdR&gt;</w:t>
    </w:r>
    <w:r w:rsidRPr="009614E7">
      <w:t>RR\1331466FI.docx</w:t>
    </w:r>
    <w:r w:rsidRPr="009614E7">
      <w:rPr>
        <w:rStyle w:val="HideTWBExt"/>
      </w:rPr>
      <w:t>&lt;/</w:t>
    </w:r>
    <w:proofErr w:type="spellStart"/>
    <w:r w:rsidRPr="009614E7">
      <w:rPr>
        <w:rStyle w:val="HideTWBExt"/>
      </w:rPr>
      <w:t>PathFdR</w:t>
    </w:r>
    <w:proofErr w:type="spellEnd"/>
    <w:r w:rsidRPr="009614E7">
      <w:rPr>
        <w:rStyle w:val="HideTWBExt"/>
      </w:rPr>
      <w:t>&gt;</w:t>
    </w:r>
    <w:r w:rsidRPr="009614E7">
      <w:tab/>
    </w:r>
    <w:r w:rsidRPr="009614E7">
      <w:tab/>
      <w:t>PE</w:t>
    </w:r>
    <w:r w:rsidRPr="009614E7">
      <w:rPr>
        <w:rStyle w:val="HideTWBExt"/>
      </w:rPr>
      <w:t>&lt;</w:t>
    </w:r>
    <w:proofErr w:type="spellStart"/>
    <w:r w:rsidRPr="009614E7">
      <w:rPr>
        <w:rStyle w:val="HideTWBExt"/>
      </w:rPr>
      <w:t>NoPE</w:t>
    </w:r>
    <w:proofErr w:type="spellEnd"/>
    <w:r w:rsidRPr="009614E7">
      <w:rPr>
        <w:rStyle w:val="HideTWBExt"/>
      </w:rPr>
      <w:t>&gt;</w:t>
    </w:r>
    <w:r w:rsidRPr="009614E7">
      <w:t>778.223</w:t>
    </w:r>
    <w:r w:rsidRPr="009614E7">
      <w:rPr>
        <w:rStyle w:val="HideTWBExt"/>
      </w:rPr>
      <w:t>&lt;/</w:t>
    </w:r>
    <w:proofErr w:type="spellStart"/>
    <w:r w:rsidRPr="009614E7">
      <w:rPr>
        <w:rStyle w:val="HideTWBExt"/>
      </w:rPr>
      <w:t>NoPE</w:t>
    </w:r>
    <w:proofErr w:type="spellEnd"/>
    <w:r w:rsidRPr="009614E7">
      <w:rPr>
        <w:rStyle w:val="HideTWBExt"/>
      </w:rPr>
      <w:t>&gt;&lt;Version&gt;</w:t>
    </w:r>
    <w:r w:rsidRPr="009614E7">
      <w:t>v02-00</w:t>
    </w:r>
    <w:r w:rsidRPr="009614E7">
      <w:rPr>
        <w:rStyle w:val="HideTWBExt"/>
      </w:rPr>
      <w:t>&lt;/Version&gt;</w:t>
    </w:r>
  </w:p>
  <w:p w14:paraId="765F47F8" w14:textId="77777777" w:rsidR="006B4425" w:rsidRPr="009614E7" w:rsidRDefault="006B4425" w:rsidP="008C7171">
    <w:pPr>
      <w:pStyle w:val="EPFooter2"/>
    </w:pPr>
    <w:r w:rsidRPr="009614E7">
      <w:t>FI</w:t>
    </w:r>
    <w:r w:rsidRPr="009614E7">
      <w:tab/>
    </w:r>
    <w:r w:rsidRPr="009614E7">
      <w:rPr>
        <w:b w:val="0"/>
        <w:i/>
        <w:color w:val="C0C0C0"/>
        <w:sz w:val="22"/>
      </w:rPr>
      <w:t>Moninaisuudessaan yhtenäinen</w:t>
    </w:r>
    <w:r w:rsidRPr="009614E7">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DC977" w14:textId="77777777" w:rsidR="00064002" w:rsidRPr="009614E7"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F4BC2" w14:textId="77777777" w:rsidR="00064002" w:rsidRPr="002B4EFC" w:rsidRDefault="00064002" w:rsidP="002B4EF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B6117" w14:textId="77777777" w:rsidR="00064002" w:rsidRPr="009614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AB721" w14:textId="77777777" w:rsidR="0057065A" w:rsidRPr="009614E7" w:rsidRDefault="0057065A">
      <w:r w:rsidRPr="009614E7">
        <w:separator/>
      </w:r>
    </w:p>
  </w:footnote>
  <w:footnote w:type="continuationSeparator" w:id="0">
    <w:p w14:paraId="2D4E3062" w14:textId="77777777" w:rsidR="0057065A" w:rsidRPr="009614E7" w:rsidRDefault="0057065A">
      <w:r w:rsidRPr="009614E7">
        <w:continuationSeparator/>
      </w:r>
    </w:p>
  </w:footnote>
  <w:footnote w:id="1">
    <w:p w14:paraId="183F09E8" w14:textId="6B7F42C2" w:rsidR="006B4425" w:rsidRPr="009614E7" w:rsidRDefault="006B4425" w:rsidP="009614E7">
      <w:pPr>
        <w:pStyle w:val="FootnoteText"/>
        <w:ind w:left="567" w:hanging="567"/>
        <w:rPr>
          <w:sz w:val="24"/>
          <w:lang w:val="fi-FI"/>
        </w:rPr>
      </w:pPr>
      <w:r w:rsidRPr="009614E7">
        <w:rPr>
          <w:rStyle w:val="FootnoteReference"/>
          <w:sz w:val="24"/>
          <w:lang w:val="fi-FI"/>
        </w:rPr>
        <w:footnoteRef/>
      </w:r>
      <w:r w:rsidR="009614E7" w:rsidRPr="009614E7">
        <w:rPr>
          <w:sz w:val="24"/>
          <w:lang w:val="fi-FI"/>
        </w:rPr>
        <w:t xml:space="preserve"> </w:t>
      </w:r>
      <w:r w:rsidR="009614E7" w:rsidRPr="009614E7">
        <w:rPr>
          <w:sz w:val="24"/>
          <w:lang w:val="fi-FI"/>
        </w:rPr>
        <w:tab/>
      </w:r>
      <w:r w:rsidRPr="009614E7">
        <w:rPr>
          <w:sz w:val="24"/>
          <w:lang w:val="fi-FI"/>
        </w:rPr>
        <w:t xml:space="preserve">EYVL L 311, 14.11.2002, s. 3, ELI: </w:t>
      </w:r>
      <w:hyperlink r:id="rId1" w:history="1">
        <w:r w:rsidRPr="009614E7">
          <w:rPr>
            <w:rStyle w:val="Hyperlink"/>
            <w:sz w:val="24"/>
            <w:lang w:val="fi-FI"/>
          </w:rPr>
          <w:t>http://data.europa.eu/eli/reg/2002/2012/oj</w:t>
        </w:r>
      </w:hyperlink>
      <w:r w:rsidRPr="009614E7">
        <w:rPr>
          <w:sz w:val="24"/>
          <w:lang w:val="fi-FI"/>
        </w:rPr>
        <w:t>.</w:t>
      </w:r>
    </w:p>
  </w:footnote>
  <w:footnote w:id="2">
    <w:p w14:paraId="456BCDC4" w14:textId="4E6D3BA7" w:rsidR="006B4425" w:rsidRPr="009614E7" w:rsidRDefault="006B4425" w:rsidP="009614E7">
      <w:pPr>
        <w:pStyle w:val="FootnoteText"/>
        <w:ind w:left="567" w:hanging="567"/>
        <w:rPr>
          <w:sz w:val="24"/>
          <w:lang w:val="fi-FI"/>
        </w:rPr>
      </w:pPr>
      <w:r w:rsidRPr="009614E7">
        <w:rPr>
          <w:rStyle w:val="FootnoteReference"/>
          <w:sz w:val="24"/>
          <w:lang w:val="fi-FI"/>
        </w:rPr>
        <w:footnoteRef/>
      </w:r>
      <w:r w:rsidR="009614E7" w:rsidRPr="009614E7">
        <w:rPr>
          <w:sz w:val="24"/>
          <w:lang w:val="fi-FI"/>
        </w:rPr>
        <w:t xml:space="preserve"> </w:t>
      </w:r>
      <w:r w:rsidR="009614E7" w:rsidRPr="009614E7">
        <w:rPr>
          <w:sz w:val="24"/>
          <w:lang w:val="fi-FI"/>
        </w:rPr>
        <w:tab/>
      </w:r>
      <w:r w:rsidRPr="009614E7">
        <w:rPr>
          <w:sz w:val="24"/>
          <w:lang w:val="fi-FI"/>
        </w:rPr>
        <w:t xml:space="preserve">EUVL L 433 I, 22.12.2020, s. 11, ELI: </w:t>
      </w:r>
      <w:hyperlink r:id="rId2" w:history="1">
        <w:r w:rsidRPr="009614E7">
          <w:rPr>
            <w:rStyle w:val="Hyperlink"/>
            <w:sz w:val="24"/>
            <w:lang w:val="fi-FI"/>
          </w:rPr>
          <w:t>http://data.europa.eu/eli/reg/2020/2093/oj</w:t>
        </w:r>
      </w:hyperlink>
      <w:r w:rsidRPr="009614E7">
        <w:rPr>
          <w:sz w:val="24"/>
          <w:lang w:val="fi-FI"/>
        </w:rPr>
        <w:t>.</w:t>
      </w:r>
    </w:p>
  </w:footnote>
  <w:footnote w:id="3">
    <w:p w14:paraId="53C1B2CA" w14:textId="55BF9106" w:rsidR="006B4425" w:rsidRPr="009614E7" w:rsidRDefault="006B4425" w:rsidP="009614E7">
      <w:pPr>
        <w:pStyle w:val="FootnoteText"/>
        <w:ind w:left="567" w:hanging="567"/>
        <w:rPr>
          <w:sz w:val="24"/>
          <w:lang w:val="fi-FI"/>
        </w:rPr>
      </w:pPr>
      <w:r w:rsidRPr="009614E7">
        <w:rPr>
          <w:rStyle w:val="FootnoteReference"/>
          <w:sz w:val="24"/>
          <w:lang w:val="fi-FI"/>
        </w:rPr>
        <w:footnoteRef/>
      </w:r>
      <w:r w:rsidR="009614E7" w:rsidRPr="009614E7">
        <w:rPr>
          <w:sz w:val="24"/>
          <w:lang w:val="fi-FI"/>
        </w:rPr>
        <w:t xml:space="preserve"> </w:t>
      </w:r>
      <w:r w:rsidR="009614E7" w:rsidRPr="009614E7">
        <w:rPr>
          <w:sz w:val="24"/>
          <w:lang w:val="fi-FI"/>
        </w:rPr>
        <w:tab/>
      </w:r>
      <w:r w:rsidRPr="009614E7">
        <w:rPr>
          <w:sz w:val="24"/>
          <w:lang w:val="fi-FI"/>
        </w:rPr>
        <w:t xml:space="preserve">EUVL L 433 I, 22.12.2020, s. 28, ELI: </w:t>
      </w:r>
      <w:hyperlink r:id="rId3" w:history="1">
        <w:r w:rsidRPr="009614E7">
          <w:rPr>
            <w:rStyle w:val="Hyperlink"/>
            <w:sz w:val="24"/>
            <w:lang w:val="fi-FI"/>
          </w:rPr>
          <w:t>http://data.europa.eu/eli/agree_interinstit/2020/1222/oj</w:t>
        </w:r>
      </w:hyperlink>
      <w:r w:rsidRPr="009614E7">
        <w:rPr>
          <w:sz w:val="24"/>
          <w:lang w:val="fi-FI"/>
        </w:rPr>
        <w:t>.</w:t>
      </w:r>
    </w:p>
  </w:footnote>
  <w:footnote w:id="4">
    <w:p w14:paraId="48F4E060" w14:textId="6DA86074" w:rsidR="006B4425" w:rsidRPr="009614E7" w:rsidRDefault="006B4425" w:rsidP="009614E7">
      <w:pPr>
        <w:pStyle w:val="FootnoteText"/>
        <w:ind w:left="567" w:hanging="567"/>
        <w:rPr>
          <w:sz w:val="24"/>
          <w:lang w:val="fi-FI"/>
        </w:rPr>
      </w:pPr>
      <w:r w:rsidRPr="009614E7">
        <w:rPr>
          <w:rStyle w:val="FootnoteReference"/>
          <w:sz w:val="24"/>
          <w:lang w:val="fi-FI"/>
        </w:rPr>
        <w:footnoteRef/>
      </w:r>
      <w:r w:rsidR="009614E7" w:rsidRPr="009614E7">
        <w:rPr>
          <w:sz w:val="24"/>
          <w:lang w:val="fi-FI"/>
        </w:rPr>
        <w:t xml:space="preserve"> </w:t>
      </w:r>
      <w:r w:rsidR="009614E7" w:rsidRPr="009614E7">
        <w:rPr>
          <w:sz w:val="24"/>
          <w:lang w:val="fi-FI"/>
        </w:rPr>
        <w:tab/>
      </w:r>
      <w:r w:rsidRPr="009614E7">
        <w:rPr>
          <w:sz w:val="24"/>
          <w:lang w:val="fi-FI"/>
        </w:rPr>
        <w:t xml:space="preserve">EUVL L 231, 30.6.2021, s. 60, ELI: </w:t>
      </w:r>
      <w:hyperlink r:id="rId4" w:history="1">
        <w:r w:rsidRPr="009614E7">
          <w:rPr>
            <w:rStyle w:val="Hyperlink"/>
            <w:sz w:val="24"/>
            <w:lang w:val="fi-FI"/>
          </w:rPr>
          <w:t>http://data.europa.eu/eli/reg/2021/1058/oj</w:t>
        </w:r>
      </w:hyperlink>
      <w:r w:rsidRPr="009614E7">
        <w:rPr>
          <w:sz w:val="24"/>
          <w:lang w:val="fi-FI"/>
        </w:rPr>
        <w:t>.</w:t>
      </w:r>
    </w:p>
  </w:footnote>
  <w:footnote w:id="5">
    <w:p w14:paraId="7550996A" w14:textId="003316C0" w:rsidR="006B4425" w:rsidRPr="009614E7" w:rsidRDefault="006B4425" w:rsidP="009614E7">
      <w:pPr>
        <w:pStyle w:val="FootnoteText"/>
        <w:ind w:left="567" w:hanging="567"/>
        <w:rPr>
          <w:sz w:val="24"/>
          <w:lang w:val="fi-FI"/>
        </w:rPr>
      </w:pPr>
      <w:r w:rsidRPr="009614E7">
        <w:rPr>
          <w:rStyle w:val="FootnoteReference"/>
          <w:sz w:val="24"/>
          <w:lang w:val="fi-FI"/>
        </w:rPr>
        <w:footnoteRef/>
      </w:r>
      <w:r w:rsidR="009614E7" w:rsidRPr="009614E7">
        <w:rPr>
          <w:sz w:val="24"/>
          <w:lang w:val="fi-FI"/>
        </w:rPr>
        <w:t xml:space="preserve"> </w:t>
      </w:r>
      <w:r w:rsidR="009614E7" w:rsidRPr="009614E7">
        <w:rPr>
          <w:sz w:val="24"/>
          <w:lang w:val="fi-FI"/>
        </w:rPr>
        <w:tab/>
      </w:r>
      <w:r w:rsidRPr="009614E7">
        <w:rPr>
          <w:sz w:val="24"/>
          <w:lang w:val="fi-FI"/>
        </w:rPr>
        <w:t xml:space="preserve">EUVL L 231, 30.6.2021, s. 21, ELI: </w:t>
      </w:r>
      <w:hyperlink r:id="rId5" w:history="1">
        <w:r w:rsidRPr="009614E7">
          <w:rPr>
            <w:rStyle w:val="Hyperlink"/>
            <w:sz w:val="24"/>
            <w:lang w:val="fi-FI"/>
          </w:rPr>
          <w:t>http://data.europa.eu/eli/reg/2021/1057/oj</w:t>
        </w:r>
      </w:hyperlink>
      <w:r w:rsidRPr="009614E7">
        <w:rPr>
          <w:sz w:val="24"/>
          <w:lang w:val="fi-FI"/>
        </w:rPr>
        <w:t>.</w:t>
      </w:r>
    </w:p>
  </w:footnote>
  <w:footnote w:id="6">
    <w:p w14:paraId="301A6FD8" w14:textId="6B6832E1" w:rsidR="006B4425" w:rsidRPr="009614E7" w:rsidRDefault="006B4425" w:rsidP="009614E7">
      <w:pPr>
        <w:pStyle w:val="FootnoteText"/>
        <w:ind w:left="567" w:hanging="567"/>
        <w:rPr>
          <w:sz w:val="24"/>
          <w:lang w:val="fi-FI"/>
        </w:rPr>
      </w:pPr>
      <w:r w:rsidRPr="009614E7">
        <w:rPr>
          <w:rStyle w:val="FootnoteReference"/>
          <w:sz w:val="24"/>
          <w:lang w:val="fi-FI"/>
        </w:rPr>
        <w:footnoteRef/>
      </w:r>
      <w:r w:rsidR="009614E7" w:rsidRPr="009614E7">
        <w:rPr>
          <w:sz w:val="24"/>
          <w:lang w:val="fi-FI"/>
        </w:rPr>
        <w:t xml:space="preserve"> </w:t>
      </w:r>
      <w:r w:rsidR="009614E7" w:rsidRPr="009614E7">
        <w:rPr>
          <w:sz w:val="24"/>
          <w:lang w:val="fi-FI"/>
        </w:rPr>
        <w:tab/>
      </w:r>
      <w:r w:rsidRPr="009614E7">
        <w:rPr>
          <w:sz w:val="24"/>
          <w:lang w:val="fi-FI"/>
        </w:rPr>
        <w:t xml:space="preserve">EUVL L 435, 6.12.2021, s. 1, ELI: </w:t>
      </w:r>
      <w:hyperlink r:id="rId6" w:history="1">
        <w:r w:rsidRPr="009614E7">
          <w:rPr>
            <w:rStyle w:val="Hyperlink"/>
            <w:sz w:val="24"/>
            <w:lang w:val="fi-FI"/>
          </w:rPr>
          <w:t>http://data.europa.eu/eli/reg/2021/2115/oj</w:t>
        </w:r>
      </w:hyperlink>
      <w:r w:rsidRPr="009614E7">
        <w:rPr>
          <w:sz w:val="24"/>
          <w:lang w:val="fi-FI"/>
        </w:rPr>
        <w:t xml:space="preserve"> </w:t>
      </w:r>
    </w:p>
  </w:footnote>
  <w:footnote w:id="7">
    <w:p w14:paraId="01418086" w14:textId="76411802" w:rsidR="006B4425" w:rsidRPr="009614E7" w:rsidRDefault="006B4425" w:rsidP="009614E7">
      <w:pPr>
        <w:pStyle w:val="FootnoteText"/>
        <w:ind w:left="567" w:hanging="567"/>
        <w:rPr>
          <w:sz w:val="24"/>
          <w:lang w:val="fi-FI"/>
        </w:rPr>
      </w:pPr>
      <w:r w:rsidRPr="009614E7">
        <w:rPr>
          <w:rStyle w:val="FootnoteReference"/>
          <w:sz w:val="24"/>
          <w:lang w:val="fi-FI"/>
        </w:rPr>
        <w:footnoteRef/>
      </w:r>
      <w:r w:rsidR="009614E7" w:rsidRPr="009614E7">
        <w:rPr>
          <w:sz w:val="24"/>
          <w:lang w:val="fi-FI"/>
        </w:rPr>
        <w:t xml:space="preserve"> </w:t>
      </w:r>
      <w:r w:rsidR="009614E7" w:rsidRPr="009614E7">
        <w:rPr>
          <w:sz w:val="24"/>
          <w:lang w:val="fi-FI"/>
        </w:rPr>
        <w:tab/>
      </w:r>
      <w:r w:rsidRPr="009614E7">
        <w:rPr>
          <w:sz w:val="24"/>
          <w:lang w:val="fi-FI"/>
        </w:rPr>
        <w:t>Hyväksytyt tekstit, P10_</w:t>
      </w:r>
      <w:proofErr w:type="gramStart"/>
      <w:r w:rsidRPr="009614E7">
        <w:rPr>
          <w:sz w:val="24"/>
          <w:lang w:val="fi-FI"/>
        </w:rPr>
        <w:t>TA(</w:t>
      </w:r>
      <w:proofErr w:type="gramEnd"/>
      <w:r w:rsidRPr="009614E7">
        <w:rPr>
          <w:sz w:val="24"/>
          <w:lang w:val="fi-FI"/>
        </w:rPr>
        <w:t>2024)0059.</w:t>
      </w:r>
    </w:p>
  </w:footnote>
  <w:footnote w:id="8">
    <w:p w14:paraId="48EC39FE" w14:textId="352172AA" w:rsidR="006B4425" w:rsidRPr="009614E7" w:rsidRDefault="006B4425" w:rsidP="009614E7">
      <w:pPr>
        <w:pStyle w:val="FootnoteText"/>
        <w:ind w:left="567" w:hanging="567"/>
        <w:rPr>
          <w:sz w:val="24"/>
          <w:lang w:val="fi-FI"/>
        </w:rPr>
      </w:pPr>
      <w:r w:rsidRPr="009614E7">
        <w:rPr>
          <w:rStyle w:val="FootnoteReference"/>
          <w:sz w:val="24"/>
          <w:lang w:val="fi-FI"/>
        </w:rPr>
        <w:footnoteRef/>
      </w:r>
      <w:r w:rsidR="009614E7" w:rsidRPr="009614E7">
        <w:rPr>
          <w:sz w:val="24"/>
          <w:lang w:val="fi-FI"/>
        </w:rPr>
        <w:t xml:space="preserve"> </w:t>
      </w:r>
      <w:r w:rsidR="009614E7" w:rsidRPr="009614E7">
        <w:rPr>
          <w:sz w:val="24"/>
          <w:lang w:val="fi-FI"/>
        </w:rPr>
        <w:tab/>
      </w:r>
      <w:r w:rsidRPr="009614E7">
        <w:rPr>
          <w:sz w:val="24"/>
          <w:lang w:val="fi-FI"/>
        </w:rPr>
        <w:t>Hyväksytyt tekstit, P10_</w:t>
      </w:r>
      <w:proofErr w:type="gramStart"/>
      <w:r w:rsidRPr="009614E7">
        <w:rPr>
          <w:sz w:val="24"/>
          <w:lang w:val="fi-FI"/>
        </w:rPr>
        <w:t>TA(</w:t>
      </w:r>
      <w:proofErr w:type="gramEnd"/>
      <w:r w:rsidRPr="009614E7">
        <w:rPr>
          <w:sz w:val="24"/>
          <w:lang w:val="fi-FI"/>
        </w:rPr>
        <w:t>2025)0090.</w:t>
      </w:r>
    </w:p>
  </w:footnote>
  <w:footnote w:id="9">
    <w:p w14:paraId="2979B0A6" w14:textId="1CE89E1D" w:rsidR="006B4425" w:rsidRPr="009614E7" w:rsidRDefault="006B4425" w:rsidP="009614E7">
      <w:pPr>
        <w:pStyle w:val="FootnoteText"/>
        <w:ind w:left="567" w:hanging="567"/>
        <w:rPr>
          <w:sz w:val="24"/>
          <w:lang w:val="fi-FI"/>
        </w:rPr>
      </w:pPr>
      <w:r w:rsidRPr="009614E7">
        <w:rPr>
          <w:rStyle w:val="FootnoteReference"/>
          <w:sz w:val="24"/>
          <w:lang w:val="fi-FI"/>
        </w:rPr>
        <w:footnoteRef/>
      </w:r>
      <w:r w:rsidR="009614E7" w:rsidRPr="009614E7">
        <w:rPr>
          <w:sz w:val="24"/>
          <w:lang w:val="fi-FI"/>
        </w:rPr>
        <w:t xml:space="preserve"> </w:t>
      </w:r>
      <w:r w:rsidR="009614E7" w:rsidRPr="009614E7">
        <w:rPr>
          <w:sz w:val="24"/>
          <w:lang w:val="fi-FI"/>
        </w:rPr>
        <w:tab/>
      </w:r>
      <w:hyperlink r:id="rId7" w:history="1">
        <w:r w:rsidRPr="009614E7">
          <w:rPr>
            <w:rStyle w:val="Hyperlink"/>
            <w:sz w:val="24"/>
            <w:lang w:val="fi-FI"/>
          </w:rPr>
          <w:t>https://www.eea.europa.eu/publications/european-climate-risk-assessment</w:t>
        </w:r>
      </w:hyperlink>
      <w:r w:rsidRPr="009614E7">
        <w:rPr>
          <w:sz w:val="24"/>
          <w:lang w:val="fi-FI"/>
        </w:rPr>
        <w:t xml:space="preserve"> </w:t>
      </w:r>
    </w:p>
  </w:footnote>
  <w:footnote w:id="10">
    <w:p w14:paraId="3C7A9A69" w14:textId="4A228552" w:rsidR="006B4425" w:rsidRPr="009614E7" w:rsidRDefault="006B4425" w:rsidP="009614E7">
      <w:pPr>
        <w:pStyle w:val="FootnoteText"/>
        <w:ind w:left="567" w:hanging="567"/>
        <w:rPr>
          <w:sz w:val="24"/>
          <w:lang w:val="fi-FI"/>
        </w:rPr>
      </w:pPr>
      <w:r w:rsidRPr="009614E7">
        <w:rPr>
          <w:rStyle w:val="FootnoteReference"/>
          <w:sz w:val="24"/>
          <w:lang w:val="fi-FI"/>
        </w:rPr>
        <w:footnoteRef/>
      </w:r>
      <w:r w:rsidR="009614E7" w:rsidRPr="009614E7">
        <w:rPr>
          <w:sz w:val="24"/>
          <w:lang w:val="fi-FI"/>
        </w:rPr>
        <w:t xml:space="preserve"> </w:t>
      </w:r>
      <w:r w:rsidR="009614E7" w:rsidRPr="009614E7">
        <w:rPr>
          <w:sz w:val="24"/>
          <w:lang w:val="fi-FI"/>
        </w:rPr>
        <w:tab/>
      </w:r>
      <w:r w:rsidRPr="009614E7">
        <w:rPr>
          <w:sz w:val="24"/>
          <w:lang w:val="fi-FI"/>
        </w:rPr>
        <w:t>Euroopan parlamentin ja neuvoston asetus (EU) 2021/241, annettu 12. helmikuuta 2021, elpymis- ja palautumistukivälineen perustamisesta (EUVL L 57, 18.2.2021, s. 17, ELI:</w:t>
      </w:r>
      <w:r w:rsidRPr="009614E7">
        <w:rPr>
          <w:color w:val="333333"/>
          <w:sz w:val="24"/>
          <w:shd w:val="clear" w:color="auto" w:fill="FFFFFF"/>
          <w:lang w:val="fi-FI"/>
        </w:rPr>
        <w:t> </w:t>
      </w:r>
      <w:hyperlink r:id="rId8" w:tooltip="Linkki asiakirjaan sen ELI-tunnukseen perustuvan URI-osoitteen kautta." w:history="1">
        <w:r w:rsidRPr="009614E7">
          <w:rPr>
            <w:rStyle w:val="Hyperlink"/>
            <w:color w:val="23527C"/>
            <w:sz w:val="24"/>
            <w:shd w:val="clear" w:color="auto" w:fill="FFFFFF"/>
            <w:lang w:val="fi-FI"/>
          </w:rPr>
          <w:t>http://data.europa.eu/eli/reg/2021/241/oj</w:t>
        </w:r>
      </w:hyperlink>
      <w:r w:rsidRPr="009614E7">
        <w:rPr>
          <w:sz w:val="24"/>
          <w:lang w:val="fi-FI"/>
        </w:rPr>
        <w:t>).</w:t>
      </w:r>
    </w:p>
  </w:footnote>
  <w:footnote w:id="11">
    <w:p w14:paraId="46827A46" w14:textId="1B9BAC77" w:rsidR="006B4425" w:rsidRPr="009614E7" w:rsidRDefault="006B4425" w:rsidP="009614E7">
      <w:pPr>
        <w:pStyle w:val="FootnoteText"/>
        <w:ind w:left="567" w:hanging="567"/>
        <w:rPr>
          <w:sz w:val="24"/>
          <w:lang w:val="fi-FI"/>
        </w:rPr>
      </w:pPr>
      <w:r w:rsidRPr="009614E7">
        <w:rPr>
          <w:rStyle w:val="FootnoteReference"/>
          <w:sz w:val="24"/>
          <w:lang w:val="fi-FI"/>
        </w:rPr>
        <w:footnoteRef/>
      </w:r>
      <w:r w:rsidR="009614E7" w:rsidRPr="009614E7">
        <w:rPr>
          <w:sz w:val="24"/>
          <w:lang w:val="fi-FI"/>
        </w:rPr>
        <w:t xml:space="preserve"> </w:t>
      </w:r>
      <w:r w:rsidR="009614E7" w:rsidRPr="009614E7">
        <w:rPr>
          <w:sz w:val="24"/>
          <w:lang w:val="fi-FI"/>
        </w:rPr>
        <w:tab/>
      </w:r>
      <w:r w:rsidRPr="009614E7">
        <w:rPr>
          <w:sz w:val="24"/>
          <w:lang w:val="fi-FI"/>
        </w:rPr>
        <w:t xml:space="preserve">EUVL L, 2024/3236, 23.12.2024, ELI: </w:t>
      </w:r>
      <w:hyperlink r:id="rId9" w:history="1">
        <w:r w:rsidRPr="009614E7">
          <w:rPr>
            <w:rStyle w:val="Hyperlink"/>
            <w:sz w:val="24"/>
            <w:shd w:val="clear" w:color="auto" w:fill="FFFFFF"/>
            <w:lang w:val="fi-FI"/>
          </w:rPr>
          <w:t>http://data.europa.eu/eli/reg/2024/3236/oj</w:t>
        </w:r>
      </w:hyperlink>
      <w:r w:rsidRPr="009614E7">
        <w:rPr>
          <w:sz w:val="24"/>
          <w:lang w:val="fi-FI"/>
        </w:rPr>
        <w:t xml:space="preserve">. </w:t>
      </w:r>
    </w:p>
  </w:footnote>
  <w:footnote w:id="12">
    <w:p w14:paraId="169997E3" w14:textId="6C40C9F3" w:rsidR="006B4425" w:rsidRPr="009614E7" w:rsidRDefault="006B4425" w:rsidP="009614E7">
      <w:pPr>
        <w:pStyle w:val="FootnoteText"/>
        <w:ind w:left="567" w:hanging="567"/>
        <w:rPr>
          <w:sz w:val="24"/>
          <w:lang w:val="fi-FI"/>
        </w:rPr>
      </w:pPr>
      <w:r w:rsidRPr="009614E7">
        <w:rPr>
          <w:rStyle w:val="FootnoteReference"/>
          <w:sz w:val="24"/>
          <w:lang w:val="fi-FI"/>
        </w:rPr>
        <w:footnoteRef/>
      </w:r>
      <w:r w:rsidR="009614E7" w:rsidRPr="009614E7">
        <w:rPr>
          <w:sz w:val="24"/>
          <w:lang w:val="fi-FI"/>
        </w:rPr>
        <w:t xml:space="preserve"> </w:t>
      </w:r>
      <w:r w:rsidR="009614E7" w:rsidRPr="009614E7">
        <w:rPr>
          <w:sz w:val="24"/>
          <w:lang w:val="fi-FI"/>
        </w:rPr>
        <w:tab/>
      </w:r>
      <w:r w:rsidRPr="009614E7">
        <w:rPr>
          <w:sz w:val="24"/>
          <w:lang w:val="fi-FI"/>
        </w:rPr>
        <w:t xml:space="preserve">EUVL L, 2024/3242, 23.12.2024, ELI: </w:t>
      </w:r>
      <w:hyperlink r:id="rId10" w:history="1">
        <w:r w:rsidRPr="009614E7">
          <w:rPr>
            <w:rStyle w:val="Hyperlink"/>
            <w:sz w:val="24"/>
            <w:shd w:val="clear" w:color="auto" w:fill="FFFFFF"/>
            <w:lang w:val="fi-FI"/>
          </w:rPr>
          <w:t>http://data.europa.eu/eli/reg/2024/3242/oj</w:t>
        </w:r>
      </w:hyperlink>
      <w:r w:rsidRPr="009614E7">
        <w:rPr>
          <w:sz w:val="24"/>
          <w:lang w:val="fi-FI"/>
        </w:rPr>
        <w:t xml:space="preserve">. </w:t>
      </w:r>
    </w:p>
  </w:footnote>
  <w:footnote w:id="13">
    <w:p w14:paraId="1D64ABBF" w14:textId="1A9EC431" w:rsidR="006B4425" w:rsidRPr="009614E7" w:rsidRDefault="006B4425" w:rsidP="009614E7">
      <w:pPr>
        <w:pStyle w:val="FootnoteText"/>
        <w:ind w:left="567" w:hanging="567"/>
        <w:rPr>
          <w:sz w:val="24"/>
          <w:lang w:val="fi-FI"/>
        </w:rPr>
      </w:pPr>
      <w:r w:rsidRPr="009614E7">
        <w:rPr>
          <w:rStyle w:val="FootnoteReference"/>
          <w:sz w:val="24"/>
          <w:lang w:val="fi-FI"/>
        </w:rPr>
        <w:footnoteRef/>
      </w:r>
      <w:r w:rsidR="009614E7" w:rsidRPr="009614E7">
        <w:rPr>
          <w:sz w:val="24"/>
          <w:lang w:val="fi-FI"/>
        </w:rPr>
        <w:t xml:space="preserve"> </w:t>
      </w:r>
      <w:r w:rsidR="009614E7" w:rsidRPr="009614E7">
        <w:rPr>
          <w:sz w:val="24"/>
          <w:lang w:val="fi-FI"/>
        </w:rPr>
        <w:tab/>
      </w:r>
      <w:r w:rsidRPr="009614E7">
        <w:rPr>
          <w:sz w:val="24"/>
          <w:lang w:val="fi-FI"/>
        </w:rPr>
        <w:t>Hyväksytyt tekstit, P10_</w:t>
      </w:r>
      <w:proofErr w:type="gramStart"/>
      <w:r w:rsidRPr="009614E7">
        <w:rPr>
          <w:sz w:val="24"/>
          <w:lang w:val="fi-FI"/>
        </w:rPr>
        <w:t>TA(</w:t>
      </w:r>
      <w:proofErr w:type="gramEnd"/>
      <w:r w:rsidRPr="009614E7">
        <w:rPr>
          <w:sz w:val="24"/>
          <w:lang w:val="fi-FI"/>
        </w:rPr>
        <w:t>2025)0090.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7C484" w14:textId="77777777" w:rsidR="00064002" w:rsidRPr="009614E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BA03C" w14:textId="77777777" w:rsidR="00064002" w:rsidRPr="009614E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7BC90" w14:textId="77777777" w:rsidR="00064002" w:rsidRPr="009614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3A54939"/>
    <w:multiLevelType w:val="hybridMultilevel"/>
    <w:tmpl w:val="C7163764"/>
    <w:lvl w:ilvl="0" w:tplc="08090001">
      <w:start w:val="4"/>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7222546">
    <w:abstractNumId w:val="9"/>
  </w:num>
  <w:num w:numId="2" w16cid:durableId="1130629055">
    <w:abstractNumId w:val="9"/>
  </w:num>
  <w:num w:numId="3" w16cid:durableId="1894346969">
    <w:abstractNumId w:val="7"/>
  </w:num>
  <w:num w:numId="4" w16cid:durableId="662854104">
    <w:abstractNumId w:val="7"/>
  </w:num>
  <w:num w:numId="5" w16cid:durableId="1835803521">
    <w:abstractNumId w:val="6"/>
  </w:num>
  <w:num w:numId="6" w16cid:durableId="1354570265">
    <w:abstractNumId w:val="6"/>
  </w:num>
  <w:num w:numId="7" w16cid:durableId="1650793264">
    <w:abstractNumId w:val="5"/>
  </w:num>
  <w:num w:numId="8" w16cid:durableId="1349798668">
    <w:abstractNumId w:val="5"/>
  </w:num>
  <w:num w:numId="9" w16cid:durableId="1992634449">
    <w:abstractNumId w:val="4"/>
  </w:num>
  <w:num w:numId="10" w16cid:durableId="347030504">
    <w:abstractNumId w:val="4"/>
  </w:num>
  <w:num w:numId="11" w16cid:durableId="488835202">
    <w:abstractNumId w:val="8"/>
  </w:num>
  <w:num w:numId="12" w16cid:durableId="1452169536">
    <w:abstractNumId w:val="8"/>
  </w:num>
  <w:num w:numId="13" w16cid:durableId="612904674">
    <w:abstractNumId w:val="3"/>
  </w:num>
  <w:num w:numId="14" w16cid:durableId="1784692255">
    <w:abstractNumId w:val="3"/>
  </w:num>
  <w:num w:numId="15" w16cid:durableId="933442912">
    <w:abstractNumId w:val="2"/>
  </w:num>
  <w:num w:numId="16" w16cid:durableId="908616566">
    <w:abstractNumId w:val="2"/>
  </w:num>
  <w:num w:numId="17" w16cid:durableId="1513951151">
    <w:abstractNumId w:val="1"/>
  </w:num>
  <w:num w:numId="18" w16cid:durableId="1538858199">
    <w:abstractNumId w:val="1"/>
  </w:num>
  <w:num w:numId="19" w16cid:durableId="145585498">
    <w:abstractNumId w:val="0"/>
  </w:num>
  <w:num w:numId="20" w16cid:durableId="1558472928">
    <w:abstractNumId w:val="0"/>
  </w:num>
  <w:num w:numId="21" w16cid:durableId="467357876">
    <w:abstractNumId w:val="9"/>
  </w:num>
  <w:num w:numId="22" w16cid:durableId="276066853">
    <w:abstractNumId w:val="7"/>
  </w:num>
  <w:num w:numId="23" w16cid:durableId="331566699">
    <w:abstractNumId w:val="6"/>
  </w:num>
  <w:num w:numId="24" w16cid:durableId="1098983593">
    <w:abstractNumId w:val="5"/>
  </w:num>
  <w:num w:numId="25" w16cid:durableId="1015884985">
    <w:abstractNumId w:val="4"/>
  </w:num>
  <w:num w:numId="26" w16cid:durableId="1756903969">
    <w:abstractNumId w:val="8"/>
  </w:num>
  <w:num w:numId="27" w16cid:durableId="128591579">
    <w:abstractNumId w:val="3"/>
  </w:num>
  <w:num w:numId="28" w16cid:durableId="592325192">
    <w:abstractNumId w:val="2"/>
  </w:num>
  <w:num w:numId="29" w16cid:durableId="377361342">
    <w:abstractNumId w:val="1"/>
  </w:num>
  <w:num w:numId="30" w16cid:durableId="1227228397">
    <w:abstractNumId w:val="0"/>
  </w:num>
  <w:num w:numId="31" w16cid:durableId="1440296880">
    <w:abstractNumId w:val="9"/>
  </w:num>
  <w:num w:numId="32" w16cid:durableId="490558213">
    <w:abstractNumId w:val="7"/>
  </w:num>
  <w:num w:numId="33" w16cid:durableId="2088960021">
    <w:abstractNumId w:val="6"/>
  </w:num>
  <w:num w:numId="34" w16cid:durableId="826941102">
    <w:abstractNumId w:val="5"/>
  </w:num>
  <w:num w:numId="35" w16cid:durableId="746459553">
    <w:abstractNumId w:val="4"/>
  </w:num>
  <w:num w:numId="36" w16cid:durableId="439834204">
    <w:abstractNumId w:val="8"/>
  </w:num>
  <w:num w:numId="37" w16cid:durableId="529026858">
    <w:abstractNumId w:val="3"/>
  </w:num>
  <w:num w:numId="38" w16cid:durableId="372779539">
    <w:abstractNumId w:val="2"/>
  </w:num>
  <w:num w:numId="39" w16cid:durableId="1865824898">
    <w:abstractNumId w:val="1"/>
  </w:num>
  <w:num w:numId="40" w16cid:durableId="2123454345">
    <w:abstractNumId w:val="0"/>
  </w:num>
  <w:num w:numId="41" w16cid:durableId="892885161">
    <w:abstractNumId w:val="10"/>
  </w:num>
  <w:num w:numId="42" w16cid:durableId="2102295592">
    <w:abstractNumId w:val="10"/>
  </w:num>
  <w:num w:numId="43" w16cid:durableId="1422868795">
    <w:abstractNumId w:val="10"/>
  </w:num>
  <w:num w:numId="44" w16cid:durableId="645667299">
    <w:abstractNumId w:val="12"/>
  </w:num>
  <w:num w:numId="45" w16cid:durableId="19035203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5/2025"/>
    <w:docVar w:name="dvlangue" w:val="FI"/>
    <w:docVar w:name="dvnumam" w:val="0"/>
    <w:docVar w:name="dvpe" w:val="778.223"/>
    <w:docVar w:name="dvrapporteur" w:val="Esittelijä: "/>
    <w:docVar w:name="dvtitre" w:val="Euroopan parlamentin päätöslauselma 13. marraskuuta 2025 ehdotuksesta Euroopan parlamentin ja neuvoston päätökseksi Euroopan unionin solidaarisuusrahaston varojen käyttöönotosta tuen antamiseksi Espanjalle Valencian alueella Espanjassa lokakuussa 2024 esiintyneiden tulvien johdosta ja Ranskalle Chido-syklonin Mayottessa joulukuussa 2024 ja Garance-syklonin Réunionissa helmikuussa 2025 aiheuttamien vahinkojen johdosta(COM(2025)0855 – C10-0239/2025 – 2025/0318(BUD))"/>
  </w:docVars>
  <w:rsids>
    <w:rsidRoot w:val="0057065A"/>
    <w:rsid w:val="00002272"/>
    <w:rsid w:val="00051E6D"/>
    <w:rsid w:val="00064002"/>
    <w:rsid w:val="000677B9"/>
    <w:rsid w:val="000831BA"/>
    <w:rsid w:val="000A42CC"/>
    <w:rsid w:val="000E7DD9"/>
    <w:rsid w:val="0010095E"/>
    <w:rsid w:val="00125B37"/>
    <w:rsid w:val="001550A1"/>
    <w:rsid w:val="00187494"/>
    <w:rsid w:val="001D3FC2"/>
    <w:rsid w:val="001F32AE"/>
    <w:rsid w:val="002767FF"/>
    <w:rsid w:val="00283F0F"/>
    <w:rsid w:val="002B18FE"/>
    <w:rsid w:val="002B4EFC"/>
    <w:rsid w:val="002B5493"/>
    <w:rsid w:val="00343214"/>
    <w:rsid w:val="00351ACB"/>
    <w:rsid w:val="00361C00"/>
    <w:rsid w:val="00395FA1"/>
    <w:rsid w:val="003B439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65A"/>
    <w:rsid w:val="005C2568"/>
    <w:rsid w:val="005F1B17"/>
    <w:rsid w:val="00601D26"/>
    <w:rsid w:val="006037C0"/>
    <w:rsid w:val="0061737D"/>
    <w:rsid w:val="006631B6"/>
    <w:rsid w:val="00680577"/>
    <w:rsid w:val="006B4425"/>
    <w:rsid w:val="006C5EB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6504"/>
    <w:rsid w:val="009614E7"/>
    <w:rsid w:val="00981893"/>
    <w:rsid w:val="009F7492"/>
    <w:rsid w:val="00A1687D"/>
    <w:rsid w:val="00A43E52"/>
    <w:rsid w:val="00A4678D"/>
    <w:rsid w:val="00A778C7"/>
    <w:rsid w:val="00AA5D27"/>
    <w:rsid w:val="00AB441E"/>
    <w:rsid w:val="00AB6293"/>
    <w:rsid w:val="00AE0928"/>
    <w:rsid w:val="00AF3B82"/>
    <w:rsid w:val="00B12E95"/>
    <w:rsid w:val="00B22501"/>
    <w:rsid w:val="00B22876"/>
    <w:rsid w:val="00B558F0"/>
    <w:rsid w:val="00BD1A66"/>
    <w:rsid w:val="00BD48FE"/>
    <w:rsid w:val="00BD7BD8"/>
    <w:rsid w:val="00BE6ADC"/>
    <w:rsid w:val="00C05BFE"/>
    <w:rsid w:val="00C23CD4"/>
    <w:rsid w:val="00C32500"/>
    <w:rsid w:val="00C61C0C"/>
    <w:rsid w:val="00C76E0E"/>
    <w:rsid w:val="00C86F3A"/>
    <w:rsid w:val="00C941CB"/>
    <w:rsid w:val="00CC2357"/>
    <w:rsid w:val="00CF071A"/>
    <w:rsid w:val="00D058B8"/>
    <w:rsid w:val="00D56C11"/>
    <w:rsid w:val="00D834A0"/>
    <w:rsid w:val="00D872DF"/>
    <w:rsid w:val="00D91E21"/>
    <w:rsid w:val="00DA7FCD"/>
    <w:rsid w:val="00E365E1"/>
    <w:rsid w:val="00E820A4"/>
    <w:rsid w:val="00E9225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D0B992"/>
  <w15:chartTrackingRefBased/>
  <w15:docId w15:val="{C3E2CC86-AE88-4639-84C7-6ABE09F30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4EFC"/>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B4425"/>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6B4425"/>
    <w:pPr>
      <w:keepNext/>
      <w:spacing w:after="480"/>
      <w:jc w:val="center"/>
    </w:pPr>
    <w:rPr>
      <w:rFonts w:ascii="Arial" w:hAnsi="Arial" w:cs="Arial"/>
      <w:b/>
    </w:rPr>
  </w:style>
  <w:style w:type="paragraph" w:customStyle="1" w:styleId="NormalHanging12a">
    <w:name w:val="NormalHanging12a"/>
    <w:basedOn w:val="Normal"/>
    <w:rsid w:val="006B4425"/>
    <w:pPr>
      <w:spacing w:after="240"/>
      <w:ind w:left="567" w:hanging="567"/>
    </w:pPr>
  </w:style>
  <w:style w:type="paragraph" w:styleId="Header">
    <w:name w:val="header"/>
    <w:basedOn w:val="Normal"/>
    <w:link w:val="HeaderChar"/>
    <w:rsid w:val="006B4425"/>
    <w:pPr>
      <w:tabs>
        <w:tab w:val="center" w:pos="4513"/>
        <w:tab w:val="right" w:pos="9026"/>
      </w:tabs>
    </w:pPr>
  </w:style>
  <w:style w:type="character" w:customStyle="1" w:styleId="HeaderChar">
    <w:name w:val="Header Char"/>
    <w:basedOn w:val="DefaultParagraphFont"/>
    <w:link w:val="Header"/>
    <w:rsid w:val="006B4425"/>
    <w:rPr>
      <w:sz w:val="24"/>
      <w:lang w:val="fi-FI"/>
    </w:rPr>
  </w:style>
  <w:style w:type="paragraph" w:customStyle="1" w:styleId="EPFooter">
    <w:name w:val="EPFooter"/>
    <w:basedOn w:val="Normal"/>
    <w:rsid w:val="006B4425"/>
    <w:pPr>
      <w:tabs>
        <w:tab w:val="center" w:pos="4535"/>
        <w:tab w:val="right" w:pos="9071"/>
      </w:tabs>
      <w:spacing w:before="240" w:after="240"/>
    </w:pPr>
    <w:rPr>
      <w:color w:val="010000"/>
      <w:sz w:val="22"/>
    </w:rPr>
  </w:style>
  <w:style w:type="paragraph" w:customStyle="1" w:styleId="EPComma">
    <w:name w:val="EPComma"/>
    <w:basedOn w:val="Normal"/>
    <w:rsid w:val="006B4425"/>
    <w:pPr>
      <w:spacing w:before="480" w:after="240"/>
    </w:pPr>
  </w:style>
  <w:style w:type="character" w:styleId="Hyperlink">
    <w:name w:val="Hyperlink"/>
    <w:basedOn w:val="DefaultParagraphFont"/>
    <w:uiPriority w:val="99"/>
    <w:rsid w:val="006B4425"/>
    <w:rPr>
      <w:color w:val="0563C1" w:themeColor="hyperlink"/>
      <w:u w:val="single"/>
    </w:rPr>
  </w:style>
  <w:style w:type="paragraph" w:styleId="Footer">
    <w:name w:val="footer"/>
    <w:basedOn w:val="Normal"/>
    <w:link w:val="FooterChar"/>
    <w:rsid w:val="00AA5D27"/>
    <w:pPr>
      <w:tabs>
        <w:tab w:val="center" w:pos="4513"/>
        <w:tab w:val="right" w:pos="9026"/>
      </w:tabs>
    </w:pPr>
  </w:style>
  <w:style w:type="character" w:customStyle="1" w:styleId="FooterChar">
    <w:name w:val="Footer Char"/>
    <w:basedOn w:val="DefaultParagraphFont"/>
    <w:link w:val="Footer"/>
    <w:rsid w:val="00AA5D27"/>
    <w:rPr>
      <w:sz w:val="24"/>
      <w:lang w:val="fi-FI"/>
    </w:rPr>
  </w:style>
  <w:style w:type="paragraph" w:styleId="Revision">
    <w:name w:val="Revision"/>
    <w:hidden/>
    <w:uiPriority w:val="99"/>
    <w:semiHidden/>
    <w:rsid w:val="00E92252"/>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s://www.eea.europa.eu/publications/european-climate-risk-assessment"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data.europa.eu/eli/reg/2021/2115/oj" TargetMode="External"/><Relationship Id="rId5" Type="http://schemas.openxmlformats.org/officeDocument/2006/relationships/hyperlink" Target="http://data.europa.eu/eli/reg/2021/1057/oj" TargetMode="External"/><Relationship Id="rId10" Type="http://schemas.openxmlformats.org/officeDocument/2006/relationships/hyperlink" Target="http://data.europa.eu/eli/reg/2024/3242/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24/323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1380</Words>
  <Characters>11769</Characters>
  <Application>Microsoft Office Word</Application>
  <DocSecurity>0</DocSecurity>
  <Lines>98</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2026-01-09T08:55:00Z</dcterms:created>
  <dcterms:modified xsi:type="dcterms:W3CDTF">2026-01-09T08:55:00Z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P10_TA(2025)0274_</vt:lpwstr>
  </property>
  <property fmtid="{D5CDD505-2E9C-101B-9397-08002B2CF9AE}" pid="4" name="&lt;Type&gt;">
    <vt:lpwstr>RR</vt:lpwstr>
  </property>
</Properties>
</file>