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C02" w14:paraId="344B0A13" w14:textId="77777777" w:rsidTr="0010095E">
        <w:trPr>
          <w:trHeight w:hRule="exact" w:val="1418"/>
        </w:trPr>
        <w:tc>
          <w:tcPr>
            <w:tcW w:w="6804" w:type="dxa"/>
            <w:shd w:val="clear" w:color="auto" w:fill="auto"/>
            <w:vAlign w:val="center"/>
          </w:tcPr>
          <w:p w14:paraId="28981823" w14:textId="77777777" w:rsidR="00751A4A" w:rsidRPr="00E32C02" w:rsidRDefault="002F666C" w:rsidP="0010095E">
            <w:pPr>
              <w:pStyle w:val="EPName"/>
            </w:pPr>
            <w:r w:rsidRPr="00E32C02">
              <w:t>Európai Parlament</w:t>
            </w:r>
          </w:p>
          <w:p w14:paraId="6DE2BC3F" w14:textId="77777777" w:rsidR="00751A4A" w:rsidRPr="00E32C02" w:rsidRDefault="005F1B17" w:rsidP="005F1B17">
            <w:pPr>
              <w:pStyle w:val="EPTerm"/>
              <w:rPr>
                <w:rStyle w:val="HideTWBExt"/>
                <w:noProof w:val="0"/>
                <w:vanish w:val="0"/>
                <w:color w:val="auto"/>
              </w:rPr>
            </w:pPr>
            <w:r w:rsidRPr="00E32C02">
              <w:t>2024</w:t>
            </w:r>
            <w:r w:rsidR="00817416" w:rsidRPr="00E32C02">
              <w:t>-202</w:t>
            </w:r>
            <w:r w:rsidRPr="00E32C02">
              <w:t>9</w:t>
            </w:r>
          </w:p>
        </w:tc>
        <w:tc>
          <w:tcPr>
            <w:tcW w:w="2268" w:type="dxa"/>
            <w:shd w:val="clear" w:color="auto" w:fill="auto"/>
          </w:tcPr>
          <w:p w14:paraId="2E5CAC4E" w14:textId="77777777" w:rsidR="00751A4A" w:rsidRPr="00E32C02" w:rsidRDefault="00187494" w:rsidP="0010095E">
            <w:pPr>
              <w:pStyle w:val="EPLogo"/>
            </w:pPr>
            <w:r w:rsidRPr="00E32C02">
              <w:rPr>
                <w:noProof/>
                <w:lang w:eastAsia="ja-JP"/>
              </w:rPr>
              <w:drawing>
                <wp:inline distT="0" distB="0" distL="0" distR="0" wp14:anchorId="3F949FCA" wp14:editId="43C2CC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CE374C" w14:textId="77777777" w:rsidR="00D058B8" w:rsidRPr="00E32C02" w:rsidRDefault="00D058B8" w:rsidP="004C5D52">
      <w:pPr>
        <w:pStyle w:val="LineTop"/>
      </w:pPr>
    </w:p>
    <w:p w14:paraId="2B2C2186" w14:textId="77777777" w:rsidR="00680577" w:rsidRPr="00E32C02" w:rsidRDefault="002F666C" w:rsidP="00680577">
      <w:pPr>
        <w:pStyle w:val="EPBodyTA1"/>
      </w:pPr>
      <w:r w:rsidRPr="00E32C02">
        <w:t>ELFOGADOTT SZÖVEGEK</w:t>
      </w:r>
    </w:p>
    <w:p w14:paraId="570ECD06" w14:textId="77777777" w:rsidR="00D058B8" w:rsidRPr="00E32C02" w:rsidRDefault="00D058B8" w:rsidP="00D058B8">
      <w:pPr>
        <w:pStyle w:val="LineBottom"/>
      </w:pPr>
    </w:p>
    <w:p w14:paraId="6DDC339F" w14:textId="68F7DB15" w:rsidR="002F666C" w:rsidRPr="00E32C02" w:rsidRDefault="002F666C" w:rsidP="002F666C">
      <w:pPr>
        <w:pStyle w:val="ATHeading1"/>
      </w:pPr>
      <w:bookmarkStart w:id="0" w:name="TANumber"/>
      <w:r w:rsidRPr="00E32C02">
        <w:t>P10_</w:t>
      </w:r>
      <w:proofErr w:type="gramStart"/>
      <w:r w:rsidRPr="00E32C02">
        <w:t>TA(</w:t>
      </w:r>
      <w:proofErr w:type="gramEnd"/>
      <w:r w:rsidRPr="00E32C02">
        <w:t>2025)0</w:t>
      </w:r>
      <w:r w:rsidR="00632630">
        <w:t>274</w:t>
      </w:r>
      <w:bookmarkEnd w:id="0"/>
    </w:p>
    <w:p w14:paraId="33B54FCD" w14:textId="2A99CC64" w:rsidR="002F666C" w:rsidRPr="00E32C02" w:rsidRDefault="002F666C" w:rsidP="002F666C">
      <w:pPr>
        <w:pStyle w:val="ATHeading2"/>
      </w:pPr>
      <w:bookmarkStart w:id="1" w:name="title"/>
      <w:r w:rsidRPr="00E32C02">
        <w:t xml:space="preserve">Az Európai Unió Szolidaritási Alapjának igénybevétele: </w:t>
      </w:r>
      <w:r w:rsidR="009E341C" w:rsidRPr="00E32C02">
        <w:t>segítségnyújtás</w:t>
      </w:r>
      <w:r w:rsidRPr="00E32C02">
        <w:t xml:space="preserve"> Spanyolországnak és Franciaországnak a 2024. és 2025. évi természeti katasztrófákkal kapcsolatban</w:t>
      </w:r>
      <w:bookmarkEnd w:id="1"/>
    </w:p>
    <w:p w14:paraId="4DC33AD2" w14:textId="77777777" w:rsidR="002F666C" w:rsidRPr="00E32C02" w:rsidRDefault="002F666C" w:rsidP="002F666C">
      <w:pPr>
        <w:rPr>
          <w:i/>
          <w:vanish/>
        </w:rPr>
      </w:pPr>
      <w:r w:rsidRPr="00E32C02">
        <w:rPr>
          <w:i/>
        </w:rPr>
        <w:fldChar w:fldCharType="begin"/>
      </w:r>
      <w:r w:rsidRPr="00E32C02">
        <w:rPr>
          <w:i/>
        </w:rPr>
        <w:instrText xml:space="preserve"> TC"(</w:instrText>
      </w:r>
      <w:bookmarkStart w:id="2" w:name="DocNumber"/>
      <w:r w:rsidRPr="00E32C02">
        <w:rPr>
          <w:i/>
        </w:rPr>
        <w:instrText>A10-0215/2025</w:instrText>
      </w:r>
      <w:bookmarkEnd w:id="2"/>
      <w:r w:rsidRPr="00E32C02">
        <w:rPr>
          <w:i/>
        </w:rPr>
        <w:instrText xml:space="preserve"> - Előadó: Sandra </w:instrText>
      </w:r>
      <w:proofErr w:type="spellStart"/>
      <w:r w:rsidRPr="00E32C02">
        <w:rPr>
          <w:i/>
        </w:rPr>
        <w:instrText>Gómez</w:instrText>
      </w:r>
      <w:proofErr w:type="spellEnd"/>
      <w:r w:rsidRPr="00E32C02">
        <w:rPr>
          <w:i/>
        </w:rPr>
        <w:instrText xml:space="preserve"> López)"\l3 \n&gt; \* MERGEFORMAT </w:instrText>
      </w:r>
      <w:r w:rsidRPr="00E32C02">
        <w:rPr>
          <w:i/>
        </w:rPr>
        <w:fldChar w:fldCharType="end"/>
      </w:r>
    </w:p>
    <w:p w14:paraId="55B471D7" w14:textId="77777777" w:rsidR="002F666C" w:rsidRPr="00E32C02" w:rsidRDefault="002F666C" w:rsidP="002F666C">
      <w:pPr>
        <w:rPr>
          <w:vanish/>
        </w:rPr>
      </w:pPr>
      <w:bookmarkStart w:id="3" w:name="Commission"/>
      <w:r w:rsidRPr="00E32C02">
        <w:rPr>
          <w:vanish/>
        </w:rPr>
        <w:t>Költségvetési Bizottság</w:t>
      </w:r>
      <w:bookmarkEnd w:id="3"/>
    </w:p>
    <w:p w14:paraId="06801FFF" w14:textId="77777777" w:rsidR="002F666C" w:rsidRPr="00E32C02" w:rsidRDefault="002F666C" w:rsidP="002F666C">
      <w:pPr>
        <w:rPr>
          <w:vanish/>
        </w:rPr>
      </w:pPr>
      <w:bookmarkStart w:id="4" w:name="PE"/>
      <w:r w:rsidRPr="00E32C02">
        <w:rPr>
          <w:vanish/>
        </w:rPr>
        <w:t>PE778.223</w:t>
      </w:r>
      <w:bookmarkEnd w:id="4"/>
    </w:p>
    <w:p w14:paraId="7C5839C6" w14:textId="77777777" w:rsidR="002F666C" w:rsidRPr="00E32C02" w:rsidRDefault="002F666C" w:rsidP="002F666C">
      <w:pPr>
        <w:pStyle w:val="ATHeading3"/>
      </w:pPr>
      <w:bookmarkStart w:id="5" w:name="Sujet"/>
      <w:r w:rsidRPr="00E32C02">
        <w:t xml:space="preserve">Az Európai Parlament 2025. november 13-i állásfoglalása a Spanyolországnak a 2024 októberében Valencia autonóm közösségben történt áradásokkal, továbbá a Franciaországnak a 2024 decemberében </w:t>
      </w:r>
      <w:proofErr w:type="spellStart"/>
      <w:r w:rsidRPr="00E32C02">
        <w:t>Mayotte</w:t>
      </w:r>
      <w:proofErr w:type="spellEnd"/>
      <w:r w:rsidRPr="00E32C02">
        <w:t xml:space="preserve"> tengerentúli megyében és régióban a </w:t>
      </w:r>
      <w:proofErr w:type="spellStart"/>
      <w:r w:rsidRPr="00E32C02">
        <w:t>Chido</w:t>
      </w:r>
      <w:proofErr w:type="spellEnd"/>
      <w:r w:rsidRPr="00E32C02">
        <w:t xml:space="preserve"> ciklon és 2025 februárjában </w:t>
      </w:r>
      <w:proofErr w:type="spellStart"/>
      <w:r w:rsidRPr="00E32C02">
        <w:t>Réunion</w:t>
      </w:r>
      <w:proofErr w:type="spellEnd"/>
      <w:r w:rsidRPr="00E32C02">
        <w:t xml:space="preserve"> tengerentúli megyében és régióban a </w:t>
      </w:r>
      <w:proofErr w:type="spellStart"/>
      <w:r w:rsidRPr="00E32C02">
        <w:t>Garance</w:t>
      </w:r>
      <w:proofErr w:type="spellEnd"/>
      <w:r w:rsidRPr="00E32C02">
        <w:t xml:space="preserve"> ciklon által okozott károk következtében nyújtandó segítség céljából az Európai Unió Szolidaritási Alapjának igénybevételéről szóló európai parlamenti és tanácsi határozatra irányuló javaslatról</w:t>
      </w:r>
      <w:bookmarkEnd w:id="5"/>
      <w:r w:rsidRPr="00E32C02">
        <w:t xml:space="preserve"> </w:t>
      </w:r>
      <w:bookmarkStart w:id="6" w:name="References"/>
      <w:r w:rsidRPr="00E32C02">
        <w:t>(COM(2025)0855 – C10-0239/2025 – 2025/0318(BUD))</w:t>
      </w:r>
      <w:bookmarkEnd w:id="6"/>
    </w:p>
    <w:p w14:paraId="05BD78D0" w14:textId="77777777" w:rsidR="00D400E7" w:rsidRPr="00E32C02" w:rsidRDefault="00D400E7" w:rsidP="00D400E7">
      <w:pPr>
        <w:pStyle w:val="EPComma"/>
        <w:rPr>
          <w:noProof/>
        </w:rPr>
      </w:pPr>
      <w:r w:rsidRPr="00E32C02">
        <w:rPr>
          <w:i/>
        </w:rPr>
        <w:t>Az Európai Parlament,</w:t>
      </w:r>
    </w:p>
    <w:p w14:paraId="50D06E1F" w14:textId="77777777" w:rsidR="00D400E7" w:rsidRPr="00E32C02" w:rsidRDefault="00D400E7" w:rsidP="009E341C">
      <w:pPr>
        <w:pStyle w:val="NormalHanging12a"/>
        <w:widowControl/>
        <w:rPr>
          <w:noProof/>
        </w:rPr>
      </w:pPr>
      <w:r w:rsidRPr="00E32C02">
        <w:t>–</w:t>
      </w:r>
      <w:r w:rsidRPr="00E32C02">
        <w:tab/>
        <w:t>tekintettel a Bizottságnak az Európai Parlamenthez és a Tanácshoz intézett javaslatára (</w:t>
      </w:r>
      <w:proofErr w:type="gramStart"/>
      <w:r w:rsidRPr="00E32C02">
        <w:t>COM(</w:t>
      </w:r>
      <w:proofErr w:type="gramEnd"/>
      <w:r w:rsidRPr="00E32C02">
        <w:t>2025)0855 – C10</w:t>
      </w:r>
      <w:r w:rsidRPr="00E32C02">
        <w:noBreakHyphen/>
        <w:t>0239/2025),</w:t>
      </w:r>
    </w:p>
    <w:p w14:paraId="671D7BB1" w14:textId="77777777" w:rsidR="00D400E7" w:rsidRPr="00E32C02" w:rsidRDefault="00D400E7" w:rsidP="009E341C">
      <w:pPr>
        <w:pStyle w:val="NormalHanging12a"/>
        <w:widowControl/>
        <w:rPr>
          <w:noProof/>
        </w:rPr>
      </w:pPr>
      <w:r w:rsidRPr="00E32C02">
        <w:t>–</w:t>
      </w:r>
      <w:r w:rsidRPr="00E32C02">
        <w:tab/>
        <w:t>tekintettel az Európai Unió Szolidaritási Alapjának létrehozásáról szóló, 2002. november 11-i 2012/2002/EK tanácsi rendeletre</w:t>
      </w:r>
      <w:r w:rsidRPr="00E32C02">
        <w:rPr>
          <w:noProof/>
          <w:vertAlign w:val="superscript"/>
        </w:rPr>
        <w:footnoteReference w:id="1"/>
      </w:r>
      <w:r w:rsidRPr="00E32C02">
        <w:t>,</w:t>
      </w:r>
    </w:p>
    <w:p w14:paraId="711F2CBC" w14:textId="77777777" w:rsidR="00D400E7" w:rsidRPr="00E32C02" w:rsidRDefault="00D400E7" w:rsidP="009E341C">
      <w:pPr>
        <w:pStyle w:val="NormalHanging12a"/>
        <w:widowControl/>
        <w:rPr>
          <w:noProof/>
        </w:rPr>
      </w:pPr>
      <w:r w:rsidRPr="00E32C02">
        <w:t>–</w:t>
      </w:r>
      <w:r w:rsidRPr="00E32C02">
        <w:tab/>
        <w:t>tekintettel a 2021–2027-es időszakra vonatkozó többéves pénzügyi keretről szóló, 2020. december 17-i (EU, Euratom) 2020/2093 tanácsi rendeletre</w:t>
      </w:r>
      <w:r w:rsidRPr="00E32C02">
        <w:rPr>
          <w:noProof/>
          <w:vertAlign w:val="superscript"/>
        </w:rPr>
        <w:footnoteReference w:id="2"/>
      </w:r>
      <w:r w:rsidRPr="00E32C02">
        <w:t xml:space="preserve"> és különösen annak 9. cikkére,</w:t>
      </w:r>
    </w:p>
    <w:p w14:paraId="540416AA" w14:textId="77777777" w:rsidR="00D400E7" w:rsidRPr="00E32C02" w:rsidRDefault="00D400E7" w:rsidP="009E341C">
      <w:pPr>
        <w:pStyle w:val="NormalHanging12a"/>
        <w:widowControl/>
        <w:rPr>
          <w:noProof/>
        </w:rPr>
      </w:pPr>
      <w:r w:rsidRPr="00E32C02">
        <w:t>–</w:t>
      </w:r>
      <w:r w:rsidRPr="00E32C02">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sidRPr="00E32C02">
        <w:rPr>
          <w:noProof/>
          <w:vertAlign w:val="superscript"/>
        </w:rPr>
        <w:footnoteReference w:id="3"/>
      </w:r>
      <w:r w:rsidRPr="00E32C02">
        <w:t xml:space="preserve"> és különösen annak 10. pontjára,</w:t>
      </w:r>
    </w:p>
    <w:p w14:paraId="3BE66707" w14:textId="77777777" w:rsidR="00D400E7" w:rsidRPr="00E32C02" w:rsidRDefault="00D400E7" w:rsidP="009E341C">
      <w:pPr>
        <w:pStyle w:val="NormalHanging12a"/>
        <w:widowControl/>
        <w:rPr>
          <w:noProof/>
        </w:rPr>
      </w:pPr>
      <w:r w:rsidRPr="00E32C02">
        <w:lastRenderedPageBreak/>
        <w:t>–</w:t>
      </w:r>
      <w:r w:rsidRPr="00E32C02">
        <w:tab/>
        <w:t>tekintettel az Európai Regionális Fejlesztési Alapról és a Kohéziós Alapról szóló, 2021. június 24-i (EU) 2021/1058 európai parlamenti és tanácsi rendeletre</w:t>
      </w:r>
      <w:r w:rsidRPr="00E32C02">
        <w:rPr>
          <w:noProof/>
          <w:vertAlign w:val="superscript"/>
        </w:rPr>
        <w:footnoteReference w:id="4"/>
      </w:r>
      <w:r w:rsidRPr="00E32C02">
        <w:t xml:space="preserve">, </w:t>
      </w:r>
    </w:p>
    <w:p w14:paraId="110B4745" w14:textId="77777777" w:rsidR="00D400E7" w:rsidRPr="00E32C02" w:rsidRDefault="00D400E7" w:rsidP="009E341C">
      <w:pPr>
        <w:pStyle w:val="NormalHanging12a"/>
        <w:widowControl/>
        <w:rPr>
          <w:noProof/>
        </w:rPr>
      </w:pPr>
      <w:r w:rsidRPr="00E32C02">
        <w:t>–</w:t>
      </w:r>
      <w:r w:rsidRPr="00E32C02">
        <w:tab/>
        <w:t>tekintettel az Európai Szociális Alap Plusz (ESZA+) létrehozásáról szóló, 2021. június 24-i (EU) 2021/1057 európai parlamenti és tanácsi rendeletre</w:t>
      </w:r>
      <w:r w:rsidRPr="00E32C02">
        <w:rPr>
          <w:noProof/>
          <w:vertAlign w:val="superscript"/>
        </w:rPr>
        <w:footnoteReference w:id="5"/>
      </w:r>
      <w:r w:rsidRPr="00E32C02">
        <w:t xml:space="preserve">, </w:t>
      </w:r>
    </w:p>
    <w:p w14:paraId="78B9DFBB" w14:textId="77777777" w:rsidR="00D400E7" w:rsidRPr="00E32C02" w:rsidRDefault="00D400E7" w:rsidP="009E341C">
      <w:pPr>
        <w:pStyle w:val="NormalHanging12a"/>
        <w:widowControl/>
        <w:rPr>
          <w:noProof/>
        </w:rPr>
      </w:pPr>
      <w:r w:rsidRPr="00E32C02">
        <w:t>–</w:t>
      </w:r>
      <w:r w:rsidRPr="00E32C02">
        <w:tab/>
        <w:t>tekintettel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szóló, 2021. december 2-i (EU) 2021/2115 európai parlamenti és tanácsi rendeletre</w:t>
      </w:r>
      <w:r w:rsidRPr="00E32C02">
        <w:rPr>
          <w:noProof/>
          <w:vertAlign w:val="superscript"/>
        </w:rPr>
        <w:footnoteReference w:id="6"/>
      </w:r>
      <w:r w:rsidRPr="00E32C02">
        <w:t xml:space="preserve">, </w:t>
      </w:r>
    </w:p>
    <w:p w14:paraId="0DC8F595" w14:textId="398DD7C5" w:rsidR="00D400E7" w:rsidRPr="00E32C02" w:rsidRDefault="00D400E7" w:rsidP="009E341C">
      <w:pPr>
        <w:pStyle w:val="NormalHanging12a"/>
        <w:widowControl/>
        <w:rPr>
          <w:noProof/>
        </w:rPr>
      </w:pPr>
      <w:r w:rsidRPr="00E32C02">
        <w:t>–</w:t>
      </w:r>
      <w:r w:rsidRPr="00E32C02">
        <w:tab/>
        <w:t>tekintettel a Foglalkoztatási és Szociális Bizottság és a Regionális Fejlesztési Bizottság által az (EU) 2021/1057 és az (EU) 2021/1058 rendeletnek az újjáépítéshez nyújtott regionális szükséghelyzeti támogatás (RESTORE) tekintetében történő módosításáról szóló, 2024. december 19-i (EU) 2024/3236 európai parlamenti és tanácsi rendelet elfogadására irányuló jogalkotási eljárás</w:t>
      </w:r>
      <w:r w:rsidR="009E341C" w:rsidRPr="00E32C02">
        <w:rPr>
          <w:noProof/>
          <w:vertAlign w:val="superscript"/>
        </w:rPr>
        <w:footnoteReference w:id="7"/>
      </w:r>
      <w:r w:rsidRPr="00E32C02">
        <w:t xml:space="preserve"> keretében készített jelentésre (A10–0031/2024) és különösen a Költségvetési Bizottság által az említett jelentéshez csatolt költségvetési értékelésre, </w:t>
      </w:r>
    </w:p>
    <w:p w14:paraId="7182174A" w14:textId="73BA5CDE" w:rsidR="00D400E7" w:rsidRPr="00E32C02" w:rsidRDefault="00D400E7" w:rsidP="009E341C">
      <w:pPr>
        <w:pStyle w:val="NormalHanging12a"/>
        <w:widowControl/>
        <w:rPr>
          <w:noProof/>
        </w:rPr>
      </w:pPr>
      <w:r w:rsidRPr="00E32C02">
        <w:t>–</w:t>
      </w:r>
      <w:r w:rsidRPr="00E32C02">
        <w:tab/>
        <w:t>tekintettel „Az Unió megújított hosszú távú költségvetése a változó világban” című</w:t>
      </w:r>
      <w:r w:rsidR="009E341C" w:rsidRPr="00E32C02">
        <w:t>,</w:t>
      </w:r>
      <w:r w:rsidRPr="00E32C02">
        <w:t xml:space="preserve"> 2025. május 7-i állásfoglalására</w:t>
      </w:r>
      <w:r w:rsidRPr="00E32C02">
        <w:rPr>
          <w:noProof/>
          <w:vertAlign w:val="superscript"/>
        </w:rPr>
        <w:footnoteReference w:id="8"/>
      </w:r>
      <w:r w:rsidRPr="00E32C02">
        <w:t xml:space="preserve">, </w:t>
      </w:r>
    </w:p>
    <w:p w14:paraId="26C45AA2" w14:textId="77777777" w:rsidR="00D400E7" w:rsidRPr="00E32C02" w:rsidRDefault="00D400E7" w:rsidP="009E341C">
      <w:pPr>
        <w:pStyle w:val="NormalHanging12a"/>
        <w:widowControl/>
        <w:rPr>
          <w:noProof/>
        </w:rPr>
      </w:pPr>
      <w:r w:rsidRPr="00E32C02">
        <w:t>–</w:t>
      </w:r>
      <w:r w:rsidRPr="00E32C02">
        <w:tab/>
        <w:t>tekintettel az Európai Környezetvédelmi Ügynökség (EEA) 1/2024. sz., „Európai éghajlati kockázatértékelés” (EUCRA) című jelentésére</w:t>
      </w:r>
      <w:r w:rsidRPr="00E32C02">
        <w:rPr>
          <w:noProof/>
          <w:vertAlign w:val="superscript"/>
        </w:rPr>
        <w:footnoteReference w:id="9"/>
      </w:r>
      <w:r w:rsidRPr="00E32C02">
        <w:t>,</w:t>
      </w:r>
    </w:p>
    <w:p w14:paraId="55D5D04B" w14:textId="77777777" w:rsidR="00D400E7" w:rsidRPr="00E32C02" w:rsidRDefault="00D400E7" w:rsidP="009E341C">
      <w:pPr>
        <w:pStyle w:val="NormalHanging12a"/>
        <w:widowControl/>
        <w:rPr>
          <w:noProof/>
        </w:rPr>
      </w:pPr>
      <w:r w:rsidRPr="00E32C02">
        <w:t>–</w:t>
      </w:r>
      <w:r w:rsidRPr="00E32C02">
        <w:tab/>
        <w:t>tekintettel a Költségvetési Bizottság jelentésére (A10-0215/2025),</w:t>
      </w:r>
    </w:p>
    <w:p w14:paraId="06A4A61D" w14:textId="77777777" w:rsidR="00D400E7" w:rsidRPr="00E32C02" w:rsidRDefault="00D400E7" w:rsidP="009E341C">
      <w:pPr>
        <w:pStyle w:val="NormalHanging12a"/>
        <w:widowControl/>
        <w:rPr>
          <w:noProof/>
        </w:rPr>
      </w:pPr>
      <w:r w:rsidRPr="00E32C02">
        <w:t>A.</w:t>
      </w:r>
      <w:r w:rsidRPr="00E32C02">
        <w:tab/>
        <w:t>mivel 2024. október 28. és november 4. között egy heves esőzést okozó vihar Spanyolország teljes valenciai régióját sújtotta, és súlyos áradásokhoz vezetett, amelyek a Bizottság becslése szerint összesen 18,08 milliárd EUR összegű közvetlen kárt okoztak, és 84 településen 845 000 embert, 170 oktatási intézményt, több mint 50 egészségügyi intézményt és állami infrastruktúrát érintettek; mivel az áradások legalább 229 ember halálát okozták;</w:t>
      </w:r>
    </w:p>
    <w:p w14:paraId="75856A58" w14:textId="77777777" w:rsidR="00D400E7" w:rsidRPr="00E32C02" w:rsidRDefault="00D400E7" w:rsidP="009E341C">
      <w:pPr>
        <w:pStyle w:val="NormalHanging12a"/>
        <w:widowControl/>
        <w:rPr>
          <w:bCs/>
          <w:iCs/>
          <w:noProof/>
        </w:rPr>
      </w:pPr>
      <w:r w:rsidRPr="00E32C02">
        <w:t>B.</w:t>
      </w:r>
      <w:r w:rsidRPr="00E32C02">
        <w:tab/>
        <w:t>mivel a viharok és áradások által a régiók gazdaságára gyakorolt óriási hatást 18 milliárd euróra becsülik, ami 63 ipari területet, 64 000 vállalatot (amelyek 99,6%-a kkv), 250 000 munkavállalót és 243 388 kártérítési igényt érint, amint azt Valencia regionális kormánya és a Valenciai Üzleti Szövetség által benyújtott tanulmányok is ismertetik;</w:t>
      </w:r>
    </w:p>
    <w:p w14:paraId="1A4D9A92" w14:textId="77777777" w:rsidR="00D400E7" w:rsidRPr="00E32C02" w:rsidRDefault="00D400E7" w:rsidP="009E341C">
      <w:pPr>
        <w:pStyle w:val="NormalHanging12a"/>
        <w:widowControl/>
        <w:rPr>
          <w:noProof/>
        </w:rPr>
      </w:pPr>
      <w:r w:rsidRPr="00E32C02">
        <w:t>C.</w:t>
      </w:r>
      <w:r w:rsidRPr="00E32C02">
        <w:tab/>
        <w:t xml:space="preserve">mivel 2024. december 14-én a </w:t>
      </w:r>
      <w:proofErr w:type="spellStart"/>
      <w:r w:rsidRPr="00E32C02">
        <w:t>Chido</w:t>
      </w:r>
      <w:proofErr w:type="spellEnd"/>
      <w:r w:rsidRPr="00E32C02">
        <w:t xml:space="preserve"> nevű ciklon szeme elérte </w:t>
      </w:r>
      <w:proofErr w:type="spellStart"/>
      <w:r w:rsidRPr="00E32C02">
        <w:t>Mayotte</w:t>
      </w:r>
      <w:proofErr w:type="spellEnd"/>
      <w:r w:rsidRPr="00E32C02">
        <w:t xml:space="preserve"> szigetét (Franciaország), és több mint 180 km/órás széllökéseket, heves esőzéseket és magas hullámokat eredményezett, ami a Bizottság becslése szerint 3,6 milliárd EUR teljes </w:t>
      </w:r>
      <w:r w:rsidRPr="00E32C02">
        <w:lastRenderedPageBreak/>
        <w:t>közvetlen kárt okozott; mivel a ciklon 337 000 embert érintett, és legalább 39 halálos áldozatot követelt; mivel 200 embert továbbra is eltűntként tartanak számon;</w:t>
      </w:r>
    </w:p>
    <w:p w14:paraId="2E2F9C65" w14:textId="77777777" w:rsidR="00D400E7" w:rsidRPr="00E32C02" w:rsidRDefault="00D400E7" w:rsidP="009E341C">
      <w:pPr>
        <w:pStyle w:val="NormalHanging12a"/>
        <w:widowControl/>
        <w:rPr>
          <w:noProof/>
        </w:rPr>
      </w:pPr>
      <w:r w:rsidRPr="00E32C02">
        <w:t>D.</w:t>
      </w:r>
      <w:r w:rsidRPr="00E32C02">
        <w:tab/>
        <w:t xml:space="preserve">mivel 2025. február 28-án a </w:t>
      </w:r>
      <w:proofErr w:type="spellStart"/>
      <w:r w:rsidRPr="00E32C02">
        <w:t>Garance</w:t>
      </w:r>
      <w:proofErr w:type="spellEnd"/>
      <w:r w:rsidRPr="00E32C02">
        <w:t xml:space="preserve"> nevű ciklon elérte a franciaországi </w:t>
      </w:r>
      <w:proofErr w:type="spellStart"/>
      <w:r w:rsidRPr="00E32C02">
        <w:t>Réunion</w:t>
      </w:r>
      <w:proofErr w:type="spellEnd"/>
      <w:r w:rsidRPr="00E32C02">
        <w:t xml:space="preserve"> szigetét, és akár 215 km/órás szélsebességet, heves esőzéseket és veszélyes tengeri körülményeket eredményezett, ami a francia hatóságok becslése szerint összesen 849,45 millió EUR közvetlen kárt okozott, főként az elektromos hálózatokban és a kommunikációs infrastruktúrában; mivel a ciklon 160 000 embert érintett, és legalább 4 halálos áldozatot követelt;</w:t>
      </w:r>
    </w:p>
    <w:p w14:paraId="738FA1DC" w14:textId="77777777" w:rsidR="00D400E7" w:rsidRPr="00E32C02" w:rsidRDefault="00D400E7" w:rsidP="009E341C">
      <w:pPr>
        <w:pStyle w:val="NormalHanging12a"/>
        <w:widowControl/>
        <w:rPr>
          <w:noProof/>
        </w:rPr>
      </w:pPr>
      <w:r w:rsidRPr="00E32C02">
        <w:t>1.</w:t>
      </w:r>
      <w:r w:rsidRPr="00E32C02">
        <w:tab/>
        <w:t xml:space="preserve">legmélyebb szolidaritását fejezi ki a spanyolországi Valencia régióban pusztítást okozó áradások, valamint a Franciaországhoz tartozó </w:t>
      </w:r>
      <w:proofErr w:type="spellStart"/>
      <w:r w:rsidRPr="00E32C02">
        <w:t>Mayotte</w:t>
      </w:r>
      <w:proofErr w:type="spellEnd"/>
      <w:r w:rsidRPr="00E32C02">
        <w:t xml:space="preserve"> és </w:t>
      </w:r>
      <w:proofErr w:type="spellStart"/>
      <w:r w:rsidRPr="00E32C02">
        <w:t>Réunion</w:t>
      </w:r>
      <w:proofErr w:type="spellEnd"/>
      <w:r w:rsidRPr="00E32C02">
        <w:t xml:space="preserve"> területét sújtó ciklonok valamennyi áldozatával, családjukkal és az áradások által érintett valamennyi személlyel, valamint a segítségnyújtási erőfeszítésekben részt vevő nemzeti, regionális és helyi hatóságokkal;</w:t>
      </w:r>
    </w:p>
    <w:p w14:paraId="68416696" w14:textId="77777777" w:rsidR="00D400E7" w:rsidRPr="00E32C02" w:rsidRDefault="00D400E7" w:rsidP="009E341C">
      <w:pPr>
        <w:pStyle w:val="NormalHanging12a"/>
        <w:widowControl/>
        <w:rPr>
          <w:noProof/>
        </w:rPr>
      </w:pPr>
      <w:r w:rsidRPr="00E32C02">
        <w:t>2.</w:t>
      </w:r>
      <w:r w:rsidRPr="00E32C02">
        <w:tab/>
        <w:t>üdvözli a döntést, amely kézzelfogható és látható formája annak, hogy az Unió szolidaritást vállal polgáraival és az érintett térségek régióival, de megjegyzi, hogy ez a szolidaritás nem helyettesítheti a helyi, regionális és nemzeti hatóságok közvetlen felelősségét az éghajlattal kapcsolatos természeti katasztrófák megelőzésében és kezelésében;</w:t>
      </w:r>
    </w:p>
    <w:p w14:paraId="30097776" w14:textId="77777777" w:rsidR="00D400E7" w:rsidRPr="00E32C02" w:rsidRDefault="00D400E7" w:rsidP="009E341C">
      <w:pPr>
        <w:pStyle w:val="NormalHanging12a"/>
        <w:widowControl/>
        <w:rPr>
          <w:noProof/>
        </w:rPr>
      </w:pPr>
      <w:r w:rsidRPr="00E32C02">
        <w:t>3.</w:t>
      </w:r>
      <w:r w:rsidRPr="00E32C02">
        <w:tab/>
        <w:t>megismétli annak fontosságát, hogy tájékoztassák a nyilvánosságot az Európai Unió Szolidaritási Alapja (EUSZA) által biztosított kézzelfogható előnyökről, többek között annak érdekében, hogy tovább növeljék a polgárok uniós eszközökkel és programokkal kapcsolatos tudatosságát;</w:t>
      </w:r>
    </w:p>
    <w:p w14:paraId="7638C414" w14:textId="77777777" w:rsidR="00D400E7" w:rsidRPr="00E32C02" w:rsidRDefault="00D400E7" w:rsidP="009E341C">
      <w:pPr>
        <w:pStyle w:val="NormalHanging12a"/>
        <w:widowControl/>
        <w:rPr>
          <w:noProof/>
        </w:rPr>
      </w:pPr>
      <w:r w:rsidRPr="00E32C02">
        <w:t>4.</w:t>
      </w:r>
      <w:r w:rsidRPr="00E32C02">
        <w:tab/>
        <w:t xml:space="preserve">kiemeli a súlyos, pusztító és halálos áldozatokkal járó természeti katasztrófák számának növekedését Európában, és felhívja a tagállamokat és a Bizottságot, hogy növeljék beruházásaikat a megelőzés, az állami infrastruktúra, az éghajlatváltozás mérséklése és az ahhoz való alkalmazkodás, valamint a szükséghelyzeti felkészültséget célzó intézkedések terén az emberi és gazdasági veszteségek elkerülése érdekében; felhívja a tagállamokat, hogy vegyék figyelembe, hogy társadalmi-gazdasági és demográfiai tényezőkből kifolyólag az éghajlati kockázatok és egyéb természeti katasztrófák aránytalanul érintik a kiszolgáltatott népességcsoportokat és a kis- és középvállalkozásokat, valamint az olyan sérülékeny területeket, mint a legkülső régiók; alapvető fontosságúnak tartja az EUSZA költségvetési hatósága általi magas szintű demokratikus ellenőrzés biztosítását; emlékeztet arra, hogy az EUSZA korlátozott költségvetéssel rendelkezik, és nem tekinthető a jelentős természeti katasztrófák kezelésére szolgáló egyetlen eszköznek; ezért felszólít az uniós költségvetés pénzügyi kapacitásának értékelésére és forrásainak lehetséges növelésére annak érdekében, hogy az ilyen katasztrófák nagyságrendjének megfelelő segítséget nyújtsanak az állampolgároknak; megjegyzi, hogy e segítségnyújtás növelése lehetővé tenné a tagállamok számára, hogy hatékonyabban és gyorsabban reagáljanak a katasztrófákra, miközben más eszközöket, különösen a kohéziós alapokat, amelyek elsődleges célja nem a katasztrófaelhárítás, meg lehetne őrizni; </w:t>
      </w:r>
    </w:p>
    <w:p w14:paraId="7AC727C7" w14:textId="77777777" w:rsidR="00D400E7" w:rsidRPr="00E32C02" w:rsidRDefault="00D400E7" w:rsidP="009E341C">
      <w:pPr>
        <w:pStyle w:val="NormalHanging12a"/>
        <w:widowControl/>
        <w:rPr>
          <w:noProof/>
        </w:rPr>
      </w:pPr>
      <w:r w:rsidRPr="00E32C02">
        <w:t>5.</w:t>
      </w:r>
      <w:r w:rsidRPr="00E32C02">
        <w:tab/>
        <w:t xml:space="preserve">hangsúlyozza, hogy az EUSZA mindössze egy, a helyreállítást szolgáló eszköz, és hogy az Uniónak továbbra is foglalkoznia kell az éghajlatváltozáshoz való alkalmazkodással és az éghajlatváltozás mérséklésével a természeti katasztrófák megelőzésére irányuló európai és nemzeti politikák támogatása, valamint az „építsük újra, de jobban” elv valamennyi fellépésében való alátámasztása révén; hangsúlyozza, hogy az EEA 1/2024. </w:t>
      </w:r>
      <w:r w:rsidRPr="00E32C02">
        <w:lastRenderedPageBreak/>
        <w:t>számú, „Európai éghajlati kockázatértékelés” című jelentése figyelmeztetett arra, hogy az Unió nincs felkészülve az éghajlatváltozás hatásaira, és hangsúlyozza, hogy intézkedésekre van szükség annak elkerülése érdekében, hogy az azonosított éghajlati kockázatok kritikus szintet érjenek el; felhívja a tagállamokat és a Bizottságot, hogy tegyék meg a szükséges intézkedéseket annak érdekében, hogy az Unió teljesítse a Párizsi Megállapodásban vállalt kötelezettségeit; emlékeztet arra, hogy hatékony szinergiákra van szükség más uniós szakpolitikákkal és programokkal, és hangsúlyozza, hogy a tagállamoknak a lehető legjobban ki kell használniuk a finanszírozási lehetőségeket, így különösen az Európai Regionális Fejlesztési Alap, az Európai Szociális Alap + és a vidékfejlesztési programok finanszírozási lehetőségeit; felhívja a Bizottságot, hogy kellő sürgősséggel értékelje a tagállamok arra irányuló indokolt kérelmeit, hogy az (EU) 2021/241 európai parlamenti és tanácsi rendeletben</w:t>
      </w:r>
      <w:r w:rsidRPr="00E32C02">
        <w:rPr>
          <w:noProof/>
          <w:vertAlign w:val="superscript"/>
        </w:rPr>
        <w:footnoteReference w:id="10"/>
      </w:r>
      <w:r w:rsidRPr="00E32C02">
        <w:t xml:space="preserve"> meghatározott szabályokkal összhangban a nemzeti helyreállítási és </w:t>
      </w:r>
      <w:proofErr w:type="spellStart"/>
      <w:r w:rsidRPr="00E32C02">
        <w:t>rezilienciaépítési</w:t>
      </w:r>
      <w:proofErr w:type="spellEnd"/>
      <w:r w:rsidRPr="00E32C02">
        <w:t xml:space="preserve"> terveken belül forrásokat csoportosítsanak át a természeti katasztrófákkal kapcsolatos segítségnyújtásra, különösen az e mechanizmusból származó, még el nem költött források magas arányát figyelembe véve; hangsúlyozza továbbá, hogy megelőző intézkedésekre van szükség nemcsak a jövőbeli károk enyhítése, hanem a katasztrofális eseményeket, például árvizeket, erdőtüzeket, földcsuszamlásokat vagy tavak és folyók kiszáradását követő kockázatok súlyosbodásának megelőzése érdekében is; hangsúlyozza továbbá, hogy az extrém időjárás és a természeti katasztrófák, például a hőhullámok Európa-szerte veszélyeztetik a közegészséget, és felhívja a Bizottságot, hogy vegye figyelembe ezt a szempontot vonatkozó szakpolitikáiban; ösztönzi az innovatív digitális eszközök, a műholdas adatok (pl. Kopernikusz) és a korai </w:t>
      </w:r>
      <w:proofErr w:type="spellStart"/>
      <w:r w:rsidRPr="00E32C02">
        <w:t>előrejelző</w:t>
      </w:r>
      <w:proofErr w:type="spellEnd"/>
      <w:r w:rsidRPr="00E32C02">
        <w:t xml:space="preserve"> rendszerek használatát a katasztrófákra való felkészültség javítása érdekében; hangsúlyozza a különböző programok közötti megfelelő rugalmasság fontosságát; hangsúlyozza, hogy az EUSZA keretében nyújtott támogatás nem történhet a tagállamok által más uniós programok vagy szakpolitikák keretében kapott uniós finanszírozás kárára; emlékeztet arra, hogy a tagállamok az alkalmazandó uniós szabályokkal összhangban állami támogatást nyújthatnak, különösen a természeti katasztrófák miatt kárt szenvedett mezőgazdasági vállalkozások számára;</w:t>
      </w:r>
    </w:p>
    <w:p w14:paraId="454DE884" w14:textId="77777777" w:rsidR="00D400E7" w:rsidRPr="00E32C02" w:rsidRDefault="00D400E7" w:rsidP="009E341C">
      <w:pPr>
        <w:pStyle w:val="NormalHanging12a"/>
        <w:widowControl/>
        <w:rPr>
          <w:noProof/>
        </w:rPr>
      </w:pPr>
      <w:r w:rsidRPr="00E32C02">
        <w:t>6.</w:t>
      </w:r>
      <w:r w:rsidRPr="00E32C02">
        <w:tab/>
        <w:t>emlékeztet arra, hogy a RESTORE</w:t>
      </w:r>
      <w:r w:rsidRPr="00E32C02">
        <w:rPr>
          <w:noProof/>
          <w:vertAlign w:val="superscript"/>
        </w:rPr>
        <w:footnoteReference w:id="11"/>
      </w:r>
      <w:r w:rsidRPr="00E32C02">
        <w:t xml:space="preserve"> és az Európai Mezőgazdasági Vidékfejlesztési Alap (EMVA)</w:t>
      </w:r>
      <w:r w:rsidRPr="00E32C02">
        <w:rPr>
          <w:noProof/>
          <w:vertAlign w:val="superscript"/>
        </w:rPr>
        <w:footnoteReference w:id="12"/>
      </w:r>
      <w:r w:rsidRPr="00E32C02">
        <w:t xml:space="preserve"> keretében hozott egyedi intézkedések további támogatást nyújtanak a természeti katasztrófák által sújtott tagállamoknak az alapok felhasználásának további rugalmassága révén; hangsúlyozza, hogy a tagállamoknak ki kell használniuk e lehetőségeket; </w:t>
      </w:r>
    </w:p>
    <w:p w14:paraId="58DDE718" w14:textId="77777777" w:rsidR="00D400E7" w:rsidRPr="00E32C02" w:rsidRDefault="00D400E7" w:rsidP="009E341C">
      <w:pPr>
        <w:pStyle w:val="NormalHanging12a"/>
        <w:widowControl/>
        <w:rPr>
          <w:bCs/>
          <w:iCs/>
        </w:rPr>
      </w:pPr>
      <w:r w:rsidRPr="00E32C02">
        <w:t>7.</w:t>
      </w:r>
      <w:r w:rsidRPr="00E32C02">
        <w:tab/>
        <w:t>sajnálja, hogy az EUSZA-támogatás teljes összege átlagosan egy év alatt jut el a kedvezményezetthez; emlékeztet a gyors és szilárd kárfelmérés fontosságára, amely kellően figyelembe veszi a gazdasági következményeket, és fokozott operatív erőfeszítésekre szólít fel az előzetes kifizetések folyósítására fordított átlagos idő csökkentése érdekében, biztosítva ugyanakkor az uniós költségvetés védelmét; megjegyzi, hogy a támogatás teljes összegének kiszámítására szolgáló módszer jobban figyelembe vehetné a teljes közvetlen kár és az érintett terület GNI-je közötti arányt, különösen, ha a legkülső régiók érintettek;</w:t>
      </w:r>
    </w:p>
    <w:p w14:paraId="53F76713" w14:textId="77777777" w:rsidR="00D400E7" w:rsidRPr="00E32C02" w:rsidRDefault="00D400E7" w:rsidP="009E341C">
      <w:pPr>
        <w:pStyle w:val="NormalHanging12a"/>
        <w:widowControl/>
        <w:rPr>
          <w:noProof/>
        </w:rPr>
      </w:pPr>
      <w:r w:rsidRPr="00E32C02">
        <w:lastRenderedPageBreak/>
        <w:t>8.</w:t>
      </w:r>
      <w:r w:rsidRPr="00E32C02">
        <w:tab/>
        <w:t>hangsúlyozza, hogy sürgősen haladéktalan pénzügyi támogatást kell felszabadítani az EUSZA-n keresztül annak érdekében, hogy a támogatás időben eljusson az érintett régiókhoz, a gyors és tartós helyreállítás támogatása céljából; hangsúlyozza, hogy fontos csökkenteni az EUSZA-támogatás iránti kérelem benyújtása és a finanszírozási határozat meghozatala közötti időtartamot; felszólít erőfeszítések megtételére annak biztosítására, hogy az EUSZA-támogatások azonnal eljussanak a végső kedvezményezettekhez, köztük a vállalkozásokhoz, a kkv-khoz, a családokhoz és az érintett polgárokhoz, valamint az infrastruktúra újjáépítéséhez és az anyagi károk helyreállításához, a megfelelő hatásvizsgálattal és megfelelő ellenőrzési mechanizmusokkal együtt; hangsúlyozza, hogy a belső eljárásokat egyszerűsíteni kell és fel kell gyorsítani anélkül, hogy ez az intézményi egyensúly, különösen az Európai Parlamentet a költségvetési hatóság két ágának egyikeként megillető jogok rovására menjen; megjegyzi, hogy az Európai Szolidaritási Alap 2027 utáni utódjának javasolt irányítása nincs összhangban „Az Unió megújított hosszú távú költségvetése a változó világban” című, 2025. május 7-i állásfoglalásában</w:t>
      </w:r>
      <w:r w:rsidRPr="00E32C02">
        <w:rPr>
          <w:rStyle w:val="FootnoteReference"/>
          <w:bCs/>
          <w:iCs/>
        </w:rPr>
        <w:footnoteReference w:id="13"/>
      </w:r>
      <w:r w:rsidRPr="00E32C02">
        <w:t xml:space="preserve"> kifejtett európai parlamenti állásponttal; </w:t>
      </w:r>
    </w:p>
    <w:p w14:paraId="553A1832" w14:textId="77777777" w:rsidR="00D400E7" w:rsidRPr="00E32C02" w:rsidRDefault="00D400E7" w:rsidP="009E341C">
      <w:pPr>
        <w:pStyle w:val="NormalHanging12a"/>
        <w:widowControl/>
        <w:rPr>
          <w:noProof/>
        </w:rPr>
      </w:pPr>
      <w:r w:rsidRPr="00E32C02">
        <w:t>9.</w:t>
      </w:r>
      <w:r w:rsidRPr="00E32C02">
        <w:tab/>
        <w:t>jóváhagyja a jelen állásfoglaláshoz mellékelt határozatot;</w:t>
      </w:r>
    </w:p>
    <w:p w14:paraId="30BF1D44" w14:textId="77777777" w:rsidR="00D400E7" w:rsidRPr="00E32C02" w:rsidRDefault="00D400E7" w:rsidP="009E341C">
      <w:pPr>
        <w:pStyle w:val="NormalHanging12a"/>
        <w:widowControl/>
        <w:rPr>
          <w:noProof/>
        </w:rPr>
      </w:pPr>
      <w:r w:rsidRPr="00E32C02">
        <w:t>10.</w:t>
      </w:r>
      <w:r w:rsidRPr="00E32C02">
        <w:tab/>
        <w:t xml:space="preserve">utasítja elnökét, hogy a Tanács elnökével együtt írja alá ezt a határozatot, valamint gondoskodjon közzétételéről az </w:t>
      </w:r>
      <w:r w:rsidRPr="00E32C02">
        <w:rPr>
          <w:i/>
        </w:rPr>
        <w:t>Európai Unió Hivatalos Lapjában</w:t>
      </w:r>
      <w:r w:rsidRPr="00E32C02">
        <w:t>;</w:t>
      </w:r>
    </w:p>
    <w:p w14:paraId="2ED29125" w14:textId="77777777" w:rsidR="00D400E7" w:rsidRPr="00E32C02" w:rsidRDefault="00D400E7" w:rsidP="009E341C">
      <w:pPr>
        <w:pStyle w:val="NormalHanging12a"/>
        <w:widowControl/>
        <w:rPr>
          <w:noProof/>
        </w:rPr>
      </w:pPr>
      <w:r w:rsidRPr="00E32C02">
        <w:t>11.</w:t>
      </w:r>
      <w:r w:rsidRPr="00E32C02">
        <w:tab/>
        <w:t>utasítja elnökét, hogy továbbítsa ezt az állásfoglalást és annak mellékletét a Tanácsnak és a Bizottságnak.</w:t>
      </w:r>
    </w:p>
    <w:p w14:paraId="5F17114E" w14:textId="77777777" w:rsidR="00D400E7" w:rsidRPr="00E32C02" w:rsidRDefault="00D400E7" w:rsidP="00D400E7">
      <w:pPr>
        <w:pStyle w:val="PageHeading"/>
        <w:jc w:val="left"/>
        <w:rPr>
          <w:noProof/>
        </w:rPr>
        <w:sectPr w:rsidR="00D400E7" w:rsidRPr="00E32C02" w:rsidSect="00E0463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70BB40" w14:textId="77777777" w:rsidR="003F7A22" w:rsidRPr="003F7A22" w:rsidRDefault="00D400E7" w:rsidP="00D400E7">
      <w:pPr>
        <w:pStyle w:val="PageHeading"/>
        <w:rPr>
          <w:rFonts w:ascii="Times New Roman" w:hAnsi="Times New Roman" w:cs="Times New Roman"/>
        </w:rPr>
      </w:pPr>
      <w:bookmarkStart w:id="7" w:name="_Toc213837087"/>
      <w:r w:rsidRPr="003F7A22">
        <w:rPr>
          <w:rFonts w:ascii="Times New Roman" w:hAnsi="Times New Roman" w:cs="Times New Roman"/>
        </w:rPr>
        <w:lastRenderedPageBreak/>
        <w:t>MELLÉKLET</w:t>
      </w:r>
    </w:p>
    <w:p w14:paraId="12FFC783" w14:textId="569AA382" w:rsidR="00D400E7" w:rsidRPr="003F7A22" w:rsidRDefault="00D400E7" w:rsidP="00D400E7">
      <w:pPr>
        <w:pStyle w:val="PageHeading"/>
        <w:rPr>
          <w:rFonts w:ascii="Times New Roman" w:hAnsi="Times New Roman" w:cs="Times New Roman"/>
          <w:noProof/>
        </w:rPr>
      </w:pPr>
      <w:r w:rsidRPr="003F7A22">
        <w:rPr>
          <w:rFonts w:ascii="Times New Roman" w:hAnsi="Times New Roman" w:cs="Times New Roman"/>
        </w:rPr>
        <w:t>AZ EURÓPAI PARLAMENT ÉS A TANÁCS HATÁROZATA</w:t>
      </w:r>
      <w:bookmarkEnd w:id="7"/>
    </w:p>
    <w:p w14:paraId="5309FEF1" w14:textId="55BA3954" w:rsidR="003F7A22" w:rsidRDefault="00D400E7" w:rsidP="00E32C02">
      <w:pPr>
        <w:pStyle w:val="NormalBold24a"/>
        <w:jc w:val="center"/>
      </w:pPr>
      <w:r w:rsidRPr="00E32C02">
        <w:t xml:space="preserve">a </w:t>
      </w:r>
      <w:r w:rsidR="003F7A22" w:rsidRPr="003F7A22">
        <w:t xml:space="preserve">Spanyolországnak a 2024 októberében Valencia autonóm közösségben történt áradásokkal összefüggésben, továbbá a Franciaországnak a 2024 decemberében </w:t>
      </w:r>
      <w:proofErr w:type="spellStart"/>
      <w:r w:rsidR="003F7A22" w:rsidRPr="003F7A22">
        <w:t>Mayotte</w:t>
      </w:r>
      <w:proofErr w:type="spellEnd"/>
      <w:r w:rsidR="003F7A22" w:rsidRPr="003F7A22">
        <w:t xml:space="preserve"> tengerentúli megyében és régióban a </w:t>
      </w:r>
      <w:proofErr w:type="spellStart"/>
      <w:r w:rsidR="003F7A22" w:rsidRPr="003F7A22">
        <w:t>Chido</w:t>
      </w:r>
      <w:proofErr w:type="spellEnd"/>
      <w:r w:rsidR="003F7A22" w:rsidRPr="003F7A22">
        <w:t xml:space="preserve"> ciklon és 2025 februárjában </w:t>
      </w:r>
      <w:proofErr w:type="spellStart"/>
      <w:r w:rsidR="003F7A22" w:rsidRPr="003F7A22">
        <w:t>Réunion</w:t>
      </w:r>
      <w:proofErr w:type="spellEnd"/>
      <w:r w:rsidR="003F7A22" w:rsidRPr="003F7A22">
        <w:t xml:space="preserve"> tengerentúli megyében és régióban a </w:t>
      </w:r>
      <w:proofErr w:type="spellStart"/>
      <w:r w:rsidR="003F7A22" w:rsidRPr="003F7A22">
        <w:t>Garance</w:t>
      </w:r>
      <w:proofErr w:type="spellEnd"/>
      <w:r w:rsidR="003F7A22" w:rsidRPr="003F7A22">
        <w:t xml:space="preserve"> ciklon által okozott károk következtében nyújtandó segítség céljából az Európai Unió Szolidaritási Alapjának igénybevételéről</w:t>
      </w:r>
    </w:p>
    <w:p w14:paraId="353A9E32" w14:textId="247F97F5" w:rsidR="003F7A22" w:rsidRPr="003E0E6D" w:rsidRDefault="003F7A22" w:rsidP="003F7A22">
      <w:r w:rsidRPr="009522CD">
        <w:rPr>
          <w:rStyle w:val="Emphasis"/>
        </w:rPr>
        <w:t>(</w:t>
      </w:r>
      <w:r w:rsidRPr="003F7A22">
        <w:rPr>
          <w:rStyle w:val="Emphasis"/>
        </w:rPr>
        <w:t>E melléklet szövege itt nincs feltüntetve, mert az megegyezik a végleges jogi aktussal, az (EU) 2025/</w:t>
      </w:r>
      <w:r>
        <w:rPr>
          <w:rStyle w:val="Emphasis"/>
        </w:rPr>
        <w:t>2403</w:t>
      </w:r>
      <w:r w:rsidRPr="003F7A22">
        <w:rPr>
          <w:rStyle w:val="Emphasis"/>
        </w:rPr>
        <w:t xml:space="preserve"> határozattal</w:t>
      </w:r>
      <w:r>
        <w:rPr>
          <w:rStyle w:val="Emphasis"/>
        </w:rPr>
        <w:t>.)</w:t>
      </w:r>
      <w:r w:rsidRPr="009522CD">
        <w:rPr>
          <w:rStyle w:val="Emphasis"/>
        </w:rPr>
        <w:t xml:space="preserve"> </w:t>
      </w:r>
    </w:p>
    <w:sectPr w:rsidR="003F7A22" w:rsidRPr="003E0E6D" w:rsidSect="00E0463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6828F" w14:textId="77777777" w:rsidR="002F666C" w:rsidRPr="00E04633" w:rsidRDefault="002F666C">
      <w:r w:rsidRPr="00E04633">
        <w:separator/>
      </w:r>
    </w:p>
  </w:endnote>
  <w:endnote w:type="continuationSeparator" w:id="0">
    <w:p w14:paraId="26B25BB2" w14:textId="77777777" w:rsidR="002F666C" w:rsidRPr="00E04633" w:rsidRDefault="002F666C">
      <w:r w:rsidRPr="00E046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E11F" w14:textId="77777777" w:rsidR="00D400E7" w:rsidRPr="00E04633" w:rsidRDefault="00D400E7" w:rsidP="003F277F">
    <w:pPr>
      <w:pStyle w:val="EPFooter"/>
    </w:pPr>
    <w:r w:rsidRPr="00E04633">
      <w:t>PE</w:t>
    </w:r>
    <w:r w:rsidRPr="00E04633">
      <w:rPr>
        <w:rStyle w:val="HideTWBExt"/>
      </w:rPr>
      <w:t>&lt;</w:t>
    </w:r>
    <w:proofErr w:type="spellStart"/>
    <w:r w:rsidRPr="00E04633">
      <w:rPr>
        <w:rStyle w:val="HideTWBExt"/>
      </w:rPr>
      <w:t>NoPE</w:t>
    </w:r>
    <w:proofErr w:type="spellEnd"/>
    <w:r w:rsidRPr="00E04633">
      <w:rPr>
        <w:rStyle w:val="HideTWBExt"/>
      </w:rPr>
      <w:t>&gt;</w:t>
    </w:r>
    <w:r w:rsidRPr="00E04633">
      <w:t>778.223</w:t>
    </w:r>
    <w:r w:rsidRPr="00E04633">
      <w:rPr>
        <w:rStyle w:val="HideTWBExt"/>
      </w:rPr>
      <w:t>&lt;/</w:t>
    </w:r>
    <w:proofErr w:type="spellStart"/>
    <w:r w:rsidRPr="00E04633">
      <w:rPr>
        <w:rStyle w:val="HideTWBExt"/>
      </w:rPr>
      <w:t>NoPE</w:t>
    </w:r>
    <w:proofErr w:type="spellEnd"/>
    <w:r w:rsidRPr="00E04633">
      <w:rPr>
        <w:rStyle w:val="HideTWBExt"/>
      </w:rPr>
      <w:t>&gt;&lt;Version&gt;</w:t>
    </w:r>
    <w:r w:rsidRPr="00E04633">
      <w:t>v02-00</w:t>
    </w:r>
    <w:r w:rsidRPr="00E04633">
      <w:rPr>
        <w:rStyle w:val="HideTWBExt"/>
      </w:rPr>
      <w:t>&lt;/Version&gt;</w:t>
    </w:r>
    <w:r w:rsidRPr="00E04633">
      <w:tab/>
    </w:r>
    <w:r w:rsidRPr="00E04633">
      <w:fldChar w:fldCharType="begin"/>
    </w:r>
    <w:r w:rsidRPr="00E04633">
      <w:instrText xml:space="preserve"> PAGE  \* MERGEFORMAT </w:instrText>
    </w:r>
    <w:r w:rsidRPr="00E04633">
      <w:fldChar w:fldCharType="separate"/>
    </w:r>
    <w:r w:rsidRPr="00E04633">
      <w:rPr>
        <w:noProof/>
      </w:rPr>
      <w:t>8</w:t>
    </w:r>
    <w:r w:rsidRPr="00E04633">
      <w:fldChar w:fldCharType="end"/>
    </w:r>
    <w:r w:rsidRPr="00E04633">
      <w:t>/</w:t>
    </w:r>
    <w:r w:rsidR="003F7A22">
      <w:fldChar w:fldCharType="begin"/>
    </w:r>
    <w:r w:rsidR="003F7A22">
      <w:instrText xml:space="preserve"> NUMPAGES  \* MERGEFORMAT </w:instrText>
    </w:r>
    <w:r w:rsidR="003F7A22">
      <w:fldChar w:fldCharType="separate"/>
    </w:r>
    <w:r w:rsidRPr="00E04633">
      <w:rPr>
        <w:noProof/>
      </w:rPr>
      <w:t>15</w:t>
    </w:r>
    <w:r w:rsidR="003F7A22">
      <w:rPr>
        <w:noProof/>
      </w:rPr>
      <w:fldChar w:fldCharType="end"/>
    </w:r>
    <w:r w:rsidRPr="00E04633">
      <w:tab/>
    </w:r>
    <w:r w:rsidRPr="00E04633">
      <w:rPr>
        <w:rStyle w:val="HideTWBExt"/>
      </w:rPr>
      <w:t>&lt;PathFdR&gt;</w:t>
    </w:r>
    <w:r w:rsidRPr="00E04633">
      <w:t>RR\1331466HU.docx</w:t>
    </w:r>
    <w:r w:rsidRPr="00E04633">
      <w:rPr>
        <w:rStyle w:val="HideTWBExt"/>
      </w:rPr>
      <w:t>&lt;/</w:t>
    </w:r>
    <w:proofErr w:type="spellStart"/>
    <w:r w:rsidRPr="00E04633">
      <w:rPr>
        <w:rStyle w:val="HideTWBExt"/>
      </w:rPr>
      <w:t>PathFdR</w:t>
    </w:r>
    <w:proofErr w:type="spellEnd"/>
    <w:r w:rsidRPr="00E04633">
      <w:rPr>
        <w:rStyle w:val="HideTWBExt"/>
      </w:rPr>
      <w:t>&gt;</w:t>
    </w:r>
  </w:p>
  <w:p w14:paraId="14D525DA" w14:textId="77777777" w:rsidR="00D400E7" w:rsidRPr="00E04633" w:rsidRDefault="00D400E7" w:rsidP="003F277F">
    <w:pPr>
      <w:pStyle w:val="EPFooter2"/>
    </w:pPr>
    <w:r w:rsidRPr="00E0463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A8360" w14:textId="77777777" w:rsidR="00D400E7" w:rsidRPr="00E04633" w:rsidRDefault="00D400E7" w:rsidP="003F277F">
    <w:pPr>
      <w:pStyle w:val="EPFooter"/>
    </w:pPr>
    <w:r w:rsidRPr="00E04633">
      <w:rPr>
        <w:rStyle w:val="HideTWBExt"/>
      </w:rPr>
      <w:t>&lt;PathFdR&gt;</w:t>
    </w:r>
    <w:r w:rsidRPr="00E04633">
      <w:t>RR\1331466HU.docx</w:t>
    </w:r>
    <w:r w:rsidRPr="00E04633">
      <w:rPr>
        <w:rStyle w:val="HideTWBExt"/>
      </w:rPr>
      <w:t>&lt;/</w:t>
    </w:r>
    <w:proofErr w:type="spellStart"/>
    <w:r w:rsidRPr="00E04633">
      <w:rPr>
        <w:rStyle w:val="HideTWBExt"/>
      </w:rPr>
      <w:t>PathFdR</w:t>
    </w:r>
    <w:proofErr w:type="spellEnd"/>
    <w:r w:rsidRPr="00E04633">
      <w:rPr>
        <w:rStyle w:val="HideTWBExt"/>
      </w:rPr>
      <w:t>&gt;</w:t>
    </w:r>
    <w:r w:rsidRPr="00E04633">
      <w:tab/>
    </w:r>
    <w:r w:rsidRPr="00E04633">
      <w:tab/>
      <w:t>PE</w:t>
    </w:r>
    <w:r w:rsidRPr="00E04633">
      <w:rPr>
        <w:rStyle w:val="HideTWBExt"/>
      </w:rPr>
      <w:t>&lt;</w:t>
    </w:r>
    <w:proofErr w:type="spellStart"/>
    <w:r w:rsidRPr="00E04633">
      <w:rPr>
        <w:rStyle w:val="HideTWBExt"/>
      </w:rPr>
      <w:t>NoPE</w:t>
    </w:r>
    <w:proofErr w:type="spellEnd"/>
    <w:r w:rsidRPr="00E04633">
      <w:rPr>
        <w:rStyle w:val="HideTWBExt"/>
      </w:rPr>
      <w:t>&gt;</w:t>
    </w:r>
    <w:r w:rsidRPr="00E04633">
      <w:t>778.223</w:t>
    </w:r>
    <w:r w:rsidRPr="00E04633">
      <w:rPr>
        <w:rStyle w:val="HideTWBExt"/>
      </w:rPr>
      <w:t>&lt;/</w:t>
    </w:r>
    <w:proofErr w:type="spellStart"/>
    <w:r w:rsidRPr="00E04633">
      <w:rPr>
        <w:rStyle w:val="HideTWBExt"/>
      </w:rPr>
      <w:t>NoPE</w:t>
    </w:r>
    <w:proofErr w:type="spellEnd"/>
    <w:r w:rsidRPr="00E04633">
      <w:rPr>
        <w:rStyle w:val="HideTWBExt"/>
      </w:rPr>
      <w:t>&gt;&lt;Version&gt;</w:t>
    </w:r>
    <w:r w:rsidRPr="00E04633">
      <w:t>v02-00</w:t>
    </w:r>
    <w:r w:rsidRPr="00E04633">
      <w:rPr>
        <w:rStyle w:val="HideTWBExt"/>
      </w:rPr>
      <w:t>&lt;/Version&gt;</w:t>
    </w:r>
  </w:p>
  <w:p w14:paraId="3A1EE6D2" w14:textId="77777777" w:rsidR="00D400E7" w:rsidRPr="00E04633" w:rsidRDefault="00D400E7" w:rsidP="003F277F">
    <w:pPr>
      <w:pStyle w:val="EPFooter2"/>
    </w:pPr>
    <w:r w:rsidRPr="00E04633">
      <w:t>HU</w:t>
    </w:r>
    <w:r w:rsidRPr="00E04633">
      <w:tab/>
    </w:r>
    <w:r w:rsidRPr="00E04633">
      <w:rPr>
        <w:b w:val="0"/>
        <w:i/>
        <w:color w:val="C0C0C0"/>
        <w:sz w:val="22"/>
      </w:rPr>
      <w:t>Egyesülve a sokféleségben</w:t>
    </w:r>
    <w:r w:rsidRPr="00E0463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C296" w14:textId="77777777" w:rsidR="00064002" w:rsidRPr="00E0463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7D272" w14:textId="77777777" w:rsidR="00064002" w:rsidRPr="00E0463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9D02" w14:textId="77777777" w:rsidR="00064002" w:rsidRPr="00E046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C0EAB" w14:textId="77777777" w:rsidR="002F666C" w:rsidRPr="00E04633" w:rsidRDefault="002F666C">
      <w:r w:rsidRPr="00E04633">
        <w:separator/>
      </w:r>
    </w:p>
  </w:footnote>
  <w:footnote w:type="continuationSeparator" w:id="0">
    <w:p w14:paraId="00FD6F1F" w14:textId="77777777" w:rsidR="002F666C" w:rsidRPr="00E04633" w:rsidRDefault="002F666C">
      <w:r w:rsidRPr="00E04633">
        <w:continuationSeparator/>
      </w:r>
    </w:p>
  </w:footnote>
  <w:footnote w:id="1">
    <w:p w14:paraId="05EB52AD" w14:textId="45FC4D32"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311., 2002.11.14., 3. o., ELI: </w:t>
      </w:r>
      <w:hyperlink r:id="rId1" w:history="1">
        <w:r w:rsidRPr="00E04633">
          <w:rPr>
            <w:rStyle w:val="Hyperlink"/>
            <w:sz w:val="24"/>
            <w:lang w:val="hu-HU"/>
          </w:rPr>
          <w:t>http://data.europa.eu/eli/reg/2002/2012/oj</w:t>
        </w:r>
      </w:hyperlink>
      <w:r w:rsidRPr="00E04633">
        <w:rPr>
          <w:sz w:val="24"/>
          <w:lang w:val="hu-HU"/>
        </w:rPr>
        <w:t>.</w:t>
      </w:r>
    </w:p>
  </w:footnote>
  <w:footnote w:id="2">
    <w:p w14:paraId="2FCF5AF7" w14:textId="2097EEDE"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433. I, 2020.12.22., 11. o., ELI: </w:t>
      </w:r>
      <w:hyperlink r:id="rId2" w:history="1">
        <w:r w:rsidRPr="00E04633">
          <w:rPr>
            <w:rStyle w:val="Hyperlink"/>
            <w:sz w:val="24"/>
            <w:lang w:val="hu-HU"/>
          </w:rPr>
          <w:t>http://data.europa.eu/eli/reg/2020/2093/oj</w:t>
        </w:r>
      </w:hyperlink>
      <w:r w:rsidRPr="00E04633">
        <w:rPr>
          <w:sz w:val="24"/>
          <w:lang w:val="hu-HU"/>
        </w:rPr>
        <w:t>.</w:t>
      </w:r>
    </w:p>
  </w:footnote>
  <w:footnote w:id="3">
    <w:p w14:paraId="40E17E56" w14:textId="227A88F4"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433. I, 2020.12.22., 28. o., ELI: </w:t>
      </w:r>
      <w:hyperlink r:id="rId3" w:history="1">
        <w:r w:rsidRPr="00E04633">
          <w:rPr>
            <w:rStyle w:val="Hyperlink"/>
            <w:sz w:val="24"/>
            <w:lang w:val="hu-HU"/>
          </w:rPr>
          <w:t>http://data.europa.eu/eli/agree_interinstit/2020/1222/oj</w:t>
        </w:r>
      </w:hyperlink>
      <w:r w:rsidRPr="00E04633">
        <w:rPr>
          <w:sz w:val="24"/>
          <w:lang w:val="hu-HU"/>
        </w:rPr>
        <w:t>.</w:t>
      </w:r>
    </w:p>
  </w:footnote>
  <w:footnote w:id="4">
    <w:p w14:paraId="25B88375" w14:textId="4EF63230"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231., 2021.6.30., 60. o., ELI: </w:t>
      </w:r>
      <w:hyperlink r:id="rId4" w:history="1">
        <w:r w:rsidRPr="00E04633">
          <w:rPr>
            <w:rStyle w:val="Hyperlink"/>
            <w:sz w:val="24"/>
            <w:lang w:val="hu-HU"/>
          </w:rPr>
          <w:t>http://data.europa.eu/eli/reg/2021/1058/oj</w:t>
        </w:r>
      </w:hyperlink>
      <w:r w:rsidRPr="00E04633">
        <w:rPr>
          <w:sz w:val="24"/>
          <w:lang w:val="hu-HU"/>
        </w:rPr>
        <w:t>.</w:t>
      </w:r>
    </w:p>
  </w:footnote>
  <w:footnote w:id="5">
    <w:p w14:paraId="3297EDA8" w14:textId="7BA5F18C"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231., 2021.6.30., 21. o., ELI: </w:t>
      </w:r>
      <w:hyperlink r:id="rId5" w:history="1">
        <w:r w:rsidRPr="00E04633">
          <w:rPr>
            <w:rStyle w:val="Hyperlink"/>
            <w:sz w:val="24"/>
            <w:lang w:val="hu-HU"/>
          </w:rPr>
          <w:t>http://data.europa.eu/eli/reg/2021/1057/oj</w:t>
        </w:r>
      </w:hyperlink>
      <w:r w:rsidRPr="00E04633">
        <w:rPr>
          <w:sz w:val="24"/>
          <w:lang w:val="hu-HU"/>
        </w:rPr>
        <w:t>.</w:t>
      </w:r>
    </w:p>
  </w:footnote>
  <w:footnote w:id="6">
    <w:p w14:paraId="09850AD2" w14:textId="35964CF6"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435., 2021.12.6., 1. o., ELI: </w:t>
      </w:r>
      <w:hyperlink r:id="rId6" w:history="1">
        <w:r w:rsidRPr="00E04633">
          <w:rPr>
            <w:rStyle w:val="Hyperlink"/>
            <w:sz w:val="24"/>
            <w:lang w:val="hu-HU"/>
          </w:rPr>
          <w:t>http://data.europa.eu/eli/reg/2021/2115/oj</w:t>
        </w:r>
      </w:hyperlink>
      <w:r w:rsidR="009E341C">
        <w:rPr>
          <w:sz w:val="24"/>
          <w:lang w:val="hu-HU"/>
        </w:rPr>
        <w:t>.</w:t>
      </w:r>
    </w:p>
  </w:footnote>
  <w:footnote w:id="7">
    <w:p w14:paraId="53B80710" w14:textId="77777777" w:rsidR="009E341C" w:rsidRPr="00E04633" w:rsidRDefault="009E341C" w:rsidP="009E341C">
      <w:pPr>
        <w:pStyle w:val="FootnoteText"/>
        <w:ind w:left="567" w:hanging="567"/>
        <w:rPr>
          <w:sz w:val="24"/>
          <w:lang w:val="hu-HU"/>
        </w:rPr>
      </w:pPr>
      <w:r w:rsidRPr="00E04633">
        <w:rPr>
          <w:rStyle w:val="FootnoteReference"/>
          <w:sz w:val="24"/>
          <w:lang w:val="hu-HU"/>
        </w:rPr>
        <w:footnoteRef/>
      </w:r>
      <w:r w:rsidRPr="00E04633">
        <w:rPr>
          <w:sz w:val="24"/>
          <w:lang w:val="hu-HU"/>
        </w:rPr>
        <w:t xml:space="preserve"> </w:t>
      </w:r>
      <w:r w:rsidRPr="00E04633">
        <w:rPr>
          <w:sz w:val="24"/>
          <w:lang w:val="hu-HU"/>
        </w:rPr>
        <w:tab/>
        <w:t>Elfogadott szövegek, P10_</w:t>
      </w:r>
      <w:proofErr w:type="gramStart"/>
      <w:r w:rsidRPr="00E04633">
        <w:rPr>
          <w:sz w:val="24"/>
          <w:lang w:val="hu-HU"/>
        </w:rPr>
        <w:t>TA(</w:t>
      </w:r>
      <w:proofErr w:type="gramEnd"/>
      <w:r w:rsidRPr="00E04633">
        <w:rPr>
          <w:sz w:val="24"/>
          <w:lang w:val="hu-HU"/>
        </w:rPr>
        <w:t>2024)0059.</w:t>
      </w:r>
    </w:p>
  </w:footnote>
  <w:footnote w:id="8">
    <w:p w14:paraId="2EF8FAB0" w14:textId="3489F7AE"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Elfogadott szövegek, P10_</w:t>
      </w:r>
      <w:proofErr w:type="gramStart"/>
      <w:r w:rsidRPr="00E04633">
        <w:rPr>
          <w:sz w:val="24"/>
          <w:lang w:val="hu-HU"/>
        </w:rPr>
        <w:t>TA(</w:t>
      </w:r>
      <w:proofErr w:type="gramEnd"/>
      <w:r w:rsidRPr="00E04633">
        <w:rPr>
          <w:sz w:val="24"/>
          <w:lang w:val="hu-HU"/>
        </w:rPr>
        <w:t>2025)0090.</w:t>
      </w:r>
    </w:p>
  </w:footnote>
  <w:footnote w:id="9">
    <w:p w14:paraId="20B609FB" w14:textId="7EFECE15"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hyperlink r:id="rId7" w:history="1">
        <w:r w:rsidRPr="00E04633">
          <w:rPr>
            <w:rStyle w:val="Hyperlink"/>
            <w:sz w:val="24"/>
            <w:lang w:val="hu-HU"/>
          </w:rPr>
          <w:t>https://www.eea.europa.eu/publications/european-climate-risk-assessment</w:t>
        </w:r>
      </w:hyperlink>
      <w:r w:rsidR="009E341C">
        <w:rPr>
          <w:sz w:val="24"/>
          <w:lang w:val="hu-HU"/>
        </w:rPr>
        <w:t>.</w:t>
      </w:r>
    </w:p>
  </w:footnote>
  <w:footnote w:id="10">
    <w:p w14:paraId="02A9A613" w14:textId="7270D377"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Az Európai Parlament és a Tanács (EU) 2021/241 rendelete (2021. február 12.) a Helyreállítási és </w:t>
      </w:r>
      <w:proofErr w:type="spellStart"/>
      <w:r w:rsidRPr="00E04633">
        <w:rPr>
          <w:sz w:val="24"/>
          <w:lang w:val="hu-HU"/>
        </w:rPr>
        <w:t>Rezilienciaépítési</w:t>
      </w:r>
      <w:proofErr w:type="spellEnd"/>
      <w:r w:rsidRPr="00E04633">
        <w:rPr>
          <w:sz w:val="24"/>
          <w:lang w:val="hu-HU"/>
        </w:rPr>
        <w:t xml:space="preserve"> Eszköz létrehozásáról (HL L 57., 2021.2.18., 17. o., </w:t>
      </w:r>
      <w:r w:rsidRPr="00E04633">
        <w:rPr>
          <w:color w:val="333333"/>
          <w:sz w:val="24"/>
          <w:shd w:val="clear" w:color="auto" w:fill="FFFFFF"/>
          <w:lang w:val="hu-HU"/>
        </w:rPr>
        <w:t>ELI: </w:t>
      </w:r>
      <w:hyperlink r:id="rId8" w:tooltip="Az ELI (európai jogszabály-azonosító) URI-hivatkozása révén biztosít hozzáférést a dokumentumhoz." w:history="1">
        <w:r w:rsidRPr="00E04633">
          <w:rPr>
            <w:rStyle w:val="Hyperlink"/>
            <w:color w:val="23527C"/>
            <w:sz w:val="24"/>
            <w:shd w:val="clear" w:color="auto" w:fill="FFFFFF"/>
            <w:lang w:val="hu-HU"/>
          </w:rPr>
          <w:t>http://data.europa.eu/eli/reg/2021/241/oj</w:t>
        </w:r>
      </w:hyperlink>
      <w:r w:rsidRPr="00E04633">
        <w:rPr>
          <w:sz w:val="24"/>
          <w:lang w:val="hu-HU"/>
        </w:rPr>
        <w:t>).</w:t>
      </w:r>
    </w:p>
  </w:footnote>
  <w:footnote w:id="11">
    <w:p w14:paraId="4154C9BF" w14:textId="18DEC798"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2024/3236, 2024.12.23., ELI: </w:t>
      </w:r>
      <w:hyperlink r:id="rId9" w:history="1">
        <w:r w:rsidRPr="00E04633">
          <w:rPr>
            <w:rStyle w:val="Hyperlink"/>
            <w:sz w:val="24"/>
            <w:shd w:val="clear" w:color="auto" w:fill="FFFFFF"/>
            <w:lang w:val="hu-HU"/>
          </w:rPr>
          <w:t>http://data.europa.eu/eli/reg/2024/3236/oj</w:t>
        </w:r>
      </w:hyperlink>
      <w:r w:rsidRPr="00E04633">
        <w:rPr>
          <w:sz w:val="24"/>
          <w:lang w:val="hu-HU"/>
        </w:rPr>
        <w:t xml:space="preserve">. </w:t>
      </w:r>
    </w:p>
  </w:footnote>
  <w:footnote w:id="12">
    <w:p w14:paraId="6CCC699F" w14:textId="34A88794"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 xml:space="preserve">HL L, 2024/3242, 2024.12.23., ELI: </w:t>
      </w:r>
      <w:hyperlink r:id="rId10" w:history="1">
        <w:r w:rsidRPr="00E04633">
          <w:rPr>
            <w:rStyle w:val="Hyperlink"/>
            <w:sz w:val="24"/>
            <w:shd w:val="clear" w:color="auto" w:fill="FFFFFF"/>
            <w:lang w:val="hu-HU"/>
          </w:rPr>
          <w:t>http://data.europa.eu/eli/reg/2024/3242/oj</w:t>
        </w:r>
      </w:hyperlink>
      <w:r w:rsidRPr="00E04633">
        <w:rPr>
          <w:sz w:val="24"/>
          <w:lang w:val="hu-HU"/>
        </w:rPr>
        <w:t xml:space="preserve">. </w:t>
      </w:r>
    </w:p>
  </w:footnote>
  <w:footnote w:id="13">
    <w:p w14:paraId="78FCE34E" w14:textId="1C5865D5" w:rsidR="00D400E7" w:rsidRPr="00E04633" w:rsidRDefault="00D400E7" w:rsidP="00E04633">
      <w:pPr>
        <w:pStyle w:val="FootnoteText"/>
        <w:ind w:left="567" w:hanging="567"/>
        <w:rPr>
          <w:sz w:val="24"/>
          <w:lang w:val="hu-HU"/>
        </w:rPr>
      </w:pPr>
      <w:r w:rsidRPr="00E04633">
        <w:rPr>
          <w:rStyle w:val="FootnoteReference"/>
          <w:sz w:val="24"/>
          <w:lang w:val="hu-HU"/>
        </w:rPr>
        <w:footnoteRef/>
      </w:r>
      <w:r w:rsidR="00E04633" w:rsidRPr="00E04633">
        <w:rPr>
          <w:sz w:val="24"/>
          <w:lang w:val="hu-HU"/>
        </w:rPr>
        <w:t xml:space="preserve"> </w:t>
      </w:r>
      <w:r w:rsidR="00E04633" w:rsidRPr="00E04633">
        <w:rPr>
          <w:sz w:val="24"/>
          <w:lang w:val="hu-HU"/>
        </w:rPr>
        <w:tab/>
      </w:r>
      <w:r w:rsidRPr="00E04633">
        <w:rPr>
          <w:sz w:val="24"/>
          <w:lang w:val="hu-HU"/>
        </w:rPr>
        <w:t>Elfogadott szövegek, P10_</w:t>
      </w:r>
      <w:proofErr w:type="gramStart"/>
      <w:r w:rsidRPr="00E04633">
        <w:rPr>
          <w:sz w:val="24"/>
          <w:lang w:val="hu-HU"/>
        </w:rPr>
        <w:t>TA(</w:t>
      </w:r>
      <w:proofErr w:type="gramEnd"/>
      <w:r w:rsidRPr="00E04633">
        <w:rPr>
          <w:sz w:val="24"/>
          <w:lang w:val="hu-HU"/>
        </w:rPr>
        <w:t>2025)0090</w:t>
      </w:r>
      <w:r w:rsidR="009E341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9C7C" w14:textId="77777777" w:rsidR="00064002" w:rsidRPr="00E046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2E45" w14:textId="77777777" w:rsidR="00064002" w:rsidRPr="00E046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4763" w14:textId="77777777" w:rsidR="00064002" w:rsidRPr="00E046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7357481">
    <w:abstractNumId w:val="9"/>
  </w:num>
  <w:num w:numId="2" w16cid:durableId="1038506170">
    <w:abstractNumId w:val="9"/>
  </w:num>
  <w:num w:numId="3" w16cid:durableId="1459646622">
    <w:abstractNumId w:val="7"/>
  </w:num>
  <w:num w:numId="4" w16cid:durableId="880481044">
    <w:abstractNumId w:val="7"/>
  </w:num>
  <w:num w:numId="5" w16cid:durableId="389234462">
    <w:abstractNumId w:val="6"/>
  </w:num>
  <w:num w:numId="6" w16cid:durableId="1568683418">
    <w:abstractNumId w:val="6"/>
  </w:num>
  <w:num w:numId="7" w16cid:durableId="654140629">
    <w:abstractNumId w:val="5"/>
  </w:num>
  <w:num w:numId="8" w16cid:durableId="316305162">
    <w:abstractNumId w:val="5"/>
  </w:num>
  <w:num w:numId="9" w16cid:durableId="74284409">
    <w:abstractNumId w:val="4"/>
  </w:num>
  <w:num w:numId="10" w16cid:durableId="373038707">
    <w:abstractNumId w:val="4"/>
  </w:num>
  <w:num w:numId="11" w16cid:durableId="1363048175">
    <w:abstractNumId w:val="8"/>
  </w:num>
  <w:num w:numId="12" w16cid:durableId="980185831">
    <w:abstractNumId w:val="8"/>
  </w:num>
  <w:num w:numId="13" w16cid:durableId="969626385">
    <w:abstractNumId w:val="3"/>
  </w:num>
  <w:num w:numId="14" w16cid:durableId="1766654421">
    <w:abstractNumId w:val="3"/>
  </w:num>
  <w:num w:numId="15" w16cid:durableId="1849324647">
    <w:abstractNumId w:val="2"/>
  </w:num>
  <w:num w:numId="16" w16cid:durableId="1380007111">
    <w:abstractNumId w:val="2"/>
  </w:num>
  <w:num w:numId="17" w16cid:durableId="949313280">
    <w:abstractNumId w:val="1"/>
  </w:num>
  <w:num w:numId="18" w16cid:durableId="959726412">
    <w:abstractNumId w:val="1"/>
  </w:num>
  <w:num w:numId="19" w16cid:durableId="1169324084">
    <w:abstractNumId w:val="0"/>
  </w:num>
  <w:num w:numId="20" w16cid:durableId="419110046">
    <w:abstractNumId w:val="0"/>
  </w:num>
  <w:num w:numId="21" w16cid:durableId="1263680947">
    <w:abstractNumId w:val="9"/>
  </w:num>
  <w:num w:numId="22" w16cid:durableId="502739868">
    <w:abstractNumId w:val="7"/>
  </w:num>
  <w:num w:numId="23" w16cid:durableId="1821841807">
    <w:abstractNumId w:val="6"/>
  </w:num>
  <w:num w:numId="24" w16cid:durableId="1725134154">
    <w:abstractNumId w:val="5"/>
  </w:num>
  <w:num w:numId="25" w16cid:durableId="1271009205">
    <w:abstractNumId w:val="4"/>
  </w:num>
  <w:num w:numId="26" w16cid:durableId="1534225509">
    <w:abstractNumId w:val="8"/>
  </w:num>
  <w:num w:numId="27" w16cid:durableId="2096899495">
    <w:abstractNumId w:val="3"/>
  </w:num>
  <w:num w:numId="28" w16cid:durableId="283384894">
    <w:abstractNumId w:val="2"/>
  </w:num>
  <w:num w:numId="29" w16cid:durableId="402143858">
    <w:abstractNumId w:val="1"/>
  </w:num>
  <w:num w:numId="30" w16cid:durableId="675839251">
    <w:abstractNumId w:val="0"/>
  </w:num>
  <w:num w:numId="31" w16cid:durableId="1295676321">
    <w:abstractNumId w:val="9"/>
  </w:num>
  <w:num w:numId="32" w16cid:durableId="1802187762">
    <w:abstractNumId w:val="7"/>
  </w:num>
  <w:num w:numId="33" w16cid:durableId="446313336">
    <w:abstractNumId w:val="6"/>
  </w:num>
  <w:num w:numId="34" w16cid:durableId="1365323627">
    <w:abstractNumId w:val="5"/>
  </w:num>
  <w:num w:numId="35" w16cid:durableId="400374183">
    <w:abstractNumId w:val="4"/>
  </w:num>
  <w:num w:numId="36" w16cid:durableId="1321496776">
    <w:abstractNumId w:val="8"/>
  </w:num>
  <w:num w:numId="37" w16cid:durableId="1825773167">
    <w:abstractNumId w:val="3"/>
  </w:num>
  <w:num w:numId="38" w16cid:durableId="790437452">
    <w:abstractNumId w:val="2"/>
  </w:num>
  <w:num w:numId="39" w16cid:durableId="684401531">
    <w:abstractNumId w:val="1"/>
  </w:num>
  <w:num w:numId="40" w16cid:durableId="1518428398">
    <w:abstractNumId w:val="0"/>
  </w:num>
  <w:num w:numId="41" w16cid:durableId="2123649281">
    <w:abstractNumId w:val="10"/>
  </w:num>
  <w:num w:numId="42" w16cid:durableId="1861115409">
    <w:abstractNumId w:val="10"/>
  </w:num>
  <w:num w:numId="43" w16cid:durableId="1705252077">
    <w:abstractNumId w:val="10"/>
  </w:num>
  <w:num w:numId="44" w16cid:durableId="1221479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HU"/>
    <w:docVar w:name="dvnumam" w:val="0"/>
    <w:docVar w:name="dvpe" w:val="778.223"/>
    <w:docVar w:name="dvrapporteur" w:val="Előadó: "/>
    <w:docVar w:name="dvtitre" w:val="Az Európai Parlament 2025. november 13-i állásfoglalása a Spanyolországnak a 2024 októberében Valencia autonóm közösségben történt áradásokkal, továbbá a Franciaországnak a 2024 decemberében Mayotte tengerentúli megyében és régióban a Chido ciklon és 2025 februárjában Réunion tengerentúli megyében és régióban a Garance ciklon által okozott károk következtében nyújtandó segítség céljából az Európai Unió Szolidaritási Alapjának igénybevételéről szóló európai parlamenti és tanácsi határozatra irányuló javaslatról(COM(2025)0855 – C10-0239/2025 – 2025/0318(BUD))"/>
  </w:docVars>
  <w:rsids>
    <w:rsidRoot w:val="002F666C"/>
    <w:rsid w:val="00002272"/>
    <w:rsid w:val="00045566"/>
    <w:rsid w:val="00064002"/>
    <w:rsid w:val="000677B9"/>
    <w:rsid w:val="000831BA"/>
    <w:rsid w:val="000A42CC"/>
    <w:rsid w:val="000E7DD9"/>
    <w:rsid w:val="0010095E"/>
    <w:rsid w:val="00125B37"/>
    <w:rsid w:val="001848C3"/>
    <w:rsid w:val="00187494"/>
    <w:rsid w:val="001F32AE"/>
    <w:rsid w:val="002767FF"/>
    <w:rsid w:val="002B18FE"/>
    <w:rsid w:val="002B5493"/>
    <w:rsid w:val="002C6F69"/>
    <w:rsid w:val="002F666C"/>
    <w:rsid w:val="00343214"/>
    <w:rsid w:val="00361C00"/>
    <w:rsid w:val="00395FA1"/>
    <w:rsid w:val="003E15D4"/>
    <w:rsid w:val="003F7A22"/>
    <w:rsid w:val="00411CCE"/>
    <w:rsid w:val="0041666E"/>
    <w:rsid w:val="00421060"/>
    <w:rsid w:val="00471C19"/>
    <w:rsid w:val="004867E3"/>
    <w:rsid w:val="00494A28"/>
    <w:rsid w:val="004A16CB"/>
    <w:rsid w:val="004C0004"/>
    <w:rsid w:val="004C5D52"/>
    <w:rsid w:val="0050519A"/>
    <w:rsid w:val="005072A1"/>
    <w:rsid w:val="00514517"/>
    <w:rsid w:val="00545827"/>
    <w:rsid w:val="00560270"/>
    <w:rsid w:val="00584D19"/>
    <w:rsid w:val="005C2568"/>
    <w:rsid w:val="005F1B17"/>
    <w:rsid w:val="006037C0"/>
    <w:rsid w:val="0063263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41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0E7"/>
    <w:rsid w:val="00D56C11"/>
    <w:rsid w:val="00D834A0"/>
    <w:rsid w:val="00D872DF"/>
    <w:rsid w:val="00D91E21"/>
    <w:rsid w:val="00DA7FCD"/>
    <w:rsid w:val="00E04633"/>
    <w:rsid w:val="00E32C0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1C6CF"/>
  <w15:chartTrackingRefBased/>
  <w15:docId w15:val="{A4B0B33C-2279-4FCC-8454-C1D7781B7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00E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400E7"/>
    <w:pPr>
      <w:keepNext/>
      <w:spacing w:after="480"/>
      <w:jc w:val="center"/>
    </w:pPr>
    <w:rPr>
      <w:rFonts w:ascii="Arial" w:hAnsi="Arial" w:cs="Arial"/>
      <w:b/>
    </w:rPr>
  </w:style>
  <w:style w:type="paragraph" w:customStyle="1" w:styleId="NormalHanging12a">
    <w:name w:val="NormalHanging12a"/>
    <w:basedOn w:val="Normal"/>
    <w:rsid w:val="00D400E7"/>
    <w:pPr>
      <w:spacing w:after="240"/>
      <w:ind w:left="567" w:hanging="567"/>
    </w:pPr>
  </w:style>
  <w:style w:type="paragraph" w:styleId="Header">
    <w:name w:val="header"/>
    <w:basedOn w:val="Normal"/>
    <w:link w:val="HeaderChar"/>
    <w:rsid w:val="00D400E7"/>
    <w:pPr>
      <w:tabs>
        <w:tab w:val="center" w:pos="4513"/>
        <w:tab w:val="right" w:pos="9026"/>
      </w:tabs>
    </w:pPr>
  </w:style>
  <w:style w:type="character" w:customStyle="1" w:styleId="HeaderChar">
    <w:name w:val="Header Char"/>
    <w:basedOn w:val="DefaultParagraphFont"/>
    <w:link w:val="Header"/>
    <w:rsid w:val="00D400E7"/>
    <w:rPr>
      <w:sz w:val="24"/>
      <w:lang w:val="hu-HU"/>
    </w:rPr>
  </w:style>
  <w:style w:type="paragraph" w:customStyle="1" w:styleId="NormalBold24a">
    <w:name w:val="NormalBold24a"/>
    <w:basedOn w:val="Normal"/>
    <w:rsid w:val="00D400E7"/>
    <w:pPr>
      <w:spacing w:after="480"/>
    </w:pPr>
    <w:rPr>
      <w:b/>
      <w:bCs/>
    </w:rPr>
  </w:style>
  <w:style w:type="paragraph" w:customStyle="1" w:styleId="EPFooter">
    <w:name w:val="EPFooter"/>
    <w:basedOn w:val="Normal"/>
    <w:rsid w:val="00D400E7"/>
    <w:pPr>
      <w:tabs>
        <w:tab w:val="center" w:pos="4535"/>
        <w:tab w:val="right" w:pos="9071"/>
      </w:tabs>
      <w:spacing w:before="240" w:after="240"/>
    </w:pPr>
    <w:rPr>
      <w:color w:val="010000"/>
      <w:sz w:val="22"/>
    </w:rPr>
  </w:style>
  <w:style w:type="paragraph" w:customStyle="1" w:styleId="EPComma">
    <w:name w:val="EPComma"/>
    <w:basedOn w:val="Normal"/>
    <w:rsid w:val="00D400E7"/>
    <w:pPr>
      <w:spacing w:before="480" w:after="240"/>
    </w:pPr>
  </w:style>
  <w:style w:type="character" w:styleId="Hyperlink">
    <w:name w:val="Hyperlink"/>
    <w:basedOn w:val="DefaultParagraphFont"/>
    <w:uiPriority w:val="99"/>
    <w:rsid w:val="00D400E7"/>
    <w:rPr>
      <w:color w:val="0563C1" w:themeColor="hyperlink"/>
      <w:u w:val="single"/>
    </w:rPr>
  </w:style>
  <w:style w:type="paragraph" w:customStyle="1" w:styleId="Titrearticle">
    <w:name w:val="Titre article"/>
    <w:basedOn w:val="Normal"/>
    <w:next w:val="Normal"/>
    <w:rsid w:val="00D400E7"/>
    <w:pPr>
      <w:keepNext/>
      <w:widowControl/>
      <w:spacing w:before="360" w:after="120" w:line="360" w:lineRule="auto"/>
      <w:jc w:val="center"/>
    </w:pPr>
    <w:rPr>
      <w:rFonts w:eastAsiaTheme="minorHAnsi"/>
      <w:i/>
      <w:szCs w:val="22"/>
      <w:lang w:eastAsia="hu-HU" w:bidi="hu-HU"/>
    </w:rPr>
  </w:style>
  <w:style w:type="paragraph" w:styleId="Footer">
    <w:name w:val="footer"/>
    <w:basedOn w:val="Normal"/>
    <w:link w:val="FooterChar"/>
    <w:rsid w:val="009E341C"/>
    <w:pPr>
      <w:tabs>
        <w:tab w:val="center" w:pos="4513"/>
        <w:tab w:val="right" w:pos="9026"/>
      </w:tabs>
    </w:pPr>
  </w:style>
  <w:style w:type="character" w:customStyle="1" w:styleId="FooterChar">
    <w:name w:val="Footer Char"/>
    <w:basedOn w:val="DefaultParagraphFont"/>
    <w:link w:val="Footer"/>
    <w:rsid w:val="009E341C"/>
    <w:rPr>
      <w:sz w:val="24"/>
      <w:lang w:val="hu-HU"/>
    </w:rPr>
  </w:style>
  <w:style w:type="paragraph" w:styleId="Revision">
    <w:name w:val="Revision"/>
    <w:hidden/>
    <w:uiPriority w:val="99"/>
    <w:semiHidden/>
    <w:rsid w:val="009E341C"/>
    <w:rPr>
      <w:sz w:val="24"/>
      <w:lang w:val="hu-HU"/>
    </w:rPr>
  </w:style>
  <w:style w:type="character" w:styleId="CommentReference">
    <w:name w:val="annotation reference"/>
    <w:basedOn w:val="DefaultParagraphFont"/>
    <w:rsid w:val="003F7A22"/>
    <w:rPr>
      <w:sz w:val="16"/>
      <w:szCs w:val="16"/>
    </w:rPr>
  </w:style>
  <w:style w:type="paragraph" w:styleId="CommentText">
    <w:name w:val="annotation text"/>
    <w:basedOn w:val="Normal"/>
    <w:link w:val="CommentTextChar"/>
    <w:rsid w:val="003F7A22"/>
    <w:rPr>
      <w:sz w:val="20"/>
      <w:lang w:val="en-GB"/>
    </w:rPr>
  </w:style>
  <w:style w:type="character" w:customStyle="1" w:styleId="CommentTextChar">
    <w:name w:val="Comment Text Char"/>
    <w:basedOn w:val="DefaultParagraphFont"/>
    <w:link w:val="CommentText"/>
    <w:rsid w:val="003F7A22"/>
  </w:style>
  <w:style w:type="character" w:styleId="Emphasis">
    <w:name w:val="Emphasis"/>
    <w:basedOn w:val="DefaultParagraphFont"/>
    <w:qFormat/>
    <w:rsid w:val="003F7A22"/>
    <w:rPr>
      <w:i/>
      <w:iCs/>
    </w:rPr>
  </w:style>
  <w:style w:type="character" w:styleId="FollowedHyperlink">
    <w:name w:val="FollowedHyperlink"/>
    <w:basedOn w:val="DefaultParagraphFont"/>
    <w:rsid w:val="003F7A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2026-01-08T15:55:00Z</dcterms:created>
  <dcterms:modified xsi:type="dcterms:W3CDTF">2026-01-08T15:55:00Z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P10_TA(2025)0274_</vt:lpwstr>
  </property>
  <property fmtid="{D5CDD505-2E9C-101B-9397-08002B2CF9AE}" pid="4" name="&lt;Type&gt;">
    <vt:lpwstr>RR</vt:lpwstr>
  </property>
</Properties>
</file>