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2C88" w14:paraId="67EF1C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D7E07F" w14:textId="77777777" w:rsidR="00751A4A" w:rsidRPr="00682C88" w:rsidRDefault="00F842F4" w:rsidP="0010095E">
            <w:pPr>
              <w:pStyle w:val="EPName"/>
            </w:pPr>
            <w:r w:rsidRPr="00682C88">
              <w:t>Parlamento europeo</w:t>
            </w:r>
          </w:p>
          <w:p w14:paraId="21CC1A57" w14:textId="77777777" w:rsidR="00751A4A" w:rsidRPr="00682C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2C88">
              <w:t>2024</w:t>
            </w:r>
            <w:r w:rsidR="00817416" w:rsidRPr="00682C88">
              <w:t>-202</w:t>
            </w:r>
            <w:r w:rsidRPr="00682C88">
              <w:t>9</w:t>
            </w:r>
          </w:p>
        </w:tc>
        <w:tc>
          <w:tcPr>
            <w:tcW w:w="2268" w:type="dxa"/>
            <w:shd w:val="clear" w:color="auto" w:fill="auto"/>
          </w:tcPr>
          <w:p w14:paraId="2E1B49E8" w14:textId="77777777" w:rsidR="00751A4A" w:rsidRPr="00682C88" w:rsidRDefault="00187494" w:rsidP="0010095E">
            <w:pPr>
              <w:pStyle w:val="EPLogo"/>
            </w:pPr>
            <w:r w:rsidRPr="00682C88">
              <w:rPr>
                <w:noProof/>
                <w:lang w:eastAsia="ja-JP"/>
              </w:rPr>
              <w:drawing>
                <wp:inline distT="0" distB="0" distL="0" distR="0" wp14:anchorId="6D62F060" wp14:editId="07AC7D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121A38" w14:textId="77777777" w:rsidR="00D058B8" w:rsidRPr="00682C88" w:rsidRDefault="00D058B8" w:rsidP="004C5D52">
      <w:pPr>
        <w:pStyle w:val="LineTop"/>
      </w:pPr>
    </w:p>
    <w:p w14:paraId="6084B799" w14:textId="77777777" w:rsidR="00680577" w:rsidRPr="00682C88" w:rsidRDefault="00F842F4" w:rsidP="00680577">
      <w:pPr>
        <w:pStyle w:val="EPBodyTA1"/>
      </w:pPr>
      <w:r w:rsidRPr="00682C88">
        <w:t>TESTI APPROVATI</w:t>
      </w:r>
    </w:p>
    <w:p w14:paraId="5E845FF1" w14:textId="77777777" w:rsidR="00D058B8" w:rsidRPr="00682C88" w:rsidRDefault="00D058B8" w:rsidP="00D058B8">
      <w:pPr>
        <w:pStyle w:val="LineBottom"/>
      </w:pPr>
    </w:p>
    <w:p w14:paraId="176187F4" w14:textId="77B4D032" w:rsidR="00F842F4" w:rsidRPr="00682C88" w:rsidRDefault="00F842F4" w:rsidP="00F842F4">
      <w:pPr>
        <w:pStyle w:val="ATHeading1"/>
      </w:pPr>
      <w:bookmarkStart w:id="0" w:name="TANumber"/>
      <w:r w:rsidRPr="00682C88">
        <w:t>P10_</w:t>
      </w:r>
      <w:proofErr w:type="gramStart"/>
      <w:r w:rsidRPr="00682C88">
        <w:t>TA(</w:t>
      </w:r>
      <w:proofErr w:type="gramEnd"/>
      <w:r w:rsidRPr="00682C88">
        <w:t>2025)0</w:t>
      </w:r>
      <w:r w:rsidR="00C861C2" w:rsidRPr="00682C88">
        <w:t>274</w:t>
      </w:r>
      <w:bookmarkEnd w:id="0"/>
    </w:p>
    <w:p w14:paraId="13A96898" w14:textId="77777777" w:rsidR="00F842F4" w:rsidRPr="00682C88" w:rsidRDefault="00F842F4" w:rsidP="00F842F4">
      <w:pPr>
        <w:pStyle w:val="ATHeading2"/>
      </w:pPr>
      <w:bookmarkStart w:id="1" w:name="title"/>
      <w:r w:rsidRPr="00682C88">
        <w:t>Mobilitazione del Fondo di solidarietà dell'Unione europea: assistenza alla Spagna e alla Francia in relazione alle calamità naturali del 2024 e 2025</w:t>
      </w:r>
      <w:bookmarkEnd w:id="1"/>
    </w:p>
    <w:p w14:paraId="651E5799" w14:textId="77777777" w:rsidR="00F842F4" w:rsidRPr="00682C88" w:rsidRDefault="00F842F4" w:rsidP="00F842F4">
      <w:pPr>
        <w:rPr>
          <w:i/>
          <w:vanish/>
        </w:rPr>
      </w:pPr>
      <w:r w:rsidRPr="00682C88">
        <w:rPr>
          <w:i/>
        </w:rPr>
        <w:fldChar w:fldCharType="begin"/>
      </w:r>
      <w:r w:rsidRPr="00682C88">
        <w:rPr>
          <w:i/>
        </w:rPr>
        <w:instrText xml:space="preserve"> TC"(</w:instrText>
      </w:r>
      <w:bookmarkStart w:id="2" w:name="DocNumber"/>
      <w:r w:rsidRPr="00682C88">
        <w:rPr>
          <w:i/>
        </w:rPr>
        <w:instrText>A10-0215/2025</w:instrText>
      </w:r>
      <w:bookmarkEnd w:id="2"/>
      <w:r w:rsidRPr="00682C88">
        <w:rPr>
          <w:i/>
        </w:rPr>
        <w:instrText xml:space="preserve"> - Relatrice: Sandra Gómez López)"\l3 \n&gt; \* MERGEFORMAT </w:instrText>
      </w:r>
      <w:r w:rsidRPr="00682C88">
        <w:rPr>
          <w:i/>
        </w:rPr>
        <w:fldChar w:fldCharType="end"/>
      </w:r>
    </w:p>
    <w:p w14:paraId="58137441" w14:textId="77777777" w:rsidR="00F842F4" w:rsidRPr="00682C88" w:rsidRDefault="00F842F4" w:rsidP="00F842F4">
      <w:pPr>
        <w:rPr>
          <w:vanish/>
        </w:rPr>
      </w:pPr>
      <w:bookmarkStart w:id="3" w:name="Commission"/>
      <w:r w:rsidRPr="00682C88">
        <w:rPr>
          <w:vanish/>
        </w:rPr>
        <w:t>Commissione per i bilanci</w:t>
      </w:r>
      <w:bookmarkEnd w:id="3"/>
    </w:p>
    <w:p w14:paraId="7D5FBC20" w14:textId="77777777" w:rsidR="00F842F4" w:rsidRPr="00682C88" w:rsidRDefault="00F842F4" w:rsidP="00F842F4">
      <w:pPr>
        <w:rPr>
          <w:vanish/>
        </w:rPr>
      </w:pPr>
      <w:bookmarkStart w:id="4" w:name="PE"/>
      <w:r w:rsidRPr="00682C88">
        <w:rPr>
          <w:vanish/>
        </w:rPr>
        <w:t>PE778.223</w:t>
      </w:r>
      <w:bookmarkEnd w:id="4"/>
    </w:p>
    <w:p w14:paraId="5CC101A6" w14:textId="577A2023" w:rsidR="00F842F4" w:rsidRPr="00682C88" w:rsidRDefault="00F842F4" w:rsidP="00F842F4">
      <w:pPr>
        <w:pStyle w:val="ATHeading3"/>
      </w:pPr>
      <w:bookmarkStart w:id="5" w:name="Sujet"/>
      <w:r w:rsidRPr="00682C88">
        <w:t xml:space="preserve">Risoluzione del Parlamento europeo del 13 novembre 2025 sulla proposta di decisione del Parlamento europeo e del Consiglio relativa alla mobilitazione del Fondo di solidarietà dell'Unione europea per fornire assistenza alla Spagna in relazione alle alluvioni verificatesi nella regione spagnola di Valencia nell'ottobre 2024 e alla Francia a seguito dei danni causati dal ciclone </w:t>
      </w:r>
      <w:proofErr w:type="spellStart"/>
      <w:r w:rsidRPr="00682C88">
        <w:t>Chido</w:t>
      </w:r>
      <w:proofErr w:type="spellEnd"/>
      <w:r w:rsidRPr="00682C88">
        <w:t xml:space="preserve"> abbattutosi a Mayotte nel dicembre 2024 e dal ciclone </w:t>
      </w:r>
      <w:proofErr w:type="spellStart"/>
      <w:r w:rsidRPr="00682C88">
        <w:t>Garance</w:t>
      </w:r>
      <w:proofErr w:type="spellEnd"/>
      <w:r w:rsidRPr="00682C88">
        <w:t xml:space="preserve"> abbattutosi nella Riunione nel febbraio 2025</w:t>
      </w:r>
      <w:bookmarkEnd w:id="5"/>
      <w:r w:rsidRPr="00682C88">
        <w:t xml:space="preserve"> </w:t>
      </w:r>
      <w:bookmarkStart w:id="6" w:name="References"/>
      <w:r w:rsidRPr="00682C88">
        <w:t>(COM(2025)0855 – C10-0239/2025 – 2025/0318(BUD))</w:t>
      </w:r>
      <w:bookmarkEnd w:id="6"/>
    </w:p>
    <w:p w14:paraId="7369180A" w14:textId="77777777" w:rsidR="00414B9D" w:rsidRPr="00682C88" w:rsidRDefault="00414B9D" w:rsidP="00414B9D">
      <w:pPr>
        <w:pStyle w:val="EPComma"/>
        <w:rPr>
          <w:noProof/>
        </w:rPr>
      </w:pPr>
      <w:r w:rsidRPr="00682C88">
        <w:rPr>
          <w:i/>
        </w:rPr>
        <w:t>Il Parlamento europeo</w:t>
      </w:r>
      <w:r w:rsidRPr="00682C88">
        <w:t>,</w:t>
      </w:r>
    </w:p>
    <w:p w14:paraId="21CC3690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–</w:t>
      </w:r>
      <w:r w:rsidRPr="00682C88">
        <w:tab/>
        <w:t>vista la proposta della Commissione al Parlamento europeo e al Consiglio (</w:t>
      </w:r>
      <w:proofErr w:type="gramStart"/>
      <w:r w:rsidRPr="00682C88">
        <w:t>COM(</w:t>
      </w:r>
      <w:proofErr w:type="gramEnd"/>
      <w:r w:rsidRPr="00682C88">
        <w:t>2025)0855 – C10</w:t>
      </w:r>
      <w:r w:rsidRPr="00682C88">
        <w:noBreakHyphen/>
        <w:t>0239/2025),</w:t>
      </w:r>
    </w:p>
    <w:p w14:paraId="325600C3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–</w:t>
      </w:r>
      <w:r w:rsidRPr="00682C88">
        <w:tab/>
        <w:t>visto il regolamento (CE) n. 2012/2002 del Consiglio, dell'11 novembre 2002, che istituisce il Fondo di solidarietà dell'Unione europea</w:t>
      </w:r>
      <w:r w:rsidRPr="00682C88">
        <w:rPr>
          <w:noProof/>
          <w:vertAlign w:val="superscript"/>
        </w:rPr>
        <w:footnoteReference w:id="1"/>
      </w:r>
      <w:r w:rsidRPr="00682C88">
        <w:t>,</w:t>
      </w:r>
    </w:p>
    <w:p w14:paraId="28681980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–</w:t>
      </w:r>
      <w:r w:rsidRPr="00682C88">
        <w:tab/>
        <w:t xml:space="preserve">visto il regolamento (UE, </w:t>
      </w:r>
      <w:proofErr w:type="spellStart"/>
      <w:r w:rsidRPr="00682C88">
        <w:t>Euratom</w:t>
      </w:r>
      <w:proofErr w:type="spellEnd"/>
      <w:r w:rsidRPr="00682C88">
        <w:t>) 2020/2093 del Consiglio, del 17 dicembre 2020, che stabilisce il quadro finanziario pluriennale per il periodo 2021-2027</w:t>
      </w:r>
      <w:r w:rsidRPr="00682C88">
        <w:rPr>
          <w:noProof/>
          <w:vertAlign w:val="superscript"/>
        </w:rPr>
        <w:footnoteReference w:id="2"/>
      </w:r>
      <w:r w:rsidRPr="00682C88">
        <w:t>, in particolare l'articolo 9,</w:t>
      </w:r>
    </w:p>
    <w:p w14:paraId="3CA7031D" w14:textId="758D09A5" w:rsidR="00414B9D" w:rsidRPr="00682C88" w:rsidRDefault="00414B9D" w:rsidP="00414B9D">
      <w:pPr>
        <w:pStyle w:val="NormalHanging12a"/>
        <w:rPr>
          <w:noProof/>
        </w:rPr>
      </w:pPr>
      <w:r w:rsidRPr="00682C88">
        <w:t>–</w:t>
      </w:r>
      <w:r w:rsidRPr="00682C88">
        <w:tab/>
        <w:t xml:space="preserve">visto l'accordo interistituzionale, del 16 dicembre 2020, tra il Parlamento europeo, il Consiglio </w:t>
      </w:r>
      <w:r w:rsidR="00B25BD0" w:rsidRPr="00682C88">
        <w:t xml:space="preserve">dell’Unione europea </w:t>
      </w:r>
      <w:r w:rsidRPr="00682C88">
        <w:t xml:space="preserve">e la Commissione </w:t>
      </w:r>
      <w:r w:rsidR="00B25BD0" w:rsidRPr="00682C88">
        <w:t xml:space="preserve">europea </w:t>
      </w:r>
      <w:r w:rsidRPr="00682C88">
        <w:t>sulla disciplina di bilancio, sulla cooperazione in materia di bilancio e sulla sana gestione finanziaria, nonché su nuove risorse proprie, compresa una tabella di marcia verso l’introduzione di nuove risorse proprie</w:t>
      </w:r>
      <w:r w:rsidRPr="00682C88">
        <w:rPr>
          <w:noProof/>
          <w:vertAlign w:val="superscript"/>
        </w:rPr>
        <w:footnoteReference w:id="3"/>
      </w:r>
      <w:r w:rsidRPr="00682C88">
        <w:t>, in particolare il punto 10,</w:t>
      </w:r>
    </w:p>
    <w:p w14:paraId="6E2F518A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–</w:t>
      </w:r>
      <w:r w:rsidRPr="00682C88">
        <w:tab/>
        <w:t xml:space="preserve">visto il regolamento (UE) 2021/1058 del Parlamento europeo e del Consiglio, del 24 </w:t>
      </w:r>
      <w:r w:rsidRPr="00682C88">
        <w:lastRenderedPageBreak/>
        <w:t>giugno 2021, relativo al Fondo europeo di sviluppo regionale e al Fondo di coesione</w:t>
      </w:r>
      <w:r w:rsidRPr="00682C88">
        <w:rPr>
          <w:noProof/>
          <w:vertAlign w:val="superscript"/>
        </w:rPr>
        <w:footnoteReference w:id="4"/>
      </w:r>
      <w:r w:rsidRPr="00682C88">
        <w:t xml:space="preserve">, </w:t>
      </w:r>
    </w:p>
    <w:p w14:paraId="28580B74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–</w:t>
      </w:r>
      <w:r w:rsidRPr="00682C88">
        <w:tab/>
        <w:t>visto il regolamento (UE) 2021/1057 del Parlamento europeo e del Consiglio, del 24 giugno 2021, che istituisce il Fondo sociale europeo Plus (FSE+)</w:t>
      </w:r>
      <w:r w:rsidRPr="00682C88">
        <w:rPr>
          <w:noProof/>
          <w:vertAlign w:val="superscript"/>
        </w:rPr>
        <w:footnoteReference w:id="5"/>
      </w:r>
      <w:r w:rsidRPr="00682C88">
        <w:t xml:space="preserve">, </w:t>
      </w:r>
    </w:p>
    <w:p w14:paraId="54BC1F68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–</w:t>
      </w:r>
      <w:r w:rsidRPr="00682C88">
        <w:tab/>
        <w:t>visto il regolamento (UE) 2021/2115 del Parlamento europeo e del Consiglio, del 2 dicembre 2021, recante norme sul sostegno ai piani strategici che gli Stati membri devono redigere nell'ambito della politica agricola comune (piani strategici della PAC) e finanziati dal Fondo europeo agricolo di garanzia (FEAGA) e dal Fondo europeo agricolo per lo sviluppo rurale (FEASR) e che abroga i regolamenti (UE) n. 1305/2013 e (UE) n. 1307/2013</w:t>
      </w:r>
      <w:r w:rsidRPr="00682C88">
        <w:rPr>
          <w:noProof/>
          <w:vertAlign w:val="superscript"/>
        </w:rPr>
        <w:footnoteReference w:id="6"/>
      </w:r>
      <w:r w:rsidRPr="00682C88">
        <w:t xml:space="preserve">, </w:t>
      </w:r>
    </w:p>
    <w:p w14:paraId="500DB072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–</w:t>
      </w:r>
      <w:r w:rsidRPr="00682C88">
        <w:tab/>
        <w:t>vista la relazione della commissione per l'occupazione e gli affari sociali e della commissione per lo sviluppo regionale (A10-0031/2024) nel quadro della procedura legislativa per l'adozione del regolamento (UE) 2024/3236 del Parlamento europeo e del Consiglio, del 19 dicembre 2024, che modifica i regolamenti (UE) 2021/1057 e (UE) 2021/1058 per quanto riguarda il sostegno regionale di emergenza per la ricostruzione (RESTORE)</w:t>
      </w:r>
      <w:r w:rsidRPr="00682C88">
        <w:rPr>
          <w:noProof/>
          <w:vertAlign w:val="superscript"/>
        </w:rPr>
        <w:footnoteReference w:id="7"/>
      </w:r>
      <w:r w:rsidRPr="00682C88">
        <w:t xml:space="preserve">, e in particolare la valutazione di bilancio della commissione per i bilanci allegata a tale relazione, </w:t>
      </w:r>
    </w:p>
    <w:p w14:paraId="3836F32F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–</w:t>
      </w:r>
      <w:r w:rsidRPr="00682C88">
        <w:tab/>
        <w:t>vista la sua risoluzione del 7 maggio 2025 su un rinnovato bilancio a lungo termine per l'Unione in un mondo che cambia</w:t>
      </w:r>
      <w:r w:rsidRPr="00682C88">
        <w:rPr>
          <w:noProof/>
          <w:vertAlign w:val="superscript"/>
        </w:rPr>
        <w:footnoteReference w:id="8"/>
      </w:r>
      <w:r w:rsidRPr="00682C88">
        <w:t xml:space="preserve">, </w:t>
      </w:r>
    </w:p>
    <w:p w14:paraId="2F1C2FE3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–</w:t>
      </w:r>
      <w:r w:rsidRPr="00682C88">
        <w:tab/>
        <w:t>vista la relazione n. 1/2024 dell'AEA sulla valutazione europea dei rischi climatici (EUCRA)</w:t>
      </w:r>
      <w:r w:rsidRPr="00682C88">
        <w:rPr>
          <w:noProof/>
          <w:vertAlign w:val="superscript"/>
        </w:rPr>
        <w:footnoteReference w:id="9"/>
      </w:r>
      <w:r w:rsidRPr="00682C88">
        <w:t>,</w:t>
      </w:r>
    </w:p>
    <w:p w14:paraId="6765DAD3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–</w:t>
      </w:r>
      <w:r w:rsidRPr="00682C88">
        <w:tab/>
        <w:t>vista la relazione della commissione per i bilanci (A10-0215/2025),</w:t>
      </w:r>
    </w:p>
    <w:p w14:paraId="4988B5CE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A.</w:t>
      </w:r>
      <w:r w:rsidRPr="00682C88">
        <w:tab/>
        <w:t>considerando che tra il 28 ottobre e il 4 novembre 2024 una tempesta accompagnata da forti piogge si è abbattuta sull'intera regione di Valencia, in Spagna, causando gravi inondazioni che hanno provocato danni diretti totali stimati dalla Commissione a 18,08 miliardi di EUR e che hanno colpito 845 000 persone in 84 comuni, 170 istituti di istruzione, oltre 50 istituti sanitari e infrastrutture pubbliche; che le alluvioni hanno causato almeno 229 decessi;</w:t>
      </w:r>
    </w:p>
    <w:p w14:paraId="1CB381EB" w14:textId="77777777" w:rsidR="00414B9D" w:rsidRPr="00682C88" w:rsidRDefault="00414B9D" w:rsidP="00414B9D">
      <w:pPr>
        <w:pStyle w:val="NormalHanging12a"/>
        <w:rPr>
          <w:bCs/>
          <w:iCs/>
          <w:noProof/>
        </w:rPr>
      </w:pPr>
      <w:r w:rsidRPr="00682C88">
        <w:t>B.</w:t>
      </w:r>
      <w:r w:rsidRPr="00682C88">
        <w:tab/>
        <w:t>considerando che gli studi presentati dal governo della regione di Valencia e dalla Confederazione delle imprese valenciane stimano l'enorme impatto delle tempeste e delle inondazioni sull'economia delle regioni a 18 miliardi di EUR, che sono interessati 63 aree industriali, 64 000 imprese (il 99,6 % delle quali sono PMI) e 250 000 lavoratori, e che sono state presentate 243 388 richieste di risarcimento;</w:t>
      </w:r>
    </w:p>
    <w:p w14:paraId="2D8BE54C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C.</w:t>
      </w:r>
      <w:r w:rsidRPr="00682C88">
        <w:tab/>
        <w:t xml:space="preserve">considerando che il 14 dicembre 2024 il ciclone </w:t>
      </w:r>
      <w:proofErr w:type="spellStart"/>
      <w:r w:rsidRPr="00682C88">
        <w:t>Chido</w:t>
      </w:r>
      <w:proofErr w:type="spellEnd"/>
      <w:r w:rsidRPr="00682C88">
        <w:t xml:space="preserve"> ha colpito l'isola di Mayotte, in Francia, con raffiche di vento superiori ai 180 chilometri orari e forti precipitazioni, cui si sono aggiunte elevate altezze d'onda, con danni diretti totali stimati dalla Commissione a 3,6 miliardi di EUR; che il ciclone ha colpito 337 000 persone causando </w:t>
      </w:r>
      <w:r w:rsidRPr="00682C88">
        <w:lastRenderedPageBreak/>
        <w:t>almeno 39 decessi; che 200 persone risultano ancora scomparse;</w:t>
      </w:r>
    </w:p>
    <w:p w14:paraId="6AE84EAD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D.</w:t>
      </w:r>
      <w:r w:rsidRPr="00682C88">
        <w:tab/>
        <w:t xml:space="preserve">considerando che il 28 febbraio 2025 il ciclone </w:t>
      </w:r>
      <w:proofErr w:type="spellStart"/>
      <w:r w:rsidRPr="00682C88">
        <w:t>Garance</w:t>
      </w:r>
      <w:proofErr w:type="spellEnd"/>
      <w:r w:rsidRPr="00682C88">
        <w:t xml:space="preserve"> ha colpito l'isola della Riunione, in Francia, con venti che hanno raggiunto una velocità di 215 chilometri orari, forti piogge e condizioni marine pericolose, e ha causato danni diretti totali stimati dalle autorità francesi a 849,45 milioni di EUR, principalmente per quanto riguarda le reti elettriche e le infrastrutture di comunicazione; che il ciclone ha colpito 160 000 persone causando almeno 4 decessi;</w:t>
      </w:r>
    </w:p>
    <w:p w14:paraId="6D1F3A48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1.</w:t>
      </w:r>
      <w:r w:rsidRPr="00682C88">
        <w:tab/>
        <w:t>esprime la sua più sentita solidarietà a tutte le vittime, alle loro famiglie e a tutte le persone colpite dalle disastrose alluvioni verificatesi nella regione di Valencia, in Spagna, e dai cicloni devastanti a Mayotte e nella Riunione, in Francia, nonché alle autorità nazionali, regionali e locali coinvolte negli sforzi di soccorso;</w:t>
      </w:r>
    </w:p>
    <w:p w14:paraId="620BCAAC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2.</w:t>
      </w:r>
      <w:r w:rsidRPr="00682C88">
        <w:tab/>
        <w:t>valuta positivamente la decisione quale forma tangibile e visibile di solidarietà dell'Unione nei confronti dei suoi cittadini e delle regioni nelle zone colpite, ma osserva che tale solidarietà non può sostituirsi alla responsabilità diretta delle autorità locali, regionali e nazionali nel prevenire e gestire le catastrofi naturali legate al clima;</w:t>
      </w:r>
    </w:p>
    <w:p w14:paraId="796B25B0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3.</w:t>
      </w:r>
      <w:r w:rsidRPr="00682C88">
        <w:tab/>
        <w:t>ribadisce l'importanza di comunicare ai cittadini i vantaggi tangibili generati dal Fondo di solidarietà dell'Unione europea (FSUE), anche al fine di accrescere ulteriormente la loro consapevolezza circa gli strumenti e i programmi dell'Unione;</w:t>
      </w:r>
    </w:p>
    <w:p w14:paraId="1E91BEC9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4.</w:t>
      </w:r>
      <w:r w:rsidRPr="00682C88">
        <w:tab/>
        <w:t xml:space="preserve">evidenzia il crescente numero di catastrofi naturali gravi, distruttive e mortali in Europa e invita gli Stati membri e la Commissione ad aumentare gli investimenti nella prevenzione, nelle infrastrutture pubbliche, nelle misure di mitigazione dei cambiamenti climatici e adattamento ad essi, nonché nelle misure di preparazione alle emergenze per evitare perdite umane ed economiche; invita gli Stati membri a tenere conto del fatto che, a causa di fattori socioeconomici e demografici, i rischi climatici e altre catastrofi naturali incidono in modo sproporzionato sulle popolazioni vulnerabili e sulle piccole e medie imprese, come anche sui territori vulnerabili come le regioni ultraperiferiche; ritiene essenziale garantire un elevato livello di controllo democratico da parte dell'autorità di bilancio del FSUE; ricorda che il FSUE dispone di un bilancio limitato e non può essere considerato l'unico strumento per far fronte alle catastrofi naturali gravi; chiede pertanto che si valutino la capacità finanziaria del bilancio dell'Unione e un eventuale aumento delle sue risorse al fine di fornire ai cittadini un'assistenza proporzionale all'entità di tali catastrofi; osserva che un aumento di questo tipo di assistenza consentirebbe agli Stati membri di rispondere in modo più efficace e rapido alle catastrofi, mentre altri strumenti il cui scopo principale non è la risposta alle catastrofi, in particolare i fondi di coesione, potrebbero essere preservati; </w:t>
      </w:r>
    </w:p>
    <w:p w14:paraId="5850E395" w14:textId="660E60D6" w:rsidR="00414B9D" w:rsidRPr="00682C88" w:rsidRDefault="00414B9D" w:rsidP="00414B9D">
      <w:pPr>
        <w:pStyle w:val="NormalHanging12a"/>
        <w:rPr>
          <w:noProof/>
        </w:rPr>
      </w:pPr>
      <w:r w:rsidRPr="00682C88">
        <w:t>5.</w:t>
      </w:r>
      <w:r w:rsidRPr="00682C88">
        <w:tab/>
        <w:t xml:space="preserve">insiste sul fatto che il FSUE è soltanto uno strumento di cura e che l'Unione dovrebbe anche continuare a occuparsi dell'adattamento ai cambiamenti climatici e della loro mitigazione, sostenendo le politiche europee e nazionali di prevenzione delle catastrofi naturali, come anche sostenendo il principio "ricostruire meglio" in tutte le sue azioni; sottolinea che la relazione n. 1/2024 dell'AEA sulla valutazione europea dei rischi climatici ammonisce che l'Unione non è preparata a far fronte agli effetti del cambiamento climatico ed evidenzia la necessità di interventi per evitare che i rischi climatici individuati raggiungano livelli critici; invita gli Stati membri e la Commissione ad adottare le misure necessarie per far sì che l'Unione tenga fede agli impegni assunti nell'ambito dell'accordo di Parigi; ricorda la necessità di sinergie </w:t>
      </w:r>
      <w:r w:rsidRPr="00682C88">
        <w:lastRenderedPageBreak/>
        <w:t>efficaci con altre politiche e programmi dell'Unione e sottolinea che gli Stati membri dovrebbero utilizzare al meglio le possibilità di finanziamento, in particolare nell'ambito del Fondo europeo di sviluppo regionale, del Fondo sociale europeo Plus e dei programmi di sviluppo rurale; invita la Commissione a valutare con la dovuta urgenza qualsiasi richiesta motivata degli Stati membri di riassegnare i fondi nell'ambito dei piani nazionali per la ripresa e la resilienza all'assistenza in caso di catastrofi naturali, conformemente alle norme stabilite nel regolamento (UE) 2021/241 del Parlamento europeo e del Consiglio</w:t>
      </w:r>
      <w:r w:rsidRPr="00682C88">
        <w:rPr>
          <w:noProof/>
          <w:vertAlign w:val="superscript"/>
        </w:rPr>
        <w:footnoteReference w:id="10"/>
      </w:r>
      <w:r w:rsidRPr="00682C88">
        <w:t xml:space="preserve">, in particolare tenendo conto dell'elevata percentuale di risorse provenienti da questo meccanismo che non sono ancora state spese; sottolinea inoltre la necessità di misure preventive, non soltanto per mitigare i danni futuri, ma anche per prevenire l'aggravamento delle condizioni di rischio a seguito di eventi catastrofici, quali alluvioni, incendi boschivi, frane o prosciugamento di laghi e fiumi; sottolinea altresì i rischi che condizioni meteorologiche estreme e catastrofi naturali come le ondate di calore comportano per la salute pubblica in tutta Europa e invita la Commissione a tenere conto di tale aspetto nelle politiche pertinenti; incoraggia l'uso di strumenti digitali innovativi, di dati satellitari (ad esempio </w:t>
      </w:r>
      <w:proofErr w:type="spellStart"/>
      <w:r w:rsidRPr="00682C88">
        <w:t>Copernicus</w:t>
      </w:r>
      <w:proofErr w:type="spellEnd"/>
      <w:r w:rsidRPr="00682C88">
        <w:t xml:space="preserve">) e di sistemi di allarme rapido per migliorare la preparazione alle catastrofi; evidenzia l'importanza di un'adeguata flessibilità tra i diversi programmi; sottolinea che l'assistenza fornita a titolo del FSUE non dovrebbe andare a scapito dei finanziamenti dell'Unione ricevuti dagli Stati membri nell'ambito di altre politiche o altri programmi </w:t>
      </w:r>
      <w:r w:rsidR="00C06D84" w:rsidRPr="00682C88">
        <w:t>dell’Unione</w:t>
      </w:r>
      <w:r w:rsidRPr="00682C88">
        <w:t>; ricorda che gli Stati membri possono concedere aiuti di Stato, conformemente alle norme applicabili dell'Unione, in particolare alle imprese agricole che hanno subito danni provocati da catastrofi naturali;</w:t>
      </w:r>
    </w:p>
    <w:p w14:paraId="3237BEAB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6.</w:t>
      </w:r>
      <w:r w:rsidRPr="00682C88">
        <w:tab/>
        <w:t>ricorda che RESTORE</w:t>
      </w:r>
      <w:r w:rsidRPr="00682C88">
        <w:rPr>
          <w:noProof/>
          <w:vertAlign w:val="superscript"/>
        </w:rPr>
        <w:footnoteReference w:id="11"/>
      </w:r>
      <w:r w:rsidRPr="00682C88">
        <w:t xml:space="preserve"> e le misure specifiche nell'ambito del Fondo europeo agricolo per lo sviluppo rurale (FEASR)</w:t>
      </w:r>
      <w:r w:rsidRPr="00682C88">
        <w:rPr>
          <w:noProof/>
          <w:vertAlign w:val="superscript"/>
        </w:rPr>
        <w:footnoteReference w:id="12"/>
      </w:r>
      <w:r w:rsidRPr="00682C88">
        <w:t xml:space="preserve"> forniscono assistenza supplementare agli Stati membri colpiti da catastrofi naturali offrendo maggiori flessibilità nell'utilizzo dei fondi; sottolinea che gli Stati membri dovrebbero sfruttare tali opportunità; </w:t>
      </w:r>
    </w:p>
    <w:p w14:paraId="1F9A8369" w14:textId="77777777" w:rsidR="00414B9D" w:rsidRPr="00682C88" w:rsidRDefault="00414B9D" w:rsidP="00414B9D">
      <w:pPr>
        <w:pStyle w:val="NormalHanging12a"/>
        <w:rPr>
          <w:bCs/>
          <w:iCs/>
        </w:rPr>
      </w:pPr>
      <w:r w:rsidRPr="00682C88">
        <w:t>7.</w:t>
      </w:r>
      <w:r w:rsidRPr="00682C88">
        <w:tab/>
        <w:t>si rammarica che sia necessario in media un anno perché il beneficiario percepisca l'intero importo di una sovvenzione del FSUE; ricorda l'importanza di una rapida e solida valutazione dei danni che tenga debitamente conto delle ripercussioni economiche e chiede maggiori sforzi operativi per ridurre i tempi medi di erogazione dei pagamenti anticipati, garantendo nel contempo la protezione del bilancio dell'Unione; osserva che la metodologia di calcolo dell'importo totale dell'aiuto potrebbe tenere maggiormente conto del rapporto tra il danno diretto totale e l'RNL del territorio interessato, in particolare nel caso di regioni ultraperiferiche;</w:t>
      </w:r>
    </w:p>
    <w:p w14:paraId="05B00C18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8.</w:t>
      </w:r>
      <w:r w:rsidRPr="00682C88">
        <w:tab/>
        <w:t xml:space="preserve">insiste sull'urgente necessità di erogare assistenza finanziaria immediata a titolo del FSUE per garantire che le regioni colpite possano ricevere sostegno in modo tempestivo a favore di una ripresa rapida e duratura; sottolinea che è importante ridurre il tempo che intercorre tra la presentazione di una domanda di assistenza del FSUE e la decisione di finanziamento; chiede che ci si adoperi per garantire che gli aiuti del FSUE raggiungano tempestivamente i destinatari finali, comprese le imprese, le PMI, le famiglie e i cittadini interessati, così come la ricostruzione delle infrastrutture e la </w:t>
      </w:r>
      <w:r w:rsidRPr="00682C88">
        <w:lastRenderedPageBreak/>
        <w:t>riparazione dei danni materiali, il tutto accompagnato dalla corrispondente valutazione d'impatto e da meccanismi di controllo appropriati; sottolinea la necessità di semplificare e accelerare le procedure interne senza compromettere l'equilibrio istituzionale, in particolare i diritti del Parlamento europeo in quanto uno dei due rami dell'autorità di bilancio; osserva che la governance proposta per il successore del Fondo di solidarietà dell'Unione europea dopo il 2027 non è in linea con la posizione espressa dal Parlamento europeo nella sua risoluzione del 7 maggio 2025 su un rinnovato bilancio a lungo termine per l'Unione in un mondo che cambia</w:t>
      </w:r>
      <w:r w:rsidRPr="00682C88">
        <w:rPr>
          <w:rStyle w:val="FootnoteReference"/>
          <w:bCs/>
          <w:iCs/>
        </w:rPr>
        <w:footnoteReference w:id="13"/>
      </w:r>
      <w:r w:rsidRPr="00682C88">
        <w:t xml:space="preserve">; </w:t>
      </w:r>
    </w:p>
    <w:p w14:paraId="4DCCA9FE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9.</w:t>
      </w:r>
      <w:r w:rsidRPr="00682C88">
        <w:tab/>
        <w:t>approva la decisione allegata alla presente risoluzione;</w:t>
      </w:r>
    </w:p>
    <w:p w14:paraId="3FA254BC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10.</w:t>
      </w:r>
      <w:r w:rsidRPr="00682C88">
        <w:tab/>
        <w:t xml:space="preserve">incarica la sua Presidente di firmare tale decisione congiuntamente al Presidente del Consiglio e di provvedere alla pubblicazione nella </w:t>
      </w:r>
      <w:r w:rsidRPr="00682C88">
        <w:rPr>
          <w:i/>
        </w:rPr>
        <w:t>Gazzetta ufficiale dell'Unione europea</w:t>
      </w:r>
      <w:r w:rsidRPr="00682C88">
        <w:t>;</w:t>
      </w:r>
    </w:p>
    <w:p w14:paraId="51997382" w14:textId="77777777" w:rsidR="00414B9D" w:rsidRPr="00682C88" w:rsidRDefault="00414B9D" w:rsidP="00414B9D">
      <w:pPr>
        <w:pStyle w:val="NormalHanging12a"/>
        <w:rPr>
          <w:noProof/>
        </w:rPr>
      </w:pPr>
      <w:r w:rsidRPr="00682C88">
        <w:t>11.</w:t>
      </w:r>
      <w:r w:rsidRPr="00682C88">
        <w:tab/>
        <w:t>incarica la sua Presidente di trasmettere la presente risoluzione, compreso l'allegato, al Consiglio e alla Commissione.</w:t>
      </w:r>
    </w:p>
    <w:p w14:paraId="06F11972" w14:textId="77777777" w:rsidR="00414B9D" w:rsidRPr="00682C88" w:rsidRDefault="00414B9D" w:rsidP="00414B9D">
      <w:pPr>
        <w:rPr>
          <w:noProof/>
        </w:rPr>
      </w:pPr>
    </w:p>
    <w:p w14:paraId="6A69EE5F" w14:textId="77777777" w:rsidR="00414B9D" w:rsidRPr="00682C88" w:rsidRDefault="00414B9D" w:rsidP="00414B9D">
      <w:pPr>
        <w:pStyle w:val="PageHeading"/>
        <w:rPr>
          <w:noProof/>
        </w:rPr>
        <w:sectPr w:rsidR="00414B9D" w:rsidRPr="00682C88" w:rsidSect="00EB0A7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8A28019" w14:textId="77777777" w:rsidR="00682C88" w:rsidRPr="00682C88" w:rsidRDefault="00414B9D" w:rsidP="00414B9D">
      <w:pPr>
        <w:pStyle w:val="PageHeading"/>
        <w:rPr>
          <w:rFonts w:ascii="Times New Roman" w:hAnsi="Times New Roman" w:cs="Times New Roman"/>
        </w:rPr>
      </w:pPr>
      <w:bookmarkStart w:id="7" w:name="_Toc213756875"/>
      <w:r w:rsidRPr="00682C88">
        <w:rPr>
          <w:rFonts w:ascii="Times New Roman" w:hAnsi="Times New Roman" w:cs="Times New Roman"/>
        </w:rPr>
        <w:lastRenderedPageBreak/>
        <w:t>ALLEGATO</w:t>
      </w:r>
    </w:p>
    <w:p w14:paraId="7CEAA90B" w14:textId="08EBC99F" w:rsidR="00414B9D" w:rsidRPr="00682C88" w:rsidRDefault="00414B9D" w:rsidP="00414B9D">
      <w:pPr>
        <w:pStyle w:val="PageHeading"/>
        <w:rPr>
          <w:rFonts w:ascii="Times New Roman" w:hAnsi="Times New Roman" w:cs="Times New Roman"/>
          <w:noProof/>
        </w:rPr>
      </w:pPr>
      <w:r w:rsidRPr="00682C88">
        <w:rPr>
          <w:rFonts w:ascii="Times New Roman" w:hAnsi="Times New Roman" w:cs="Times New Roman"/>
        </w:rPr>
        <w:t>DECISIONE DEL PARLAMENTO EUROPEO E DEL CONSIGLIO</w:t>
      </w:r>
      <w:bookmarkEnd w:id="7"/>
    </w:p>
    <w:p w14:paraId="516418D6" w14:textId="77777777" w:rsidR="00414B9D" w:rsidRPr="00682C88" w:rsidRDefault="00414B9D" w:rsidP="00682C88">
      <w:pPr>
        <w:pStyle w:val="NormalBold24a"/>
        <w:jc w:val="center"/>
      </w:pPr>
      <w:r w:rsidRPr="00682C88">
        <w:t xml:space="preserve">relativa alla mobilitazione del Fondo di solidarietà dell'Unione europea per fornire assistenza alla Spagna in relazione alle alluvioni verificatesi nella regione spagnola di Valencia nell'ottobre 2024 e alla Francia a seguito dei danni causati dal ciclone </w:t>
      </w:r>
      <w:proofErr w:type="spellStart"/>
      <w:r w:rsidRPr="00682C88">
        <w:t>Chido</w:t>
      </w:r>
      <w:proofErr w:type="spellEnd"/>
      <w:r w:rsidRPr="00682C88">
        <w:t xml:space="preserve"> abbattutosi a Mayotte nel dicembre 2024 e dal ciclone </w:t>
      </w:r>
      <w:proofErr w:type="spellStart"/>
      <w:r w:rsidRPr="00682C88">
        <w:t>Garance</w:t>
      </w:r>
      <w:proofErr w:type="spellEnd"/>
      <w:r w:rsidRPr="00682C88">
        <w:t xml:space="preserve"> abbattutosi nella Riunione nel febbraio 2025</w:t>
      </w:r>
    </w:p>
    <w:p w14:paraId="6AE5E004" w14:textId="2656D3DA" w:rsidR="00682C88" w:rsidRPr="00682C88" w:rsidRDefault="00682C88" w:rsidP="00682C88">
      <w:pPr>
        <w:rPr>
          <w:i/>
        </w:rPr>
      </w:pPr>
      <w:r w:rsidRPr="00682C88">
        <w:rPr>
          <w:i/>
        </w:rPr>
        <w:t xml:space="preserve">(Il testo dell'allegato non figura poiché esso corrisponde all'atto finale, la decisione (UE) </w:t>
      </w:r>
      <w:r w:rsidRPr="00682C88">
        <w:rPr>
          <w:rStyle w:val="Emphasis"/>
        </w:rPr>
        <w:t>2025/2403</w:t>
      </w:r>
      <w:r w:rsidRPr="00682C88">
        <w:rPr>
          <w:i/>
        </w:rPr>
        <w:t>.)</w:t>
      </w:r>
    </w:p>
    <w:p w14:paraId="6D8515FE" w14:textId="77777777" w:rsidR="00E365E1" w:rsidRPr="00682C88" w:rsidRDefault="00E365E1" w:rsidP="00F842F4"/>
    <w:sectPr w:rsidR="00E365E1" w:rsidRPr="00682C88" w:rsidSect="00EB0A7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ACF66" w14:textId="77777777" w:rsidR="00F842F4" w:rsidRPr="00EB0A70" w:rsidRDefault="00F842F4">
      <w:r w:rsidRPr="00EB0A70">
        <w:separator/>
      </w:r>
    </w:p>
  </w:endnote>
  <w:endnote w:type="continuationSeparator" w:id="0">
    <w:p w14:paraId="418F92CF" w14:textId="77777777" w:rsidR="00F842F4" w:rsidRPr="00EB0A70" w:rsidRDefault="00F842F4">
      <w:r w:rsidRPr="00EB0A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3F404" w14:textId="77777777" w:rsidR="00414B9D" w:rsidRPr="00EB0A70" w:rsidRDefault="00414B9D" w:rsidP="001E0B59">
    <w:pPr>
      <w:pStyle w:val="EPFooter"/>
    </w:pPr>
    <w:r w:rsidRPr="00EB0A70">
      <w:t>PE</w:t>
    </w:r>
    <w:r w:rsidRPr="00EB0A70">
      <w:rPr>
        <w:rStyle w:val="HideTWBExt"/>
      </w:rPr>
      <w:t>&lt;</w:t>
    </w:r>
    <w:proofErr w:type="spellStart"/>
    <w:r w:rsidRPr="00EB0A70">
      <w:rPr>
        <w:rStyle w:val="HideTWBExt"/>
      </w:rPr>
      <w:t>NoPE</w:t>
    </w:r>
    <w:proofErr w:type="spellEnd"/>
    <w:r w:rsidRPr="00EB0A70">
      <w:rPr>
        <w:rStyle w:val="HideTWBExt"/>
      </w:rPr>
      <w:t>&gt;</w:t>
    </w:r>
    <w:r w:rsidRPr="00EB0A70">
      <w:t>778.223</w:t>
    </w:r>
    <w:r w:rsidRPr="00EB0A70">
      <w:rPr>
        <w:rStyle w:val="HideTWBExt"/>
      </w:rPr>
      <w:t>&lt;/</w:t>
    </w:r>
    <w:proofErr w:type="spellStart"/>
    <w:r w:rsidRPr="00EB0A70">
      <w:rPr>
        <w:rStyle w:val="HideTWBExt"/>
      </w:rPr>
      <w:t>NoPE</w:t>
    </w:r>
    <w:proofErr w:type="spellEnd"/>
    <w:r w:rsidRPr="00EB0A70">
      <w:rPr>
        <w:rStyle w:val="HideTWBExt"/>
      </w:rPr>
      <w:t>&gt;&lt;Version&gt;</w:t>
    </w:r>
    <w:r w:rsidRPr="00EB0A70">
      <w:t>v02-00</w:t>
    </w:r>
    <w:r w:rsidRPr="00EB0A70">
      <w:rPr>
        <w:rStyle w:val="HideTWBExt"/>
      </w:rPr>
      <w:t>&lt;/Version&gt;</w:t>
    </w:r>
    <w:r w:rsidRPr="00EB0A70">
      <w:tab/>
    </w:r>
    <w:r w:rsidRPr="00EB0A70">
      <w:fldChar w:fldCharType="begin"/>
    </w:r>
    <w:r w:rsidRPr="00EB0A70">
      <w:instrText xml:space="preserve"> PAGE  \* MERGEFORMAT </w:instrText>
    </w:r>
    <w:r w:rsidRPr="00EB0A70">
      <w:fldChar w:fldCharType="separate"/>
    </w:r>
    <w:r w:rsidRPr="00EB0A70">
      <w:rPr>
        <w:noProof/>
      </w:rPr>
      <w:t>2</w:t>
    </w:r>
    <w:r w:rsidRPr="00EB0A70">
      <w:fldChar w:fldCharType="end"/>
    </w:r>
    <w:r w:rsidRPr="00EB0A70">
      <w:t>/</w:t>
    </w:r>
    <w:fldSimple w:instr=" NUMPAGES  \* MERGEFORMAT ">
      <w:r w:rsidRPr="00EB0A70">
        <w:rPr>
          <w:noProof/>
        </w:rPr>
        <w:t>3</w:t>
      </w:r>
    </w:fldSimple>
    <w:r w:rsidRPr="00EB0A70">
      <w:tab/>
    </w:r>
    <w:r w:rsidRPr="00EB0A70">
      <w:rPr>
        <w:rStyle w:val="HideTWBExt"/>
      </w:rPr>
      <w:t>&lt;PathFdR&gt;</w:t>
    </w:r>
    <w:r w:rsidRPr="00EB0A70">
      <w:t>RR\1331466IT.docx</w:t>
    </w:r>
    <w:r w:rsidRPr="00EB0A70">
      <w:rPr>
        <w:rStyle w:val="HideTWBExt"/>
      </w:rPr>
      <w:t>&lt;/</w:t>
    </w:r>
    <w:proofErr w:type="spellStart"/>
    <w:r w:rsidRPr="00EB0A70">
      <w:rPr>
        <w:rStyle w:val="HideTWBExt"/>
      </w:rPr>
      <w:t>PathFdR</w:t>
    </w:r>
    <w:proofErr w:type="spellEnd"/>
    <w:r w:rsidRPr="00EB0A70">
      <w:rPr>
        <w:rStyle w:val="HideTWBExt"/>
      </w:rPr>
      <w:t>&gt;</w:t>
    </w:r>
  </w:p>
  <w:p w14:paraId="26B4E923" w14:textId="77777777" w:rsidR="00414B9D" w:rsidRPr="00EB0A70" w:rsidRDefault="00414B9D" w:rsidP="001E0B59">
    <w:pPr>
      <w:pStyle w:val="EPFooter2"/>
    </w:pPr>
    <w:r w:rsidRPr="00EB0A70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C691C" w14:textId="77777777" w:rsidR="00414B9D" w:rsidRPr="00EB0A70" w:rsidRDefault="00414B9D" w:rsidP="001E0B59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7DF6D" w14:textId="77777777" w:rsidR="00414B9D" w:rsidRPr="00EB0A70" w:rsidRDefault="00414B9D" w:rsidP="001E0B59">
    <w:pPr>
      <w:pStyle w:val="EPFooter"/>
    </w:pPr>
    <w:r w:rsidRPr="00EB0A70">
      <w:rPr>
        <w:rStyle w:val="HideTWBExt"/>
      </w:rPr>
      <w:t>&lt;PathFdR&gt;</w:t>
    </w:r>
    <w:r w:rsidRPr="00EB0A70">
      <w:t>RR\1331466IT.docx</w:t>
    </w:r>
    <w:r w:rsidRPr="00EB0A70">
      <w:rPr>
        <w:rStyle w:val="HideTWBExt"/>
      </w:rPr>
      <w:t>&lt;/</w:t>
    </w:r>
    <w:proofErr w:type="spellStart"/>
    <w:r w:rsidRPr="00EB0A70">
      <w:rPr>
        <w:rStyle w:val="HideTWBExt"/>
      </w:rPr>
      <w:t>PathFdR</w:t>
    </w:r>
    <w:proofErr w:type="spellEnd"/>
    <w:r w:rsidRPr="00EB0A70">
      <w:rPr>
        <w:rStyle w:val="HideTWBExt"/>
      </w:rPr>
      <w:t>&gt;</w:t>
    </w:r>
    <w:r w:rsidRPr="00EB0A70">
      <w:tab/>
    </w:r>
    <w:r w:rsidRPr="00EB0A70">
      <w:tab/>
      <w:t>PE</w:t>
    </w:r>
    <w:r w:rsidRPr="00EB0A70">
      <w:rPr>
        <w:rStyle w:val="HideTWBExt"/>
      </w:rPr>
      <w:t>&lt;</w:t>
    </w:r>
    <w:proofErr w:type="spellStart"/>
    <w:r w:rsidRPr="00EB0A70">
      <w:rPr>
        <w:rStyle w:val="HideTWBExt"/>
      </w:rPr>
      <w:t>NoPE</w:t>
    </w:r>
    <w:proofErr w:type="spellEnd"/>
    <w:r w:rsidRPr="00EB0A70">
      <w:rPr>
        <w:rStyle w:val="HideTWBExt"/>
      </w:rPr>
      <w:t>&gt;</w:t>
    </w:r>
    <w:r w:rsidRPr="00EB0A70">
      <w:t>778.223</w:t>
    </w:r>
    <w:r w:rsidRPr="00EB0A70">
      <w:rPr>
        <w:rStyle w:val="HideTWBExt"/>
      </w:rPr>
      <w:t>&lt;/</w:t>
    </w:r>
    <w:proofErr w:type="spellStart"/>
    <w:r w:rsidRPr="00EB0A70">
      <w:rPr>
        <w:rStyle w:val="HideTWBExt"/>
      </w:rPr>
      <w:t>NoPE</w:t>
    </w:r>
    <w:proofErr w:type="spellEnd"/>
    <w:r w:rsidRPr="00EB0A70">
      <w:rPr>
        <w:rStyle w:val="HideTWBExt"/>
      </w:rPr>
      <w:t>&gt;&lt;Version&gt;</w:t>
    </w:r>
    <w:r w:rsidRPr="00EB0A70">
      <w:t>v02-00</w:t>
    </w:r>
    <w:r w:rsidRPr="00EB0A70">
      <w:rPr>
        <w:rStyle w:val="HideTWBExt"/>
      </w:rPr>
      <w:t>&lt;/Version&gt;</w:t>
    </w:r>
  </w:p>
  <w:p w14:paraId="73C322EC" w14:textId="77777777" w:rsidR="00414B9D" w:rsidRPr="00EB0A70" w:rsidRDefault="00414B9D" w:rsidP="001E0B59">
    <w:pPr>
      <w:pStyle w:val="EPFooter2"/>
    </w:pPr>
    <w:r w:rsidRPr="00EB0A70">
      <w:t>IT</w:t>
    </w:r>
    <w:r w:rsidRPr="00EB0A70">
      <w:tab/>
    </w:r>
    <w:r w:rsidRPr="00EB0A70">
      <w:rPr>
        <w:b w:val="0"/>
        <w:i/>
        <w:color w:val="C0C0C0"/>
        <w:sz w:val="22"/>
      </w:rPr>
      <w:t>Unita nella diversità</w:t>
    </w:r>
    <w:r w:rsidRPr="00EB0A70">
      <w:tab/>
      <w:t>IT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4405C" w14:textId="77777777" w:rsidR="00064002" w:rsidRPr="00EB0A7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49B9A" w14:textId="77777777" w:rsidR="00064002" w:rsidRPr="00EB0A70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BDC19" w14:textId="77777777" w:rsidR="00064002" w:rsidRPr="00EB0A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61E08" w14:textId="77777777" w:rsidR="00F842F4" w:rsidRPr="00EB0A70" w:rsidRDefault="00F842F4">
      <w:r w:rsidRPr="00EB0A70">
        <w:separator/>
      </w:r>
    </w:p>
  </w:footnote>
  <w:footnote w:type="continuationSeparator" w:id="0">
    <w:p w14:paraId="1D920945" w14:textId="77777777" w:rsidR="00F842F4" w:rsidRPr="00EB0A70" w:rsidRDefault="00F842F4">
      <w:r w:rsidRPr="00EB0A70">
        <w:continuationSeparator/>
      </w:r>
    </w:p>
  </w:footnote>
  <w:footnote w:id="1">
    <w:p w14:paraId="5F48B2F7" w14:textId="77777777" w:rsidR="00414B9D" w:rsidRPr="00EB0A70" w:rsidRDefault="00414B9D" w:rsidP="00EB0A70">
      <w:pPr>
        <w:pStyle w:val="FootnoteText"/>
        <w:ind w:left="567" w:hanging="567"/>
        <w:rPr>
          <w:sz w:val="24"/>
          <w:lang w:val="it-IT"/>
        </w:rPr>
      </w:pPr>
      <w:r w:rsidRPr="00EB0A70">
        <w:rPr>
          <w:rStyle w:val="FootnoteReference"/>
          <w:sz w:val="24"/>
          <w:lang w:val="it-IT"/>
        </w:rPr>
        <w:footnoteRef/>
      </w:r>
      <w:r w:rsidR="00EB0A70" w:rsidRPr="00EB0A70">
        <w:rPr>
          <w:sz w:val="24"/>
          <w:lang w:val="it-IT"/>
        </w:rPr>
        <w:t xml:space="preserve"> </w:t>
      </w:r>
      <w:r w:rsidR="00EB0A70" w:rsidRPr="00EB0A70">
        <w:rPr>
          <w:sz w:val="24"/>
          <w:lang w:val="it-IT"/>
        </w:rPr>
        <w:tab/>
      </w:r>
      <w:r w:rsidRPr="00EB0A70">
        <w:rPr>
          <w:sz w:val="24"/>
          <w:lang w:val="it-IT"/>
        </w:rPr>
        <w:t xml:space="preserve">GU L 311 del 14.11.2002, pag. 3, ELI: </w:t>
      </w:r>
      <w:hyperlink r:id="rId1" w:history="1">
        <w:r w:rsidRPr="00EB0A70">
          <w:rPr>
            <w:rStyle w:val="Hyperlink"/>
            <w:sz w:val="24"/>
            <w:lang w:val="it-IT"/>
          </w:rPr>
          <w:t>http://data.europa.eu/eli/reg/2002/2012/oj</w:t>
        </w:r>
      </w:hyperlink>
      <w:r w:rsidRPr="00EB0A70">
        <w:rPr>
          <w:sz w:val="24"/>
          <w:lang w:val="it-IT"/>
        </w:rPr>
        <w:t>.</w:t>
      </w:r>
    </w:p>
  </w:footnote>
  <w:footnote w:id="2">
    <w:p w14:paraId="0306A672" w14:textId="77777777" w:rsidR="00414B9D" w:rsidRPr="00EB0A70" w:rsidRDefault="00414B9D" w:rsidP="00EB0A70">
      <w:pPr>
        <w:pStyle w:val="FootnoteText"/>
        <w:ind w:left="567" w:hanging="567"/>
        <w:rPr>
          <w:sz w:val="24"/>
          <w:lang w:val="it-IT"/>
        </w:rPr>
      </w:pPr>
      <w:r w:rsidRPr="00EB0A70">
        <w:rPr>
          <w:rStyle w:val="FootnoteReference"/>
          <w:sz w:val="24"/>
          <w:lang w:val="it-IT"/>
        </w:rPr>
        <w:footnoteRef/>
      </w:r>
      <w:r w:rsidR="00EB0A70" w:rsidRPr="00EB0A70">
        <w:rPr>
          <w:sz w:val="24"/>
          <w:lang w:val="it-IT"/>
        </w:rPr>
        <w:t xml:space="preserve"> </w:t>
      </w:r>
      <w:r w:rsidR="00EB0A70" w:rsidRPr="00EB0A70">
        <w:rPr>
          <w:sz w:val="24"/>
          <w:lang w:val="it-IT"/>
        </w:rPr>
        <w:tab/>
      </w:r>
      <w:r w:rsidRPr="00EB0A70">
        <w:rPr>
          <w:sz w:val="24"/>
          <w:lang w:val="it-IT"/>
        </w:rPr>
        <w:t xml:space="preserve">GU L 433 I del 22.12.2020, pag. 11, ELI: </w:t>
      </w:r>
      <w:hyperlink r:id="rId2" w:history="1">
        <w:r w:rsidRPr="00EB0A70">
          <w:rPr>
            <w:rStyle w:val="Hyperlink"/>
            <w:sz w:val="24"/>
            <w:lang w:val="it-IT"/>
          </w:rPr>
          <w:t>http://data.europa.eu/eli/reg/2020/2093/oj</w:t>
        </w:r>
      </w:hyperlink>
      <w:r w:rsidRPr="00EB0A70">
        <w:rPr>
          <w:sz w:val="24"/>
          <w:lang w:val="it-IT"/>
        </w:rPr>
        <w:t>.</w:t>
      </w:r>
    </w:p>
  </w:footnote>
  <w:footnote w:id="3">
    <w:p w14:paraId="312C086E" w14:textId="77777777" w:rsidR="00414B9D" w:rsidRPr="00EB0A70" w:rsidRDefault="00414B9D" w:rsidP="00EB0A70">
      <w:pPr>
        <w:pStyle w:val="FootnoteText"/>
        <w:ind w:left="567" w:hanging="567"/>
        <w:rPr>
          <w:sz w:val="24"/>
          <w:lang w:val="it-IT"/>
        </w:rPr>
      </w:pPr>
      <w:r w:rsidRPr="00EB0A70">
        <w:rPr>
          <w:rStyle w:val="FootnoteReference"/>
          <w:sz w:val="24"/>
          <w:lang w:val="it-IT"/>
        </w:rPr>
        <w:footnoteRef/>
      </w:r>
      <w:r w:rsidR="00EB0A70" w:rsidRPr="00EB0A70">
        <w:rPr>
          <w:sz w:val="24"/>
          <w:lang w:val="it-IT"/>
        </w:rPr>
        <w:t xml:space="preserve"> </w:t>
      </w:r>
      <w:r w:rsidR="00EB0A70" w:rsidRPr="00EB0A70">
        <w:rPr>
          <w:sz w:val="24"/>
          <w:lang w:val="it-IT"/>
        </w:rPr>
        <w:tab/>
      </w:r>
      <w:r w:rsidRPr="00EB0A70">
        <w:rPr>
          <w:sz w:val="24"/>
          <w:lang w:val="it-IT"/>
        </w:rPr>
        <w:t xml:space="preserve">GU L 433 I del 22.12.2020, pag. 28, ELI: </w:t>
      </w:r>
      <w:hyperlink r:id="rId3" w:history="1">
        <w:r w:rsidRPr="00EB0A70">
          <w:rPr>
            <w:rStyle w:val="Hyperlink"/>
            <w:sz w:val="24"/>
            <w:lang w:val="it-IT"/>
          </w:rPr>
          <w:t>http://data.europa.eu/eli/agree_interinstit/2020/1222/oj</w:t>
        </w:r>
      </w:hyperlink>
      <w:r w:rsidRPr="00EB0A70">
        <w:rPr>
          <w:sz w:val="24"/>
          <w:lang w:val="it-IT"/>
        </w:rPr>
        <w:t>.</w:t>
      </w:r>
    </w:p>
  </w:footnote>
  <w:footnote w:id="4">
    <w:p w14:paraId="014C3377" w14:textId="77777777" w:rsidR="00414B9D" w:rsidRPr="00EB0A70" w:rsidRDefault="00414B9D" w:rsidP="00EB0A70">
      <w:pPr>
        <w:pStyle w:val="FootnoteText"/>
        <w:ind w:left="567" w:hanging="567"/>
        <w:rPr>
          <w:sz w:val="24"/>
          <w:lang w:val="it-IT"/>
        </w:rPr>
      </w:pPr>
      <w:r w:rsidRPr="00EB0A70">
        <w:rPr>
          <w:rStyle w:val="FootnoteReference"/>
          <w:sz w:val="24"/>
          <w:lang w:val="it-IT"/>
        </w:rPr>
        <w:footnoteRef/>
      </w:r>
      <w:r w:rsidR="00EB0A70" w:rsidRPr="00EB0A70">
        <w:rPr>
          <w:sz w:val="24"/>
          <w:lang w:val="it-IT"/>
        </w:rPr>
        <w:t xml:space="preserve"> </w:t>
      </w:r>
      <w:r w:rsidR="00EB0A70" w:rsidRPr="00EB0A70">
        <w:rPr>
          <w:sz w:val="24"/>
          <w:lang w:val="it-IT"/>
        </w:rPr>
        <w:tab/>
      </w:r>
      <w:r w:rsidRPr="00EB0A70">
        <w:rPr>
          <w:sz w:val="24"/>
          <w:lang w:val="it-IT"/>
        </w:rPr>
        <w:t xml:space="preserve">GU L 231 del 30.6.2021, pag. 60, ELI: </w:t>
      </w:r>
      <w:hyperlink r:id="rId4" w:history="1">
        <w:r w:rsidRPr="00EB0A70">
          <w:rPr>
            <w:rStyle w:val="Hyperlink"/>
            <w:sz w:val="24"/>
            <w:lang w:val="it-IT"/>
          </w:rPr>
          <w:t>http://data.europa.eu/eli/reg/2021/1058/oj</w:t>
        </w:r>
      </w:hyperlink>
      <w:r w:rsidRPr="00EB0A70">
        <w:rPr>
          <w:sz w:val="24"/>
          <w:lang w:val="it-IT"/>
        </w:rPr>
        <w:t>.</w:t>
      </w:r>
    </w:p>
  </w:footnote>
  <w:footnote w:id="5">
    <w:p w14:paraId="635F1BFE" w14:textId="77777777" w:rsidR="00414B9D" w:rsidRPr="00EB0A70" w:rsidRDefault="00414B9D" w:rsidP="00EB0A70">
      <w:pPr>
        <w:pStyle w:val="FootnoteText"/>
        <w:ind w:left="567" w:hanging="567"/>
        <w:rPr>
          <w:sz w:val="24"/>
          <w:lang w:val="it-IT"/>
        </w:rPr>
      </w:pPr>
      <w:r w:rsidRPr="00EB0A70">
        <w:rPr>
          <w:rStyle w:val="FootnoteReference"/>
          <w:sz w:val="24"/>
          <w:lang w:val="it-IT"/>
        </w:rPr>
        <w:footnoteRef/>
      </w:r>
      <w:r w:rsidR="00EB0A70" w:rsidRPr="00EB0A70">
        <w:rPr>
          <w:sz w:val="24"/>
          <w:lang w:val="it-IT"/>
        </w:rPr>
        <w:t xml:space="preserve"> </w:t>
      </w:r>
      <w:r w:rsidR="00EB0A70" w:rsidRPr="00EB0A70">
        <w:rPr>
          <w:sz w:val="24"/>
          <w:lang w:val="it-IT"/>
        </w:rPr>
        <w:tab/>
      </w:r>
      <w:r w:rsidRPr="00EB0A70">
        <w:rPr>
          <w:sz w:val="24"/>
          <w:lang w:val="it-IT"/>
        </w:rPr>
        <w:t xml:space="preserve">GU L 231 del 30.6.2021, pag. 21, ELI: </w:t>
      </w:r>
      <w:hyperlink r:id="rId5" w:history="1">
        <w:r w:rsidRPr="00EB0A70">
          <w:rPr>
            <w:rStyle w:val="Hyperlink"/>
            <w:sz w:val="24"/>
            <w:lang w:val="it-IT"/>
          </w:rPr>
          <w:t>http://data.europa.eu/eli/reg/2021/1057/oj</w:t>
        </w:r>
      </w:hyperlink>
      <w:r w:rsidRPr="00EB0A70">
        <w:rPr>
          <w:sz w:val="24"/>
          <w:lang w:val="it-IT"/>
        </w:rPr>
        <w:t>.</w:t>
      </w:r>
    </w:p>
  </w:footnote>
  <w:footnote w:id="6">
    <w:p w14:paraId="52C1CF37" w14:textId="76C51C46" w:rsidR="00414B9D" w:rsidRPr="00EB0A70" w:rsidRDefault="00414B9D" w:rsidP="00EB0A70">
      <w:pPr>
        <w:pStyle w:val="FootnoteText"/>
        <w:ind w:left="567" w:hanging="567"/>
        <w:rPr>
          <w:sz w:val="24"/>
          <w:lang w:val="it-IT"/>
        </w:rPr>
      </w:pPr>
      <w:r w:rsidRPr="00EB0A70">
        <w:rPr>
          <w:rStyle w:val="FootnoteReference"/>
          <w:sz w:val="24"/>
          <w:lang w:val="it-IT"/>
        </w:rPr>
        <w:footnoteRef/>
      </w:r>
      <w:r w:rsidR="00EB0A70" w:rsidRPr="00EB0A70">
        <w:rPr>
          <w:sz w:val="24"/>
          <w:lang w:val="it-IT"/>
        </w:rPr>
        <w:t xml:space="preserve"> </w:t>
      </w:r>
      <w:r w:rsidR="00EB0A70" w:rsidRPr="00EB0A70">
        <w:rPr>
          <w:sz w:val="24"/>
          <w:lang w:val="it-IT"/>
        </w:rPr>
        <w:tab/>
      </w:r>
      <w:r w:rsidRPr="00EB0A70">
        <w:rPr>
          <w:sz w:val="24"/>
          <w:lang w:val="it-IT"/>
        </w:rPr>
        <w:t xml:space="preserve">GU L 435 del 6.12.2021, pag. 1, ELI: </w:t>
      </w:r>
      <w:hyperlink r:id="rId6" w:history="1">
        <w:r w:rsidR="00B25BD0" w:rsidRPr="00B25BD0">
          <w:rPr>
            <w:rStyle w:val="Hyperlink"/>
            <w:sz w:val="24"/>
            <w:lang w:val="it-IT"/>
          </w:rPr>
          <w:t>http://data.europa.eu/eli/reg/2021/2115/oj</w:t>
        </w:r>
      </w:hyperlink>
      <w:r w:rsidRPr="00EB0A70">
        <w:rPr>
          <w:sz w:val="24"/>
          <w:lang w:val="it-IT"/>
        </w:rPr>
        <w:t xml:space="preserve">. </w:t>
      </w:r>
    </w:p>
  </w:footnote>
  <w:footnote w:id="7">
    <w:p w14:paraId="70376484" w14:textId="77777777" w:rsidR="00414B9D" w:rsidRPr="00EB0A70" w:rsidRDefault="00414B9D" w:rsidP="00EB0A70">
      <w:pPr>
        <w:pStyle w:val="FootnoteText"/>
        <w:ind w:left="567" w:hanging="567"/>
        <w:rPr>
          <w:sz w:val="24"/>
          <w:lang w:val="it-IT"/>
        </w:rPr>
      </w:pPr>
      <w:r w:rsidRPr="00EB0A70">
        <w:rPr>
          <w:rStyle w:val="FootnoteReference"/>
          <w:sz w:val="24"/>
          <w:lang w:val="it-IT"/>
        </w:rPr>
        <w:footnoteRef/>
      </w:r>
      <w:r w:rsidR="00EB0A70" w:rsidRPr="00EB0A70">
        <w:rPr>
          <w:sz w:val="24"/>
          <w:lang w:val="it-IT"/>
        </w:rPr>
        <w:t xml:space="preserve"> </w:t>
      </w:r>
      <w:r w:rsidR="00EB0A70" w:rsidRPr="00EB0A70">
        <w:rPr>
          <w:sz w:val="24"/>
          <w:lang w:val="it-IT"/>
        </w:rPr>
        <w:tab/>
      </w:r>
      <w:r w:rsidRPr="00EB0A70">
        <w:rPr>
          <w:sz w:val="24"/>
          <w:lang w:val="it-IT"/>
        </w:rPr>
        <w:t>Testi approvati, P10_</w:t>
      </w:r>
      <w:proofErr w:type="gramStart"/>
      <w:r w:rsidRPr="00EB0A70">
        <w:rPr>
          <w:sz w:val="24"/>
          <w:lang w:val="it-IT"/>
        </w:rPr>
        <w:t>TA(</w:t>
      </w:r>
      <w:proofErr w:type="gramEnd"/>
      <w:r w:rsidRPr="00EB0A70">
        <w:rPr>
          <w:sz w:val="24"/>
          <w:lang w:val="it-IT"/>
        </w:rPr>
        <w:t>2024)0059.</w:t>
      </w:r>
    </w:p>
  </w:footnote>
  <w:footnote w:id="8">
    <w:p w14:paraId="18181F9B" w14:textId="77777777" w:rsidR="00414B9D" w:rsidRPr="00EB0A70" w:rsidRDefault="00414B9D" w:rsidP="00EB0A70">
      <w:pPr>
        <w:pStyle w:val="FootnoteText"/>
        <w:ind w:left="567" w:hanging="567"/>
        <w:rPr>
          <w:sz w:val="24"/>
          <w:lang w:val="it-IT"/>
        </w:rPr>
      </w:pPr>
      <w:r w:rsidRPr="00EB0A70">
        <w:rPr>
          <w:rStyle w:val="FootnoteReference"/>
          <w:sz w:val="24"/>
          <w:lang w:val="it-IT"/>
        </w:rPr>
        <w:footnoteRef/>
      </w:r>
      <w:r w:rsidR="00EB0A70" w:rsidRPr="00EB0A70">
        <w:rPr>
          <w:sz w:val="24"/>
          <w:lang w:val="it-IT"/>
        </w:rPr>
        <w:t xml:space="preserve"> </w:t>
      </w:r>
      <w:r w:rsidR="00EB0A70" w:rsidRPr="00EB0A70">
        <w:rPr>
          <w:sz w:val="24"/>
          <w:lang w:val="it-IT"/>
        </w:rPr>
        <w:tab/>
      </w:r>
      <w:r w:rsidRPr="00EB0A70">
        <w:rPr>
          <w:sz w:val="24"/>
          <w:lang w:val="it-IT"/>
        </w:rPr>
        <w:t>Testi approvati, P10_</w:t>
      </w:r>
      <w:proofErr w:type="gramStart"/>
      <w:r w:rsidRPr="00EB0A70">
        <w:rPr>
          <w:sz w:val="24"/>
          <w:lang w:val="it-IT"/>
        </w:rPr>
        <w:t>TA(</w:t>
      </w:r>
      <w:proofErr w:type="gramEnd"/>
      <w:r w:rsidRPr="00EB0A70">
        <w:rPr>
          <w:sz w:val="24"/>
          <w:lang w:val="it-IT"/>
        </w:rPr>
        <w:t>2025)0090.</w:t>
      </w:r>
    </w:p>
  </w:footnote>
  <w:footnote w:id="9">
    <w:p w14:paraId="70813654" w14:textId="77777777" w:rsidR="00414B9D" w:rsidRPr="00EB0A70" w:rsidRDefault="00414B9D" w:rsidP="00EB0A70">
      <w:pPr>
        <w:pStyle w:val="FootnoteText"/>
        <w:ind w:left="567" w:hanging="567"/>
        <w:rPr>
          <w:sz w:val="24"/>
          <w:lang w:val="it-IT"/>
        </w:rPr>
      </w:pPr>
      <w:r w:rsidRPr="00EB0A70">
        <w:rPr>
          <w:rStyle w:val="FootnoteReference"/>
          <w:sz w:val="24"/>
          <w:lang w:val="it-IT"/>
        </w:rPr>
        <w:footnoteRef/>
      </w:r>
      <w:r w:rsidR="00EB0A70" w:rsidRPr="00EB0A70">
        <w:rPr>
          <w:sz w:val="24"/>
          <w:lang w:val="it-IT"/>
        </w:rPr>
        <w:t xml:space="preserve"> </w:t>
      </w:r>
      <w:r w:rsidR="00EB0A70" w:rsidRPr="00EB0A70">
        <w:rPr>
          <w:sz w:val="24"/>
          <w:lang w:val="it-IT"/>
        </w:rPr>
        <w:tab/>
      </w:r>
      <w:hyperlink r:id="rId7" w:history="1">
        <w:r w:rsidRPr="00EB0A70">
          <w:rPr>
            <w:rStyle w:val="Hyperlink"/>
            <w:sz w:val="24"/>
            <w:lang w:val="it-IT"/>
          </w:rPr>
          <w:t>https://www.eea.europa.eu/publications/european-climate-risk-assessment</w:t>
        </w:r>
      </w:hyperlink>
      <w:r w:rsidRPr="00EB0A70">
        <w:rPr>
          <w:sz w:val="24"/>
          <w:lang w:val="it-IT"/>
        </w:rPr>
        <w:t xml:space="preserve">. </w:t>
      </w:r>
    </w:p>
  </w:footnote>
  <w:footnote w:id="10">
    <w:p w14:paraId="280E171F" w14:textId="77777777" w:rsidR="00414B9D" w:rsidRPr="00EB0A70" w:rsidRDefault="00414B9D" w:rsidP="00EB0A70">
      <w:pPr>
        <w:pStyle w:val="FootnoteText"/>
        <w:ind w:left="567" w:hanging="567"/>
        <w:rPr>
          <w:sz w:val="24"/>
          <w:lang w:val="it-IT"/>
        </w:rPr>
      </w:pPr>
      <w:r w:rsidRPr="00EB0A70">
        <w:rPr>
          <w:rStyle w:val="FootnoteReference"/>
          <w:sz w:val="24"/>
          <w:lang w:val="it-IT"/>
        </w:rPr>
        <w:footnoteRef/>
      </w:r>
      <w:r w:rsidR="00EB0A70" w:rsidRPr="00EB0A70">
        <w:rPr>
          <w:sz w:val="24"/>
          <w:lang w:val="it-IT"/>
        </w:rPr>
        <w:t xml:space="preserve"> </w:t>
      </w:r>
      <w:r w:rsidR="00EB0A70" w:rsidRPr="00EB0A70">
        <w:rPr>
          <w:sz w:val="24"/>
          <w:lang w:val="it-IT"/>
        </w:rPr>
        <w:tab/>
      </w:r>
      <w:r w:rsidRPr="00EB0A70">
        <w:rPr>
          <w:sz w:val="24"/>
          <w:lang w:val="it-IT"/>
        </w:rPr>
        <w:t xml:space="preserve">Regolamento (UE) 2021/241 del Parlamento europeo e del Consiglio, del 12 febbraio 2021, che istituisce il dispositivo per la ripresa e la resilienza (GU L 57 del 18.2.2021, pag. 17, </w:t>
      </w:r>
      <w:r w:rsidRPr="00EB0A70">
        <w:rPr>
          <w:color w:val="333333"/>
          <w:sz w:val="24"/>
          <w:shd w:val="clear" w:color="auto" w:fill="FFFFFF"/>
          <w:lang w:val="it-IT"/>
        </w:rPr>
        <w:t>ELI: </w:t>
      </w:r>
      <w:hyperlink r:id="rId8" w:tooltip="Accesso al documento tramite l'URI dell'ELI." w:history="1">
        <w:r w:rsidRPr="00EB0A70">
          <w:rPr>
            <w:rStyle w:val="Hyperlink"/>
            <w:color w:val="23527C"/>
            <w:sz w:val="24"/>
            <w:shd w:val="clear" w:color="auto" w:fill="FFFFFF"/>
            <w:lang w:val="it-IT"/>
          </w:rPr>
          <w:t>http://data.europa.eu/eli/reg/2021/241/</w:t>
        </w:r>
        <w:proofErr w:type="spellStart"/>
        <w:r w:rsidRPr="00EB0A70">
          <w:rPr>
            <w:rStyle w:val="Hyperlink"/>
            <w:color w:val="23527C"/>
            <w:sz w:val="24"/>
            <w:shd w:val="clear" w:color="auto" w:fill="FFFFFF"/>
            <w:lang w:val="it-IT"/>
          </w:rPr>
          <w:t>oj</w:t>
        </w:r>
        <w:proofErr w:type="spellEnd"/>
      </w:hyperlink>
      <w:r w:rsidRPr="00EB0A70">
        <w:rPr>
          <w:sz w:val="24"/>
          <w:lang w:val="it-IT"/>
        </w:rPr>
        <w:t>).</w:t>
      </w:r>
    </w:p>
  </w:footnote>
  <w:footnote w:id="11">
    <w:p w14:paraId="3F99DB9A" w14:textId="02DA9122" w:rsidR="00414B9D" w:rsidRPr="001E4B33" w:rsidRDefault="00414B9D" w:rsidP="00EB0A70">
      <w:pPr>
        <w:pStyle w:val="FootnoteText"/>
        <w:ind w:left="567" w:hanging="567"/>
        <w:rPr>
          <w:sz w:val="24"/>
          <w:lang w:val="fi-FI"/>
        </w:rPr>
      </w:pPr>
      <w:r w:rsidRPr="00EB0A70">
        <w:rPr>
          <w:rStyle w:val="FootnoteReference"/>
          <w:sz w:val="24"/>
          <w:lang w:val="it-IT"/>
        </w:rPr>
        <w:footnoteRef/>
      </w:r>
      <w:r w:rsidR="00EB0A70" w:rsidRPr="001E4B33">
        <w:rPr>
          <w:sz w:val="24"/>
          <w:lang w:val="fi-FI"/>
        </w:rPr>
        <w:t xml:space="preserve"> </w:t>
      </w:r>
      <w:r w:rsidR="00EB0A70" w:rsidRPr="001E4B33">
        <w:rPr>
          <w:sz w:val="24"/>
          <w:lang w:val="fi-FI"/>
        </w:rPr>
        <w:tab/>
      </w:r>
      <w:r w:rsidRPr="001E4B33">
        <w:rPr>
          <w:sz w:val="24"/>
          <w:lang w:val="fi-FI"/>
        </w:rPr>
        <w:t>GU L, 2024/3236</w:t>
      </w:r>
      <w:r w:rsidR="00C06D84" w:rsidRPr="001E4B33">
        <w:rPr>
          <w:sz w:val="24"/>
          <w:lang w:val="fi-FI"/>
        </w:rPr>
        <w:t>,</w:t>
      </w:r>
      <w:r w:rsidRPr="001E4B33">
        <w:rPr>
          <w:sz w:val="24"/>
          <w:lang w:val="fi-FI"/>
        </w:rPr>
        <w:t xml:space="preserve"> 23.12.2024, ELI: </w:t>
      </w:r>
      <w:hyperlink r:id="rId9" w:history="1">
        <w:r w:rsidRPr="001E4B33">
          <w:rPr>
            <w:rStyle w:val="Hyperlink"/>
            <w:sz w:val="24"/>
            <w:shd w:val="clear" w:color="auto" w:fill="FFFFFF"/>
            <w:lang w:val="fi-FI"/>
          </w:rPr>
          <w:t>http://data.europa.eu/eli/reg/2024/3236/oj</w:t>
        </w:r>
      </w:hyperlink>
      <w:r w:rsidRPr="001E4B33">
        <w:rPr>
          <w:sz w:val="24"/>
          <w:lang w:val="fi-FI"/>
        </w:rPr>
        <w:t xml:space="preserve">. </w:t>
      </w:r>
    </w:p>
  </w:footnote>
  <w:footnote w:id="12">
    <w:p w14:paraId="0C8A6689" w14:textId="15FE87D1" w:rsidR="00414B9D" w:rsidRPr="001E4B33" w:rsidRDefault="00414B9D" w:rsidP="00EB0A70">
      <w:pPr>
        <w:pStyle w:val="FootnoteText"/>
        <w:ind w:left="567" w:hanging="567"/>
        <w:rPr>
          <w:sz w:val="24"/>
          <w:lang w:val="fi-FI"/>
        </w:rPr>
      </w:pPr>
      <w:r w:rsidRPr="00EB0A70">
        <w:rPr>
          <w:rStyle w:val="FootnoteReference"/>
          <w:sz w:val="24"/>
          <w:lang w:val="it-IT"/>
        </w:rPr>
        <w:footnoteRef/>
      </w:r>
      <w:r w:rsidR="00EB0A70" w:rsidRPr="001E4B33">
        <w:rPr>
          <w:sz w:val="24"/>
          <w:lang w:val="fi-FI"/>
        </w:rPr>
        <w:t xml:space="preserve"> </w:t>
      </w:r>
      <w:r w:rsidR="00EB0A70" w:rsidRPr="001E4B33">
        <w:rPr>
          <w:sz w:val="24"/>
          <w:lang w:val="fi-FI"/>
        </w:rPr>
        <w:tab/>
      </w:r>
      <w:r w:rsidRPr="001E4B33">
        <w:rPr>
          <w:sz w:val="24"/>
          <w:lang w:val="fi-FI"/>
        </w:rPr>
        <w:t>GU L, 2024/3242</w:t>
      </w:r>
      <w:r w:rsidR="00C06D84" w:rsidRPr="001E4B33">
        <w:rPr>
          <w:sz w:val="24"/>
          <w:lang w:val="fi-FI"/>
        </w:rPr>
        <w:t>,</w:t>
      </w:r>
      <w:r w:rsidRPr="001E4B33">
        <w:rPr>
          <w:sz w:val="24"/>
          <w:lang w:val="fi-FI"/>
        </w:rPr>
        <w:t xml:space="preserve"> 23.12.2024, ELI: </w:t>
      </w:r>
      <w:hyperlink r:id="rId10" w:history="1">
        <w:r w:rsidRPr="001E4B33">
          <w:rPr>
            <w:rStyle w:val="Hyperlink"/>
            <w:sz w:val="24"/>
            <w:shd w:val="clear" w:color="auto" w:fill="FFFFFF"/>
            <w:lang w:val="fi-FI"/>
          </w:rPr>
          <w:t>http://data.europa.eu/eli/reg/2024/3242/oj</w:t>
        </w:r>
      </w:hyperlink>
      <w:r w:rsidRPr="001E4B33">
        <w:rPr>
          <w:sz w:val="24"/>
          <w:lang w:val="fi-FI"/>
        </w:rPr>
        <w:t xml:space="preserve">. </w:t>
      </w:r>
    </w:p>
  </w:footnote>
  <w:footnote w:id="13">
    <w:p w14:paraId="348C431A" w14:textId="77777777" w:rsidR="00414B9D" w:rsidRPr="00EB0A70" w:rsidRDefault="00414B9D" w:rsidP="00EB0A70">
      <w:pPr>
        <w:pStyle w:val="FootnoteText"/>
        <w:ind w:left="567" w:hanging="567"/>
        <w:rPr>
          <w:sz w:val="24"/>
          <w:lang w:val="it-IT"/>
        </w:rPr>
      </w:pPr>
      <w:r w:rsidRPr="00EB0A70">
        <w:rPr>
          <w:rStyle w:val="FootnoteReference"/>
          <w:sz w:val="24"/>
          <w:lang w:val="it-IT"/>
        </w:rPr>
        <w:footnoteRef/>
      </w:r>
      <w:r w:rsidR="00EB0A70" w:rsidRPr="00EB0A70">
        <w:rPr>
          <w:sz w:val="24"/>
          <w:lang w:val="it-IT"/>
        </w:rPr>
        <w:t xml:space="preserve"> </w:t>
      </w:r>
      <w:r w:rsidR="00EB0A70" w:rsidRPr="00EB0A70">
        <w:rPr>
          <w:sz w:val="24"/>
          <w:lang w:val="it-IT"/>
        </w:rPr>
        <w:tab/>
      </w:r>
      <w:r w:rsidRPr="00EB0A70">
        <w:rPr>
          <w:sz w:val="24"/>
          <w:lang w:val="it-IT"/>
        </w:rPr>
        <w:t>Testi approvati, P10_</w:t>
      </w:r>
      <w:proofErr w:type="gramStart"/>
      <w:r w:rsidRPr="00EB0A70">
        <w:rPr>
          <w:sz w:val="24"/>
          <w:lang w:val="it-IT"/>
        </w:rPr>
        <w:t>TA(</w:t>
      </w:r>
      <w:proofErr w:type="gramEnd"/>
      <w:r w:rsidRPr="00EB0A70">
        <w:rPr>
          <w:sz w:val="24"/>
          <w:lang w:val="it-IT"/>
        </w:rPr>
        <w:t>2025)0090.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4F756" w14:textId="77777777" w:rsidR="00414B9D" w:rsidRPr="00EB0A70" w:rsidRDefault="00414B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8172C" w14:textId="77777777" w:rsidR="00414B9D" w:rsidRPr="00EB0A70" w:rsidRDefault="00414B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544A1" w14:textId="77777777" w:rsidR="00414B9D" w:rsidRPr="00EB0A70" w:rsidRDefault="00414B9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43784" w14:textId="77777777" w:rsidR="00064002" w:rsidRPr="00EB0A70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3D0CB" w14:textId="77777777" w:rsidR="00064002" w:rsidRPr="00EB0A70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4B89B" w14:textId="77777777" w:rsidR="00064002" w:rsidRPr="00EB0A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8003713">
    <w:abstractNumId w:val="9"/>
  </w:num>
  <w:num w:numId="2" w16cid:durableId="375082083">
    <w:abstractNumId w:val="9"/>
  </w:num>
  <w:num w:numId="3" w16cid:durableId="58091693">
    <w:abstractNumId w:val="7"/>
  </w:num>
  <w:num w:numId="4" w16cid:durableId="708378799">
    <w:abstractNumId w:val="7"/>
  </w:num>
  <w:num w:numId="5" w16cid:durableId="1708529618">
    <w:abstractNumId w:val="6"/>
  </w:num>
  <w:num w:numId="6" w16cid:durableId="1165978807">
    <w:abstractNumId w:val="6"/>
  </w:num>
  <w:num w:numId="7" w16cid:durableId="1628775013">
    <w:abstractNumId w:val="5"/>
  </w:num>
  <w:num w:numId="8" w16cid:durableId="136338647">
    <w:abstractNumId w:val="5"/>
  </w:num>
  <w:num w:numId="9" w16cid:durableId="297734088">
    <w:abstractNumId w:val="4"/>
  </w:num>
  <w:num w:numId="10" w16cid:durableId="1338459710">
    <w:abstractNumId w:val="4"/>
  </w:num>
  <w:num w:numId="11" w16cid:durableId="1090854592">
    <w:abstractNumId w:val="8"/>
  </w:num>
  <w:num w:numId="12" w16cid:durableId="1591113217">
    <w:abstractNumId w:val="8"/>
  </w:num>
  <w:num w:numId="13" w16cid:durableId="1233589851">
    <w:abstractNumId w:val="3"/>
  </w:num>
  <w:num w:numId="14" w16cid:durableId="1522891328">
    <w:abstractNumId w:val="3"/>
  </w:num>
  <w:num w:numId="15" w16cid:durableId="1248422473">
    <w:abstractNumId w:val="2"/>
  </w:num>
  <w:num w:numId="16" w16cid:durableId="1930311165">
    <w:abstractNumId w:val="2"/>
  </w:num>
  <w:num w:numId="17" w16cid:durableId="1546404634">
    <w:abstractNumId w:val="1"/>
  </w:num>
  <w:num w:numId="18" w16cid:durableId="12000437">
    <w:abstractNumId w:val="1"/>
  </w:num>
  <w:num w:numId="19" w16cid:durableId="1611820508">
    <w:abstractNumId w:val="0"/>
  </w:num>
  <w:num w:numId="20" w16cid:durableId="1841505714">
    <w:abstractNumId w:val="0"/>
  </w:num>
  <w:num w:numId="21" w16cid:durableId="1400783017">
    <w:abstractNumId w:val="9"/>
  </w:num>
  <w:num w:numId="22" w16cid:durableId="492842935">
    <w:abstractNumId w:val="7"/>
  </w:num>
  <w:num w:numId="23" w16cid:durableId="2100637511">
    <w:abstractNumId w:val="6"/>
  </w:num>
  <w:num w:numId="24" w16cid:durableId="482476886">
    <w:abstractNumId w:val="5"/>
  </w:num>
  <w:num w:numId="25" w16cid:durableId="1507549587">
    <w:abstractNumId w:val="4"/>
  </w:num>
  <w:num w:numId="26" w16cid:durableId="1593662106">
    <w:abstractNumId w:val="8"/>
  </w:num>
  <w:num w:numId="27" w16cid:durableId="809176181">
    <w:abstractNumId w:val="3"/>
  </w:num>
  <w:num w:numId="28" w16cid:durableId="1166477376">
    <w:abstractNumId w:val="2"/>
  </w:num>
  <w:num w:numId="29" w16cid:durableId="1827625643">
    <w:abstractNumId w:val="1"/>
  </w:num>
  <w:num w:numId="30" w16cid:durableId="348878041">
    <w:abstractNumId w:val="0"/>
  </w:num>
  <w:num w:numId="31" w16cid:durableId="244385880">
    <w:abstractNumId w:val="9"/>
  </w:num>
  <w:num w:numId="32" w16cid:durableId="44725039">
    <w:abstractNumId w:val="7"/>
  </w:num>
  <w:num w:numId="33" w16cid:durableId="2002728936">
    <w:abstractNumId w:val="6"/>
  </w:num>
  <w:num w:numId="34" w16cid:durableId="1772552421">
    <w:abstractNumId w:val="5"/>
  </w:num>
  <w:num w:numId="35" w16cid:durableId="698507613">
    <w:abstractNumId w:val="4"/>
  </w:num>
  <w:num w:numId="36" w16cid:durableId="1083718539">
    <w:abstractNumId w:val="8"/>
  </w:num>
  <w:num w:numId="37" w16cid:durableId="824203636">
    <w:abstractNumId w:val="3"/>
  </w:num>
  <w:num w:numId="38" w16cid:durableId="1640302677">
    <w:abstractNumId w:val="2"/>
  </w:num>
  <w:num w:numId="39" w16cid:durableId="579144011">
    <w:abstractNumId w:val="1"/>
  </w:num>
  <w:num w:numId="40" w16cid:durableId="348024527">
    <w:abstractNumId w:val="0"/>
  </w:num>
  <w:num w:numId="41" w16cid:durableId="55443493">
    <w:abstractNumId w:val="10"/>
  </w:num>
  <w:num w:numId="42" w16cid:durableId="1734086193">
    <w:abstractNumId w:val="10"/>
  </w:num>
  <w:num w:numId="43" w16cid:durableId="1993288143">
    <w:abstractNumId w:val="10"/>
  </w:num>
  <w:num w:numId="44" w16cid:durableId="15495333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5/2025"/>
    <w:docVar w:name="dvlangue" w:val="IT"/>
    <w:docVar w:name="dvnumam" w:val="0"/>
    <w:docVar w:name="dvpe" w:val="778.223"/>
    <w:docVar w:name="dvrapporteur" w:val="Relatrice: "/>
    <w:docVar w:name="dvtitre" w:val="Risoluzione legislativa del Parlamento europeo del 13 novembre 2025 sulla proposta di decisione del Parlamento europeo e del Consiglio relativa alla mobilitazione del Fondo di solidarietà dell'Unione europea per fornire assistenza alla Spagna in relazione alle alluvioni verificatesi nella regione spagnola di Valencia nell'ottobre 2024 e alla Francia a seguito dei danni causati dal ciclone Chido abbattutosi a Mayotte nel dicembre 2024 e dal ciclone Garance abbattutosi nella Riunione nel febbraio 2025(COM(2025)0855 – C10-0239/2025 – 2025/0318(BUD))"/>
  </w:docVars>
  <w:rsids>
    <w:rsidRoot w:val="00F842F4"/>
    <w:rsid w:val="00002272"/>
    <w:rsid w:val="00064002"/>
    <w:rsid w:val="000677B9"/>
    <w:rsid w:val="000831BA"/>
    <w:rsid w:val="000A42CC"/>
    <w:rsid w:val="000B6DDB"/>
    <w:rsid w:val="000E7DD9"/>
    <w:rsid w:val="0010095E"/>
    <w:rsid w:val="00125B37"/>
    <w:rsid w:val="00187494"/>
    <w:rsid w:val="001E4B33"/>
    <w:rsid w:val="001F32AE"/>
    <w:rsid w:val="002767FF"/>
    <w:rsid w:val="002B18FE"/>
    <w:rsid w:val="002B5493"/>
    <w:rsid w:val="00343214"/>
    <w:rsid w:val="00343F63"/>
    <w:rsid w:val="00361C00"/>
    <w:rsid w:val="00386AB3"/>
    <w:rsid w:val="00395FA1"/>
    <w:rsid w:val="003E15D4"/>
    <w:rsid w:val="00411CCE"/>
    <w:rsid w:val="00414B9D"/>
    <w:rsid w:val="0041666E"/>
    <w:rsid w:val="00417A05"/>
    <w:rsid w:val="00421060"/>
    <w:rsid w:val="00465057"/>
    <w:rsid w:val="00471C19"/>
    <w:rsid w:val="00485D7C"/>
    <w:rsid w:val="004867E3"/>
    <w:rsid w:val="00494A28"/>
    <w:rsid w:val="004C0004"/>
    <w:rsid w:val="004C5D52"/>
    <w:rsid w:val="0050519A"/>
    <w:rsid w:val="005072A1"/>
    <w:rsid w:val="00514517"/>
    <w:rsid w:val="00545827"/>
    <w:rsid w:val="0055504E"/>
    <w:rsid w:val="00560270"/>
    <w:rsid w:val="0057462B"/>
    <w:rsid w:val="005C2568"/>
    <w:rsid w:val="005F1B17"/>
    <w:rsid w:val="006037C0"/>
    <w:rsid w:val="006631B6"/>
    <w:rsid w:val="00680577"/>
    <w:rsid w:val="00682C8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00C0"/>
    <w:rsid w:val="00930C23"/>
    <w:rsid w:val="0093193B"/>
    <w:rsid w:val="009509D8"/>
    <w:rsid w:val="00950B64"/>
    <w:rsid w:val="00981893"/>
    <w:rsid w:val="009D1F00"/>
    <w:rsid w:val="00A1687D"/>
    <w:rsid w:val="00A43E52"/>
    <w:rsid w:val="00A4678D"/>
    <w:rsid w:val="00A62AF5"/>
    <w:rsid w:val="00A778C7"/>
    <w:rsid w:val="00A81073"/>
    <w:rsid w:val="00AB441E"/>
    <w:rsid w:val="00AB6293"/>
    <w:rsid w:val="00AE0928"/>
    <w:rsid w:val="00AF3B82"/>
    <w:rsid w:val="00B12E95"/>
    <w:rsid w:val="00B22876"/>
    <w:rsid w:val="00B25BD0"/>
    <w:rsid w:val="00B558F0"/>
    <w:rsid w:val="00BD48FE"/>
    <w:rsid w:val="00BD7BD8"/>
    <w:rsid w:val="00BE6ADC"/>
    <w:rsid w:val="00BF3A9E"/>
    <w:rsid w:val="00C05BFE"/>
    <w:rsid w:val="00C06D84"/>
    <w:rsid w:val="00C23CD4"/>
    <w:rsid w:val="00C61C0C"/>
    <w:rsid w:val="00C861C2"/>
    <w:rsid w:val="00C941CB"/>
    <w:rsid w:val="00CC2357"/>
    <w:rsid w:val="00CF071A"/>
    <w:rsid w:val="00D058B8"/>
    <w:rsid w:val="00D56C11"/>
    <w:rsid w:val="00D61BBE"/>
    <w:rsid w:val="00D7628B"/>
    <w:rsid w:val="00D834A0"/>
    <w:rsid w:val="00D872DF"/>
    <w:rsid w:val="00D91E21"/>
    <w:rsid w:val="00DA7FCD"/>
    <w:rsid w:val="00E365E1"/>
    <w:rsid w:val="00E820A4"/>
    <w:rsid w:val="00EB006A"/>
    <w:rsid w:val="00EB0A70"/>
    <w:rsid w:val="00EB4772"/>
    <w:rsid w:val="00ED169E"/>
    <w:rsid w:val="00ED4235"/>
    <w:rsid w:val="00EE6167"/>
    <w:rsid w:val="00F04346"/>
    <w:rsid w:val="00F075DC"/>
    <w:rsid w:val="00F149E9"/>
    <w:rsid w:val="00F5134D"/>
    <w:rsid w:val="00F74202"/>
    <w:rsid w:val="00F842F4"/>
    <w:rsid w:val="00F87713"/>
    <w:rsid w:val="00FB228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E9ABF"/>
  <w15:chartTrackingRefBased/>
  <w15:docId w15:val="{BCFCE1A1-37BA-48A8-94BA-1BBC70E0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14B9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414B9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414B9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14B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14B9D"/>
    <w:rPr>
      <w:sz w:val="24"/>
      <w:lang w:val="it-IT"/>
    </w:rPr>
  </w:style>
  <w:style w:type="paragraph" w:customStyle="1" w:styleId="NormalBold24a">
    <w:name w:val="NormalBold24a"/>
    <w:basedOn w:val="Normal"/>
    <w:rsid w:val="00414B9D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414B9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14B9D"/>
    <w:pPr>
      <w:spacing w:before="480" w:after="240"/>
    </w:pPr>
  </w:style>
  <w:style w:type="character" w:styleId="Hyperlink">
    <w:name w:val="Hyperlink"/>
    <w:basedOn w:val="DefaultParagraphFont"/>
    <w:uiPriority w:val="99"/>
    <w:rsid w:val="00414B9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B6DDB"/>
    <w:rPr>
      <w:sz w:val="24"/>
      <w:lang w:val="it-IT"/>
    </w:rPr>
  </w:style>
  <w:style w:type="character" w:styleId="FollowedHyperlink">
    <w:name w:val="FollowedHyperlink"/>
    <w:basedOn w:val="DefaultParagraphFont"/>
    <w:rsid w:val="000B6DD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5BD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C06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6D8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6D84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C06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6D84"/>
    <w:rPr>
      <w:b/>
      <w:bCs/>
      <w:lang w:val="it-IT"/>
    </w:rPr>
  </w:style>
  <w:style w:type="character" w:styleId="Emphasis">
    <w:name w:val="Emphasis"/>
    <w:basedOn w:val="DefaultParagraphFont"/>
    <w:qFormat/>
    <w:rsid w:val="00682C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241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s://www.eea.europa.eu/publications/european-climate-risk-assessment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4/3242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4/323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2006</Words>
  <Characters>11439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Cecilia Lombardini</cp:lastModifiedBy>
  <cp:revision>3</cp:revision>
  <cp:lastPrinted>2004-11-19T15:42:00Z</cp:lastPrinted>
  <dcterms:created xsi:type="dcterms:W3CDTF">2025-11-14T10:43:00Z</dcterms:created>
  <dcterms:modified xsi:type="dcterms:W3CDTF">2026-01-09T08:00:00Z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P10_TA(2025)0274_</vt:lpwstr>
  </property>
  <property fmtid="{D5CDD505-2E9C-101B-9397-08002B2CF9AE}" pid="4" name="&lt;Type&gt;">
    <vt:lpwstr>RR</vt:lpwstr>
  </property>
</Properties>
</file>