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7031" w14:paraId="37B88A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DAAFF5" w14:textId="77777777" w:rsidR="00751A4A" w:rsidRPr="00C17031" w:rsidRDefault="003A6BB6" w:rsidP="0010095E">
            <w:pPr>
              <w:pStyle w:val="EPName"/>
            </w:pPr>
            <w:r w:rsidRPr="00C17031">
              <w:t>Parlament Europejski</w:t>
            </w:r>
          </w:p>
          <w:p w14:paraId="329D35CA" w14:textId="77777777" w:rsidR="00751A4A" w:rsidRPr="00C170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7031">
              <w:t>2024</w:t>
            </w:r>
            <w:r w:rsidR="00817416" w:rsidRPr="00C17031">
              <w:t>-202</w:t>
            </w:r>
            <w:r w:rsidRPr="00C17031">
              <w:t>9</w:t>
            </w:r>
          </w:p>
        </w:tc>
        <w:tc>
          <w:tcPr>
            <w:tcW w:w="2268" w:type="dxa"/>
            <w:shd w:val="clear" w:color="auto" w:fill="auto"/>
          </w:tcPr>
          <w:p w14:paraId="54255847" w14:textId="77777777" w:rsidR="00751A4A" w:rsidRPr="00C17031" w:rsidRDefault="00187494" w:rsidP="0010095E">
            <w:pPr>
              <w:pStyle w:val="EPLogo"/>
            </w:pPr>
            <w:r w:rsidRPr="00C17031">
              <w:rPr>
                <w:noProof/>
                <w:lang w:eastAsia="ja-JP"/>
              </w:rPr>
              <w:drawing>
                <wp:inline distT="0" distB="0" distL="0" distR="0" wp14:anchorId="649EEF4E" wp14:editId="404F6D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965638" w14:textId="77777777" w:rsidR="00D058B8" w:rsidRPr="00C17031" w:rsidRDefault="00D058B8" w:rsidP="004C5D52">
      <w:pPr>
        <w:pStyle w:val="LineTop"/>
      </w:pPr>
    </w:p>
    <w:p w14:paraId="4B766F38" w14:textId="77777777" w:rsidR="00680577" w:rsidRPr="00C17031" w:rsidRDefault="003A6BB6" w:rsidP="00680577">
      <w:pPr>
        <w:pStyle w:val="EPBodyTA1"/>
      </w:pPr>
      <w:r w:rsidRPr="00C17031">
        <w:t>TEKSTY PRZYJĘTE</w:t>
      </w:r>
    </w:p>
    <w:p w14:paraId="19959F1F" w14:textId="77777777" w:rsidR="00D058B8" w:rsidRPr="00C17031" w:rsidRDefault="00D058B8" w:rsidP="00D058B8">
      <w:pPr>
        <w:pStyle w:val="LineBottom"/>
      </w:pPr>
    </w:p>
    <w:p w14:paraId="1C0631B2" w14:textId="361806A8" w:rsidR="003A6BB6" w:rsidRPr="00C17031" w:rsidRDefault="003A6BB6" w:rsidP="003A6BB6">
      <w:pPr>
        <w:pStyle w:val="ATHeading1"/>
      </w:pPr>
      <w:bookmarkStart w:id="0" w:name="TANumber"/>
      <w:r w:rsidRPr="00C17031">
        <w:t>P10_TA(2025)0</w:t>
      </w:r>
      <w:r w:rsidR="001E20D9">
        <w:t>274</w:t>
      </w:r>
      <w:bookmarkEnd w:id="0"/>
    </w:p>
    <w:p w14:paraId="34AD2D71" w14:textId="11D10876" w:rsidR="003A6BB6" w:rsidRPr="009659BD" w:rsidRDefault="009659BD" w:rsidP="009659BD">
      <w:pPr>
        <w:pStyle w:val="ATHeading2"/>
      </w:pPr>
      <w:r w:rsidRPr="009659BD">
        <w:t>Uruchomienie Funduszu Solidarności Unii Europejskiej: pomoc dla Hiszpanii i Francji w związku z</w:t>
      </w:r>
      <w:r>
        <w:t xml:space="preserve"> </w:t>
      </w:r>
      <w:r w:rsidRPr="009659BD">
        <w:t>klęskami żywiołowymi z 2024 i 2025 r.</w:t>
      </w:r>
    </w:p>
    <w:p w14:paraId="72B50F3B" w14:textId="77777777" w:rsidR="003A6BB6" w:rsidRPr="00C17031" w:rsidRDefault="003A6BB6" w:rsidP="003A6BB6">
      <w:pPr>
        <w:rPr>
          <w:i/>
          <w:vanish/>
        </w:rPr>
      </w:pPr>
      <w:r w:rsidRPr="00C17031">
        <w:rPr>
          <w:i/>
        </w:rPr>
        <w:fldChar w:fldCharType="begin"/>
      </w:r>
      <w:r w:rsidRPr="00C17031">
        <w:rPr>
          <w:i/>
        </w:rPr>
        <w:instrText xml:space="preserve"> TC"(</w:instrText>
      </w:r>
      <w:bookmarkStart w:id="1" w:name="DocNumber"/>
      <w:r w:rsidRPr="00C17031">
        <w:rPr>
          <w:i/>
        </w:rPr>
        <w:instrText>A10-0215/2025</w:instrText>
      </w:r>
      <w:bookmarkEnd w:id="1"/>
      <w:r w:rsidRPr="00C17031">
        <w:rPr>
          <w:i/>
        </w:rPr>
        <w:instrText xml:space="preserve"> - Sprawozdawca: Sandra Gómez López)"\l3 \n&gt; \* MERGEFORMAT </w:instrText>
      </w:r>
      <w:r w:rsidRPr="00C17031">
        <w:rPr>
          <w:i/>
        </w:rPr>
        <w:fldChar w:fldCharType="end"/>
      </w:r>
    </w:p>
    <w:p w14:paraId="271639B4" w14:textId="77777777" w:rsidR="003A6BB6" w:rsidRPr="00C17031" w:rsidRDefault="003A6BB6" w:rsidP="003A6BB6">
      <w:pPr>
        <w:rPr>
          <w:vanish/>
        </w:rPr>
      </w:pPr>
      <w:bookmarkStart w:id="2" w:name="Commission"/>
      <w:r w:rsidRPr="00C17031">
        <w:rPr>
          <w:vanish/>
        </w:rPr>
        <w:t>Komisja Budżetowa</w:t>
      </w:r>
      <w:bookmarkEnd w:id="2"/>
    </w:p>
    <w:p w14:paraId="1AB07E31" w14:textId="77777777" w:rsidR="003A6BB6" w:rsidRPr="00C17031" w:rsidRDefault="003A6BB6" w:rsidP="003A6BB6">
      <w:pPr>
        <w:rPr>
          <w:vanish/>
        </w:rPr>
      </w:pPr>
      <w:bookmarkStart w:id="3" w:name="PE"/>
      <w:r w:rsidRPr="00C17031">
        <w:rPr>
          <w:vanish/>
        </w:rPr>
        <w:t>PE778.223</w:t>
      </w:r>
      <w:bookmarkEnd w:id="3"/>
    </w:p>
    <w:p w14:paraId="7FE5E26E" w14:textId="44266858" w:rsidR="003A6BB6" w:rsidRPr="00C17031" w:rsidRDefault="003A6BB6" w:rsidP="003A6BB6">
      <w:pPr>
        <w:pStyle w:val="ATHeading3"/>
      </w:pPr>
      <w:bookmarkStart w:id="4" w:name="Sujet"/>
      <w:r w:rsidRPr="00C17031">
        <w:t xml:space="preserve">Rezolucja Parlamentu Europejskiego z dnia </w:t>
      </w:r>
      <w:r w:rsidR="009659BD">
        <w:t>13 listopada</w:t>
      </w:r>
      <w:r w:rsidRPr="00C17031">
        <w:t xml:space="preserve"> 2025 r. w sprawie wniosku dotyczącego decyzji Parlamentu Europejskiego i Rady w sprawie uruchomienia Funduszu Solidarności Unii Europejskiej w celu udzielenia pomocy Hiszpanii w związku z powodziami w regionie Walencji w Hiszpanii w październiku 2024 r. i Francji w następstwie szkód spowodowanych przez cyklon </w:t>
      </w:r>
      <w:proofErr w:type="spellStart"/>
      <w:r w:rsidRPr="00C17031">
        <w:t>Chido</w:t>
      </w:r>
      <w:proofErr w:type="spellEnd"/>
      <w:r w:rsidRPr="00C17031">
        <w:t xml:space="preserve"> na Majotcie w grudniu 2024 r. i przez cyklon </w:t>
      </w:r>
      <w:proofErr w:type="spellStart"/>
      <w:r w:rsidRPr="00C17031">
        <w:t>Garance</w:t>
      </w:r>
      <w:proofErr w:type="spellEnd"/>
      <w:r w:rsidRPr="00C17031">
        <w:t xml:space="preserve"> na Reunion w lutym 2025 r.</w:t>
      </w:r>
      <w:bookmarkEnd w:id="4"/>
      <w:r w:rsidRPr="00C17031">
        <w:t xml:space="preserve"> </w:t>
      </w:r>
      <w:bookmarkStart w:id="5" w:name="References"/>
      <w:r w:rsidRPr="00C17031">
        <w:t>(</w:t>
      </w:r>
      <w:proofErr w:type="gramStart"/>
      <w:r w:rsidRPr="00C17031">
        <w:t>COM(</w:t>
      </w:r>
      <w:proofErr w:type="gramEnd"/>
      <w:r w:rsidRPr="00C17031">
        <w:t>2025)0855 – C10-0239/2025 – 2025/0318(BUD))</w:t>
      </w:r>
      <w:bookmarkEnd w:id="5"/>
    </w:p>
    <w:p w14:paraId="7DF72D8C" w14:textId="77777777" w:rsidR="00C175F9" w:rsidRPr="00C17031" w:rsidRDefault="00C175F9" w:rsidP="00C175F9">
      <w:pPr>
        <w:pStyle w:val="EPComma"/>
        <w:rPr>
          <w:noProof/>
        </w:rPr>
      </w:pPr>
      <w:r w:rsidRPr="00C17031">
        <w:rPr>
          <w:i/>
        </w:rPr>
        <w:t>Parlament Europejski</w:t>
      </w:r>
      <w:r w:rsidRPr="00C17031">
        <w:t>,</w:t>
      </w:r>
    </w:p>
    <w:p w14:paraId="0E9B3DE3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wniosek Komisji przedłożony Parlamentowi Europejskiemu i Radzie (</w:t>
      </w:r>
      <w:proofErr w:type="gramStart"/>
      <w:r w:rsidRPr="00C17031">
        <w:t>COM(</w:t>
      </w:r>
      <w:proofErr w:type="gramEnd"/>
      <w:r w:rsidRPr="00C17031">
        <w:t>2025)0855 – C10</w:t>
      </w:r>
      <w:r w:rsidRPr="00C17031">
        <w:noBreakHyphen/>
        <w:t>0239/2025),</w:t>
      </w:r>
    </w:p>
    <w:p w14:paraId="74A1E1D6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rozporządzenie Rady (WE) nr 2012/2002 z dnia 11 listopada 2002 r. ustanawiające Fundusz Solidarności Unii Europejskiej</w:t>
      </w:r>
      <w:r w:rsidRPr="00C17031">
        <w:rPr>
          <w:noProof/>
          <w:vertAlign w:val="superscript"/>
        </w:rPr>
        <w:footnoteReference w:id="1"/>
      </w:r>
      <w:r w:rsidRPr="00C17031">
        <w:t>,</w:t>
      </w:r>
    </w:p>
    <w:p w14:paraId="0161CDAD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 xml:space="preserve">uwzględniając rozporządzenie Rady (UE, </w:t>
      </w:r>
      <w:proofErr w:type="spellStart"/>
      <w:r w:rsidRPr="00C17031">
        <w:t>Euratom</w:t>
      </w:r>
      <w:proofErr w:type="spellEnd"/>
      <w:r w:rsidRPr="00C17031">
        <w:t>) 2020/2093 z dnia 17 grudnia 2020 r. określające wieloletnie ramy finansowe na lata 2021–2027</w:t>
      </w:r>
      <w:r w:rsidRPr="00C17031">
        <w:rPr>
          <w:noProof/>
          <w:vertAlign w:val="superscript"/>
        </w:rPr>
        <w:footnoteReference w:id="2"/>
      </w:r>
      <w:r w:rsidRPr="00C17031">
        <w:t>, w szczególności jego art. 9,</w:t>
      </w:r>
    </w:p>
    <w:p w14:paraId="201C0DF0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C17031">
        <w:rPr>
          <w:noProof/>
          <w:vertAlign w:val="superscript"/>
        </w:rPr>
        <w:footnoteReference w:id="3"/>
      </w:r>
      <w:r w:rsidRPr="00C17031">
        <w:t>, w szczególności jego pkt 10,</w:t>
      </w:r>
    </w:p>
    <w:p w14:paraId="6F4F6A7B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rozporządzenie Parlamentu Europejskiego i Rady (UE) 2021/1058 z dnia 24 czerwca 2021 r. w sprawie Europejskiego Funduszu Rozwoju Regionalnego i Funduszu Spójności</w:t>
      </w:r>
      <w:r w:rsidRPr="00C17031">
        <w:rPr>
          <w:noProof/>
          <w:vertAlign w:val="superscript"/>
        </w:rPr>
        <w:footnoteReference w:id="4"/>
      </w:r>
      <w:r w:rsidRPr="00C17031">
        <w:t xml:space="preserve">, </w:t>
      </w:r>
    </w:p>
    <w:p w14:paraId="54B4E229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 xml:space="preserve">uwzględniając rozporządzenie Parlamentu Europejskiego i Rady (UE) 2021/1057 z dnia </w:t>
      </w:r>
      <w:r w:rsidRPr="00C17031">
        <w:lastRenderedPageBreak/>
        <w:t>24 czerwca 2021 r. ustanawiające program Europejski Fundusz Społeczny Plus (ESF+)</w:t>
      </w:r>
      <w:r w:rsidRPr="00C17031">
        <w:rPr>
          <w:noProof/>
          <w:vertAlign w:val="superscript"/>
        </w:rPr>
        <w:footnoteReference w:id="5"/>
      </w:r>
      <w:r w:rsidRPr="00C17031">
        <w:t xml:space="preserve">, </w:t>
      </w:r>
    </w:p>
    <w:p w14:paraId="3A552FAA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rozporządzenie Parlamentu Europejskiego i Rady (UE) 2021/2115 z dnia 2 grudnia 2021 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 1305/2013 i (UE) nr 1307/2013</w:t>
      </w:r>
      <w:r w:rsidRPr="00C17031">
        <w:rPr>
          <w:noProof/>
          <w:vertAlign w:val="superscript"/>
        </w:rPr>
        <w:footnoteReference w:id="6"/>
      </w:r>
      <w:r w:rsidRPr="00C17031">
        <w:t xml:space="preserve">, </w:t>
      </w:r>
    </w:p>
    <w:p w14:paraId="71124E64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sprawozdanie Komisji Zatrudnienia i Spraw Socjalnych oraz Komisji Rozwoju Regionalnego (A10-0031/2024) w ramach procedury ustawodawczej mającej na celu przyjęcie rozporządzenia Parlamentu Europejskiego i Rady (UE) 2024/3236 z dnia 19 grudnia 2024 r. dotyczącego zmiany rozporządzenia (UE) 2021/1057 i (UE) 2021/1058 w odniesieniu do regionalnego wsparcia na rzecz odbudowy w sytuacjach nadzwyczajnych (RESTORE)</w:t>
      </w:r>
      <w:r w:rsidRPr="00C17031">
        <w:rPr>
          <w:noProof/>
          <w:vertAlign w:val="superscript"/>
        </w:rPr>
        <w:footnoteReference w:id="7"/>
      </w:r>
      <w:r w:rsidRPr="00C17031">
        <w:t xml:space="preserve">, a w szczególności ocenę budżetową Komisji Budżetowej załączoną do tego sprawozdania, </w:t>
      </w:r>
    </w:p>
    <w:p w14:paraId="66565706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swoją rezolucję z dnia 7 maja 2025 r. w sprawie zmienionego budżetu długoterminowego dla Unii w zmieniającym się świecie</w:t>
      </w:r>
      <w:r w:rsidRPr="00C17031">
        <w:rPr>
          <w:noProof/>
          <w:vertAlign w:val="superscript"/>
        </w:rPr>
        <w:footnoteReference w:id="8"/>
      </w:r>
      <w:r w:rsidRPr="00C17031">
        <w:t xml:space="preserve">, </w:t>
      </w:r>
    </w:p>
    <w:p w14:paraId="19557565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sprawozdanie EEA nr 1/2024 – Europejska ocena ryzyka związanego z klimatem (EUCRA)</w:t>
      </w:r>
      <w:r w:rsidRPr="00C17031">
        <w:rPr>
          <w:noProof/>
          <w:vertAlign w:val="superscript"/>
        </w:rPr>
        <w:footnoteReference w:id="9"/>
      </w:r>
      <w:r w:rsidRPr="00C17031">
        <w:t>,</w:t>
      </w:r>
    </w:p>
    <w:p w14:paraId="7E8572F6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–</w:t>
      </w:r>
      <w:r w:rsidRPr="00C17031">
        <w:tab/>
        <w:t>uwzględniając sprawozdanie Komisji Budżetowej (A10-0215/2025),</w:t>
      </w:r>
    </w:p>
    <w:p w14:paraId="60984E50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A.</w:t>
      </w:r>
      <w:r w:rsidRPr="00C17031">
        <w:tab/>
        <w:t>mając na uwadze, że w okresie od 28 października do 4 listopada 2024 r. cały region Walencji w Hiszpanii nawiedziła burza, a ulewne opady deszczu w jej trakcie doprowadziły do poważnych powodzi, w wyniku których powstały łączne bezpośrednie szkody szacowane przez Komisję na 18,08 mld EUR oraz ucierpiało 845 000 osób z 84 gmin, 170 placówek oświatowych, ponad 50 instytucji zdrowia publicznego i infrastruktura publiczna; mając na uwadze, że w wyniku tych powodzi zginęło co najmniej 229 osób;</w:t>
      </w:r>
    </w:p>
    <w:p w14:paraId="4E013225" w14:textId="77777777" w:rsidR="00C175F9" w:rsidRPr="00C17031" w:rsidRDefault="00C175F9" w:rsidP="00C175F9">
      <w:pPr>
        <w:pStyle w:val="NormalHanging12a"/>
        <w:rPr>
          <w:bCs/>
          <w:iCs/>
          <w:noProof/>
        </w:rPr>
      </w:pPr>
      <w:r w:rsidRPr="00C17031">
        <w:t>B.</w:t>
      </w:r>
      <w:r w:rsidRPr="00C17031">
        <w:tab/>
        <w:t>mając na uwadze, że szacuje się, iż ogromny wpływ burz i powodzi na gospodarkę regionów wynosi 18 mld EUR i dotyczy 63 obszarów przemysłowych, 64 000 przedsiębiorstw (z czego 99,6 % to MŚP), 250 000 pracowników i 243 388 wniosków o odszkodowanie, zgodnie z badaniami przedstawionymi przez rząd regionalny Walencji i Walencką Konfederację Biznesu;</w:t>
      </w:r>
    </w:p>
    <w:p w14:paraId="1EEDA28A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C.</w:t>
      </w:r>
      <w:r w:rsidRPr="00C17031">
        <w:tab/>
        <w:t xml:space="preserve">mając na uwadze, że 14 grudnia 2024 r. oko cyklonu </w:t>
      </w:r>
      <w:proofErr w:type="spellStart"/>
      <w:r w:rsidRPr="00C17031">
        <w:t>Chido</w:t>
      </w:r>
      <w:proofErr w:type="spellEnd"/>
      <w:r w:rsidRPr="00C17031">
        <w:t xml:space="preserve"> uderzyło w wyspę Majotta należącą do Francji, a wiatr w jego trakcie, przekraczający prędkość 180 km/h, oraz obfite opady deszczu w połączeniu z wysokimi falami spowodowały łączne bezpośrednie szkody szacowane przez Komisję na 3,6 mld EUR; mając na uwadze, że w wyniku tego cyklonu ucierpiało 337 000 osób, a co najmniej 39 osób zginęło; mając </w:t>
      </w:r>
      <w:r w:rsidRPr="00C17031">
        <w:lastRenderedPageBreak/>
        <w:t>na uwadze, że 200 osób jest wciąż poszukiwanych;</w:t>
      </w:r>
    </w:p>
    <w:p w14:paraId="1D814D98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D.</w:t>
      </w:r>
      <w:r w:rsidRPr="00C17031">
        <w:tab/>
        <w:t xml:space="preserve">mając na uwadze, że 28 lutego 2025 r. cyklon </w:t>
      </w:r>
      <w:proofErr w:type="spellStart"/>
      <w:r w:rsidRPr="00C17031">
        <w:t>Garance</w:t>
      </w:r>
      <w:proofErr w:type="spellEnd"/>
      <w:r w:rsidRPr="00C17031">
        <w:t xml:space="preserve"> uderzył w wyspę Reunion należącą do Francji, a wiatr w jego trakcie, osiągający prędkość do 215 km/h, obfite opady deszczu i niebezpieczne warunki na morzu spowodowały łączne bezpośrednie szkody szacowane przez władze Francji na 849,45 mln EUR, głównie w sieci energetycznej i infrastrukturze łączności; mając na uwadze, że w wyniku tego cyklonu ucierpiało 160 000 osób, a co najmniej 4 osoby zginęły;</w:t>
      </w:r>
    </w:p>
    <w:p w14:paraId="048A824F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1.</w:t>
      </w:r>
      <w:r w:rsidRPr="00C17031">
        <w:tab/>
        <w:t>wyraża najgłębszą solidarność ze wszystkimi ofiarami, ich rodzinami i wszystkimi osobami dotkniętymi niszczycielskimi powodziami w regionie Walencji w Hiszpanii i niszczycielskimi cyklonami na należących do Francji Majotcie i Reunion, a także z władzami krajowymi, regionalnymi i lokalnymi zaangażowanymi w działania pomocowe;</w:t>
      </w:r>
    </w:p>
    <w:p w14:paraId="50B5CC1E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2.</w:t>
      </w:r>
      <w:r w:rsidRPr="00C17031">
        <w:tab/>
        <w:t>z zadowoleniem przyjmuje przedmiotową decyzję jako namacalną i widoczną formę solidarności Unii z jej obywatelami i regionami na dotkniętych klęską obszarach, ale zauważa, że taka solidarność nie może zastąpić bezpośredniej odpowiedzialności władz lokalnych, regionalnych i krajowych za zapobieganie klęskom żywiołowym związanym z klimatem i zarządzanie nimi;</w:t>
      </w:r>
    </w:p>
    <w:p w14:paraId="6964764F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3.</w:t>
      </w:r>
      <w:r w:rsidRPr="00C17031">
        <w:tab/>
        <w:t>ponownie podkreśla, jak ważne jest informowanie społeczeństwa o wymiernych korzyściach płynących z Funduszu Solidarności Unii Europejskiej (FSUE), również z myślą o tym, aby nadal zwiększać wiedzę obywateli o narzędziach i programach Unii;</w:t>
      </w:r>
    </w:p>
    <w:p w14:paraId="4E1BA59E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4.</w:t>
      </w:r>
      <w:r w:rsidRPr="00C17031">
        <w:tab/>
        <w:t xml:space="preserve">podkreśla rosnącą liczbę poważnych, niszczycielskich i śmiercionośnych klęsk żywiołowych w Europie oraz wzywa państwa członkowskie i Komisję do zwiększenia inwestycji w profilaktykę, infrastrukturę publiczną, środki łagodzenia zmiany klimatu i przystosowania się do niej, a także środki gotowości na sytuacje nadzwyczajne, aby unikać ofiar śmiertelnych i strat gospodarczych; wzywa państwa członkowskie do uwzględnienia faktu, że zagrożenia związane z klimatem i innymi klęskami żywiołowymi w nieproporcjonalnym stopniu dotyczą słabszych grup społecznych oraz małych i średnich przedsiębiorstw ze względu na czynniki społeczno-gospodarcze i demograficzne, a także obszarów podatnych na te zagrożenia, takich jak regiony najbardziej oddalone; uważa, że zasadnicze znaczenie ma zapewnienie wysokiego poziomu demokratycznej kontroli nad FSUE przez władzę budżetową; przypomina, że FSUE dysponuje ograniczonym budżetem i nie może być postrzegany jako jedyny instrument reagowania na poważne klęski żywiołowe; w związku z tym wzywa do oceny zdolności finansowej budżetu Unii oraz do rozważenia ewentualnego zwiększenia jego zasobów, aby zapewnić obywatelom pomoc proporcjonalną do skali takich klęsk; zauważa, że zwiększenie takiej pomocy umożliwiłoby państwom członkowskim skuteczniejsze i szybsze reagowanie na klęski żywiołowe, przy jednoczesnym zachowaniu innych instrumentów, w szczególności funduszy spójności, których głównym celem nie jest reagowanie na klęski żywiołowe; </w:t>
      </w:r>
    </w:p>
    <w:p w14:paraId="15AD6DFA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5.</w:t>
      </w:r>
      <w:r w:rsidRPr="00C17031">
        <w:tab/>
        <w:t xml:space="preserve">podkreśla, że FSUE jest jedynie instrumentem naprawczym i że Unia powinna również w dalszym ciągu podejmować działania polegające na przystosowywaniu się do zmiany klimatu i łagodzeniu jej poprzez wspieranie europejskich i krajowych strategii politycznych mających na celu zapobieganie klęskom żywiołowym, a także poprzez wspieranie zasady „lepszej odbudowy” we wszystkich swoich działaniach; podkreśla, że w sprawozdaniu EEA nr 1/2024 pt. „Europejska ocena ryzyka związanego z </w:t>
      </w:r>
      <w:r w:rsidRPr="00C17031">
        <w:lastRenderedPageBreak/>
        <w:t>klimatem” ostrzegano, że Unia nie jest przygotowana na skutki zmiany klimatu, oraz podkreśla potrzebę podjęcia działań, aby zidentyfikowane zagrożenia klimatyczne nie osiągnęły krytycznych poziomów; wzywa państwa członkowskie i Komisję do podjęcia niezbędnych środków, aby skłonić Unię do wypełnienia zobowiązań podjętych w porozumieniu paryskim; przypomina, że potrzebna jest skuteczna synergia z innymi strategiami politycznymi i programami Unii, oraz podkreśla, że państwa członkowskie powinny jak najlepiej wykorzystywać możliwości finansowania, w szczególności w ramach Europejskiego Funduszu Rozwoju Regionalnego, Europejskiego Funduszu Społecznego Plus i programów rozwoju obszarów wiejskich; wzywa Komisję do pilnej oceny wszelkich uzasadnionych wniosków państw członkowskich o przekierowanie środków w ramach krajowych planów odbudowy i zwiększania odporności na pomoc w przypadku klęsk żywiołowych, zgodnie z zasadami określonymi w rozporządzeniu Parlamentu Europejskiego i Rady (UE) 2021/241</w:t>
      </w:r>
      <w:r w:rsidRPr="00C17031">
        <w:rPr>
          <w:noProof/>
          <w:vertAlign w:val="superscript"/>
        </w:rPr>
        <w:footnoteReference w:id="10"/>
      </w:r>
      <w:r w:rsidRPr="00C17031">
        <w:t>, w szczególności biorąc pod uwagę wysoki odsetek środków z tego mechanizmu, których jeszcze nie wykorzystano; podkreśla również potrzebę wdrożenia środków zapobiegawczych, nie tylko w celu ograniczenia przyszłych szkód, ale również w celu zapobieżenia zaostrzeniu warunków ryzyka w następstwie katastrof, takich jak powodzie, pożary lasów, osuwiska lub wysychanie jezior i rzek; podkreśla ponadto zagrożenia, jakie ekstremalne zjawiska pogodowe i klęski żywiołowe, takie jak fale upałów, stanowią dla zdrowia publicznego w całej Europie, i wzywa Komisję do uwzględnienia tego aspektu w odpowiednich strategiach politycznych; zachęca do korzystania z innowacyjnych narzędzi cyfrowych, danych satelitarnych (np. Copernicus) i systemów wczesnego ostrzegania w celu zwiększenia gotowości na wypadek klęsk żywiołowych; podkreśla znaczenie odpowiedniej elastyczności między poszczególnymi programami; podkreśla, że pomoc w ramach FSUE nie powinna być udzielana ze szkodą dla finansowania unijnego otrzymywanego przez państwa członkowskie w ramach innych strategii politycznych czy programów Unii; przypomina, że państwa członkowskie mogą przyznawać pomoc państwa zgodnie z obowiązującymi przepisami unijnymi, zwłaszcza przedsiębiorstwom rolnym, które poniosły szkody w wyniku klęsk żywiołowych;</w:t>
      </w:r>
    </w:p>
    <w:p w14:paraId="3960BF8D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6.</w:t>
      </w:r>
      <w:r w:rsidRPr="00C17031">
        <w:tab/>
        <w:t>przypomina, że RESTORE</w:t>
      </w:r>
      <w:r w:rsidRPr="00C17031">
        <w:rPr>
          <w:noProof/>
          <w:vertAlign w:val="superscript"/>
        </w:rPr>
        <w:footnoteReference w:id="11"/>
      </w:r>
      <w:r w:rsidRPr="00C17031">
        <w:t xml:space="preserve"> i szczególne środki w ramach Europejskiego Funduszu Rolnego na rzecz Rozwoju Obszarów Wiejskich (EFRROW)</w:t>
      </w:r>
      <w:r w:rsidRPr="00C17031">
        <w:rPr>
          <w:noProof/>
          <w:vertAlign w:val="superscript"/>
        </w:rPr>
        <w:footnoteReference w:id="12"/>
      </w:r>
      <w:r w:rsidRPr="00C17031">
        <w:t xml:space="preserve"> zapewniają dodatkową pomoc państwom członkowskim dotkniętym klęskami żywiołowymi dzięki dodatkowej elastyczności w wykorzystaniu funduszy; podkreśla, że państwa członkowskie powinny wykorzystać te możliwości; </w:t>
      </w:r>
    </w:p>
    <w:p w14:paraId="4FA152BF" w14:textId="77777777" w:rsidR="00C175F9" w:rsidRPr="00C17031" w:rsidRDefault="00C175F9" w:rsidP="00C175F9">
      <w:pPr>
        <w:pStyle w:val="NormalHanging12a"/>
        <w:rPr>
          <w:bCs/>
          <w:iCs/>
        </w:rPr>
      </w:pPr>
      <w:r w:rsidRPr="00C17031">
        <w:t>7.</w:t>
      </w:r>
      <w:r w:rsidRPr="00C17031">
        <w:tab/>
        <w:t>ubolewa, że czas potrzebny na uzyskanie całej kwoty dotacji z FSUE przez beneficjenta wynosi średnio rok; przypomina o znaczeniu szybkiej i solidnej oceny szkód, która będzie należycie uwzględniać skutki gospodarcze, i apeluje o wzmożenie wysiłków operacyjnych w celu skrócenia średniego czasu uruchamiania zaliczek przy jednoczesnym zapewnieniu ochrony budżetu Unii; zauważa, że metodyka obliczania całkowitej kwoty pomocy mogłaby w większym stopniu uwzględniać stosunek całkowitej wartości szkód bezpośrednich do DNB terytorium dotkniętego klęską żywiołową, w szczególności, jeśli są nią dotknięte najbardziej oddalone regiony;</w:t>
      </w:r>
    </w:p>
    <w:p w14:paraId="7AF05102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lastRenderedPageBreak/>
        <w:t>8.</w:t>
      </w:r>
      <w:r w:rsidRPr="00C17031">
        <w:tab/>
        <w:t>podkreśla pilną potrzebę uruchomienia natychmiastowej pomocy finansowej za pośrednictwem FSUE, by wsparcie mogło dotrzeć do dotkniętych regionów w odpowiednim czasie, co wspomoże szybką i trwałą odbudowę; podkreśla, jak ważne jest skrócenie czasu między złożeniem wniosku o pomoc z FSUE a podjęciem decyzji w sprawie finansowania; wzywa do podjęcia wysiłków w celu zapewnienia szybkiego dotarcia pomocy z FSUE do ostatecznych odbiorców, w tym przedsiębiorstw, MŚP, rodzin i poszkodowanych obywateli, a także do odbudowy infrastruktury i naprawy szkód materialnych oraz do przeprowadzenia odpowiedniej oceny skutków i wprowadzenia odpowiednich mechanizmów kontroli; podkreśla potrzebę uproszczenia i przyspieszenia procedur wewnętrznych bez podważania równowagi instytucjonalnej, w szczególności praw Parlamentu Europejskiego jako jednego z dwóch organów władzy budżetowej; zauważa, że proponowane zasady zarządzania następcą Europejskiego Funduszu Solidarności po 2027 r. nie są zgodne ze stanowiskiem Parlamentu Europejskiego wyrażonym w jego rezolucji z dnia 7 maja 2025 r. w sprawie zmienionego budżetu długoterminowego dla Unii w zmieniającym się świecie</w:t>
      </w:r>
      <w:r w:rsidRPr="00C17031">
        <w:rPr>
          <w:rStyle w:val="FootnoteReference"/>
          <w:bCs/>
          <w:iCs/>
        </w:rPr>
        <w:footnoteReference w:id="13"/>
      </w:r>
      <w:r w:rsidRPr="00C17031">
        <w:t xml:space="preserve">; </w:t>
      </w:r>
    </w:p>
    <w:p w14:paraId="7060C1F2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9.</w:t>
      </w:r>
      <w:r w:rsidRPr="00C17031">
        <w:tab/>
        <w:t>zatwierdza decyzję załączoną do rezolucji;</w:t>
      </w:r>
    </w:p>
    <w:p w14:paraId="4AFD4372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10.</w:t>
      </w:r>
      <w:r w:rsidRPr="00C17031">
        <w:tab/>
        <w:t xml:space="preserve">zobowiązuje swoją przewodniczącą do podpisania wraz z przewodniczącym Rady niniejszej decyzji i dopilnowania, by opublikowano ją w </w:t>
      </w:r>
      <w:r w:rsidRPr="00C17031">
        <w:rPr>
          <w:i/>
        </w:rPr>
        <w:t>Dzienniku Urzędowym Unii Europejskiej</w:t>
      </w:r>
      <w:r w:rsidRPr="00C17031">
        <w:t>;</w:t>
      </w:r>
    </w:p>
    <w:p w14:paraId="711140DB" w14:textId="77777777" w:rsidR="00C175F9" w:rsidRPr="00C17031" w:rsidRDefault="00C175F9" w:rsidP="00C175F9">
      <w:pPr>
        <w:pStyle w:val="NormalHanging12a"/>
        <w:rPr>
          <w:noProof/>
        </w:rPr>
      </w:pPr>
      <w:r w:rsidRPr="00C17031">
        <w:t>11.</w:t>
      </w:r>
      <w:r w:rsidRPr="00C17031">
        <w:tab/>
        <w:t>zobowiązuje swoją przewodniczącą do przekazania niniejszej rezolucji wraz z załącznikiem Radzie i Komisji.</w:t>
      </w:r>
    </w:p>
    <w:p w14:paraId="3DF20699" w14:textId="77777777" w:rsidR="00C175F9" w:rsidRPr="00C17031" w:rsidRDefault="00C175F9" w:rsidP="00C175F9">
      <w:pPr>
        <w:pStyle w:val="PageHeading"/>
        <w:jc w:val="left"/>
        <w:rPr>
          <w:noProof/>
        </w:rPr>
        <w:sectPr w:rsidR="00C175F9" w:rsidRPr="00C17031" w:rsidSect="00C170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C1B846" w14:textId="77777777" w:rsidR="004F11FB" w:rsidRPr="004F11FB" w:rsidRDefault="00C175F9" w:rsidP="00C175F9">
      <w:pPr>
        <w:pStyle w:val="PageHeading"/>
        <w:rPr>
          <w:rFonts w:ascii="Times New Roman" w:hAnsi="Times New Roman" w:cs="Times New Roman"/>
        </w:rPr>
      </w:pPr>
      <w:bookmarkStart w:id="6" w:name="_Toc213831121"/>
      <w:r w:rsidRPr="004F11FB">
        <w:rPr>
          <w:rFonts w:ascii="Times New Roman" w:hAnsi="Times New Roman" w:cs="Times New Roman"/>
        </w:rPr>
        <w:lastRenderedPageBreak/>
        <w:t>ZAŁĄCZNIK</w:t>
      </w:r>
    </w:p>
    <w:p w14:paraId="08F3EAEF" w14:textId="319D89F1" w:rsidR="00C175F9" w:rsidRPr="004F11FB" w:rsidRDefault="00C175F9" w:rsidP="00C175F9">
      <w:pPr>
        <w:pStyle w:val="PageHeading"/>
        <w:rPr>
          <w:rFonts w:ascii="Times New Roman" w:hAnsi="Times New Roman" w:cs="Times New Roman"/>
          <w:noProof/>
        </w:rPr>
      </w:pPr>
      <w:r w:rsidRPr="004F11FB">
        <w:rPr>
          <w:rFonts w:ascii="Times New Roman" w:hAnsi="Times New Roman" w:cs="Times New Roman"/>
        </w:rPr>
        <w:t>DECYZJA PARLAMENTU EUROPEJSKIEGO I RADY</w:t>
      </w:r>
      <w:bookmarkEnd w:id="6"/>
    </w:p>
    <w:p w14:paraId="10889404" w14:textId="77777777" w:rsidR="00C175F9" w:rsidRDefault="00C175F9" w:rsidP="004F11FB">
      <w:pPr>
        <w:pStyle w:val="NormalBold24a"/>
        <w:jc w:val="center"/>
      </w:pPr>
      <w:r w:rsidRPr="00C17031">
        <w:t xml:space="preserve">w sprawie uruchomienia Funduszu Solidarności Unii Europejskiej w celu udzielenia pomocy Hiszpanii w związku z powodziami w regionie Walencji w Hiszpanii w październiku 2024 r. i Francji w następstwie szkód spowodowanych przez cyklon </w:t>
      </w:r>
      <w:proofErr w:type="spellStart"/>
      <w:r w:rsidRPr="00C17031">
        <w:t>Chido</w:t>
      </w:r>
      <w:proofErr w:type="spellEnd"/>
      <w:r w:rsidRPr="00C17031">
        <w:t xml:space="preserve"> na Majotcie w grudniu 2024 r. i przez cyklon </w:t>
      </w:r>
      <w:proofErr w:type="spellStart"/>
      <w:r w:rsidRPr="00C17031">
        <w:t>Garance</w:t>
      </w:r>
      <w:proofErr w:type="spellEnd"/>
      <w:r w:rsidRPr="00C17031">
        <w:t xml:space="preserve"> na Reunion w lutym 2025 r.</w:t>
      </w:r>
    </w:p>
    <w:p w14:paraId="6D5FE397" w14:textId="7D16693B" w:rsidR="004F11FB" w:rsidRPr="004F11FB" w:rsidRDefault="004F11FB" w:rsidP="004F11FB">
      <w:pPr>
        <w:pStyle w:val="NormalBold24a"/>
        <w:rPr>
          <w:b w:val="0"/>
          <w:bCs w:val="0"/>
          <w:i/>
          <w:iCs/>
        </w:rPr>
      </w:pPr>
      <w:bookmarkStart w:id="7" w:name="_Hlk220051926"/>
      <w:r w:rsidRPr="004F11FB">
        <w:rPr>
          <w:b w:val="0"/>
          <w:bCs w:val="0"/>
          <w:i/>
          <w:iCs/>
        </w:rPr>
        <w:t>(Tekst niniejszego załącznika nie został tutaj powtórzony, ponieważ odpowiada on aktowi końcowemu, decyzji (UE) 2025/2403.)</w:t>
      </w:r>
    </w:p>
    <w:bookmarkEnd w:id="7"/>
    <w:p w14:paraId="4805C60F" w14:textId="0643418B" w:rsidR="00C175F9" w:rsidRPr="004F11FB" w:rsidRDefault="00C175F9" w:rsidP="00C175F9">
      <w:pPr>
        <w:widowControl/>
      </w:pPr>
    </w:p>
    <w:sectPr w:rsidR="00C175F9" w:rsidRPr="004F11FB" w:rsidSect="00C1703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928B" w14:textId="77777777" w:rsidR="003A6BB6" w:rsidRPr="00C17031" w:rsidRDefault="003A6BB6">
      <w:r w:rsidRPr="00C17031">
        <w:separator/>
      </w:r>
    </w:p>
  </w:endnote>
  <w:endnote w:type="continuationSeparator" w:id="0">
    <w:p w14:paraId="738288A9" w14:textId="77777777" w:rsidR="003A6BB6" w:rsidRPr="00C17031" w:rsidRDefault="003A6BB6">
      <w:r w:rsidRPr="00C170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41B8" w14:textId="77777777" w:rsidR="00C175F9" w:rsidRPr="00C17031" w:rsidRDefault="00C175F9" w:rsidP="00AD5EFC">
    <w:pPr>
      <w:pStyle w:val="EPFooter"/>
    </w:pPr>
    <w:r w:rsidRPr="00C17031">
      <w:t>PE</w:t>
    </w:r>
    <w:r w:rsidRPr="00C17031">
      <w:rPr>
        <w:rStyle w:val="HideTWBExt"/>
      </w:rPr>
      <w:t>&lt;NoPE&gt;</w:t>
    </w:r>
    <w:r w:rsidRPr="00C17031">
      <w:t>778.223</w:t>
    </w:r>
    <w:r w:rsidRPr="00C17031">
      <w:rPr>
        <w:rStyle w:val="HideTWBExt"/>
      </w:rPr>
      <w:t>&lt;/NoPE&gt;&lt;Version&gt;</w:t>
    </w:r>
    <w:r w:rsidRPr="00C17031">
      <w:t>v02-00</w:t>
    </w:r>
    <w:r w:rsidRPr="00C17031">
      <w:rPr>
        <w:rStyle w:val="HideTWBExt"/>
      </w:rPr>
      <w:t>&lt;/Version&gt;</w:t>
    </w:r>
    <w:r w:rsidRPr="00C17031">
      <w:tab/>
    </w:r>
    <w:r w:rsidRPr="00C17031">
      <w:fldChar w:fldCharType="begin"/>
    </w:r>
    <w:r w:rsidRPr="00C17031">
      <w:instrText xml:space="preserve"> PAGE  \* MERGEFORMAT </w:instrText>
    </w:r>
    <w:r w:rsidRPr="00C17031">
      <w:fldChar w:fldCharType="separate"/>
    </w:r>
    <w:r w:rsidRPr="00C17031">
      <w:rPr>
        <w:noProof/>
      </w:rPr>
      <w:t>2</w:t>
    </w:r>
    <w:r w:rsidRPr="00C17031">
      <w:fldChar w:fldCharType="end"/>
    </w:r>
    <w:r w:rsidRPr="00C17031">
      <w:t>/</w:t>
    </w:r>
    <w:fldSimple w:instr=" NUMPAGES  \* MERGEFORMAT ">
      <w:r w:rsidRPr="00C17031">
        <w:rPr>
          <w:noProof/>
        </w:rPr>
        <w:t>15</w:t>
      </w:r>
    </w:fldSimple>
    <w:r w:rsidRPr="00C17031">
      <w:tab/>
    </w:r>
    <w:r w:rsidRPr="00C17031">
      <w:rPr>
        <w:rStyle w:val="HideTWBExt"/>
      </w:rPr>
      <w:t>&lt;PathFdR&gt;</w:t>
    </w:r>
    <w:r w:rsidRPr="00C17031">
      <w:t>RR\1331466PL.docx</w:t>
    </w:r>
    <w:r w:rsidRPr="00C17031">
      <w:rPr>
        <w:rStyle w:val="HideTWBExt"/>
      </w:rPr>
      <w:t>&lt;/PathFdR&gt;</w:t>
    </w:r>
  </w:p>
  <w:p w14:paraId="247D2F26" w14:textId="77777777" w:rsidR="00C175F9" w:rsidRPr="00C17031" w:rsidRDefault="00C175F9" w:rsidP="00AD5EFC">
    <w:pPr>
      <w:pStyle w:val="EPFooter2"/>
    </w:pPr>
    <w:r w:rsidRPr="00C1703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3371" w14:textId="466F2D6B" w:rsidR="00C175F9" w:rsidRPr="00C17031" w:rsidRDefault="00C175F9" w:rsidP="00AD5EFC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32634" w14:textId="77777777" w:rsidR="00C175F9" w:rsidRPr="00C17031" w:rsidRDefault="00C175F9" w:rsidP="00AD5EFC">
    <w:pPr>
      <w:pStyle w:val="EPFooter"/>
    </w:pPr>
    <w:r w:rsidRPr="00C17031">
      <w:rPr>
        <w:rStyle w:val="HideTWBExt"/>
      </w:rPr>
      <w:t>&lt;PathFdR&gt;</w:t>
    </w:r>
    <w:r w:rsidRPr="00C17031">
      <w:t>RR\1331466PL.docx</w:t>
    </w:r>
    <w:r w:rsidRPr="00C17031">
      <w:rPr>
        <w:rStyle w:val="HideTWBExt"/>
      </w:rPr>
      <w:t>&lt;/PathFdR&gt;</w:t>
    </w:r>
    <w:r w:rsidRPr="00C17031">
      <w:tab/>
    </w:r>
    <w:r w:rsidRPr="00C17031">
      <w:tab/>
      <w:t>PE</w:t>
    </w:r>
    <w:r w:rsidRPr="00C17031">
      <w:rPr>
        <w:rStyle w:val="HideTWBExt"/>
      </w:rPr>
      <w:t>&lt;NoPE&gt;</w:t>
    </w:r>
    <w:r w:rsidRPr="00C17031">
      <w:t>778.223</w:t>
    </w:r>
    <w:r w:rsidRPr="00C17031">
      <w:rPr>
        <w:rStyle w:val="HideTWBExt"/>
      </w:rPr>
      <w:t>&lt;/NoPE&gt;&lt;Version&gt;</w:t>
    </w:r>
    <w:r w:rsidRPr="00C17031">
      <w:t>v02-00</w:t>
    </w:r>
    <w:r w:rsidRPr="00C17031">
      <w:rPr>
        <w:rStyle w:val="HideTWBExt"/>
      </w:rPr>
      <w:t>&lt;/Version&gt;</w:t>
    </w:r>
  </w:p>
  <w:p w14:paraId="60FD8922" w14:textId="77777777" w:rsidR="00C175F9" w:rsidRPr="00C17031" w:rsidRDefault="00C175F9" w:rsidP="00AD5EFC">
    <w:pPr>
      <w:pStyle w:val="EPFooter2"/>
    </w:pPr>
    <w:r w:rsidRPr="00C17031">
      <w:t>PL</w:t>
    </w:r>
    <w:r w:rsidRPr="00C17031">
      <w:tab/>
    </w:r>
    <w:r w:rsidRPr="00C17031">
      <w:rPr>
        <w:b w:val="0"/>
        <w:i/>
        <w:color w:val="C0C0C0"/>
        <w:sz w:val="22"/>
      </w:rPr>
      <w:t>Zjednoczona w różnorodności</w:t>
    </w:r>
    <w:r w:rsidRPr="00C17031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AEB8E" w14:textId="77777777" w:rsidR="00064002" w:rsidRPr="00C1703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36618" w14:textId="77777777" w:rsidR="00064002" w:rsidRPr="00C1703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B9EC3" w14:textId="77777777" w:rsidR="00064002" w:rsidRPr="00C170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808EC" w14:textId="77777777" w:rsidR="003A6BB6" w:rsidRPr="00C17031" w:rsidRDefault="003A6BB6">
      <w:r w:rsidRPr="00C17031">
        <w:separator/>
      </w:r>
    </w:p>
  </w:footnote>
  <w:footnote w:type="continuationSeparator" w:id="0">
    <w:p w14:paraId="078FAD09" w14:textId="77777777" w:rsidR="003A6BB6" w:rsidRPr="00C17031" w:rsidRDefault="003A6BB6">
      <w:r w:rsidRPr="00C17031">
        <w:continuationSeparator/>
      </w:r>
    </w:p>
  </w:footnote>
  <w:footnote w:id="1">
    <w:p w14:paraId="38E35DD4" w14:textId="32090E8D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 xml:space="preserve">Dz.U. L 311 z 14.11.2002, s. 3, ELI: </w:t>
      </w:r>
      <w:hyperlink r:id="rId1" w:history="1">
        <w:r w:rsidRPr="00C17031">
          <w:rPr>
            <w:rStyle w:val="Hyperlink"/>
            <w:sz w:val="24"/>
            <w:lang w:val="pl-PL"/>
          </w:rPr>
          <w:t>http://data.europa.eu/eli/reg/2002/2012/oj</w:t>
        </w:r>
      </w:hyperlink>
      <w:r w:rsidRPr="00C17031">
        <w:rPr>
          <w:sz w:val="24"/>
          <w:lang w:val="pl-PL"/>
        </w:rPr>
        <w:t>.</w:t>
      </w:r>
    </w:p>
  </w:footnote>
  <w:footnote w:id="2">
    <w:p w14:paraId="0593659C" w14:textId="21D8EFAD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>Dz.U. L 433</w:t>
      </w:r>
      <w:r w:rsidR="004F11FB">
        <w:rPr>
          <w:sz w:val="24"/>
          <w:lang w:val="pl-PL"/>
        </w:rPr>
        <w:t xml:space="preserve"> </w:t>
      </w:r>
      <w:r w:rsidRPr="00C17031">
        <w:rPr>
          <w:sz w:val="24"/>
          <w:lang w:val="pl-PL"/>
        </w:rPr>
        <w:t xml:space="preserve">I z 22.12.2020, s. 11, ELI: </w:t>
      </w:r>
      <w:hyperlink r:id="rId2" w:history="1">
        <w:r w:rsidRPr="00C17031">
          <w:rPr>
            <w:rStyle w:val="Hyperlink"/>
            <w:sz w:val="24"/>
            <w:lang w:val="pl-PL"/>
          </w:rPr>
          <w:t>http://data.europa.eu/eli/reg/2020/2093/oj</w:t>
        </w:r>
      </w:hyperlink>
      <w:r w:rsidRPr="00C17031">
        <w:rPr>
          <w:sz w:val="24"/>
          <w:lang w:val="pl-PL"/>
        </w:rPr>
        <w:t>.</w:t>
      </w:r>
    </w:p>
  </w:footnote>
  <w:footnote w:id="3">
    <w:p w14:paraId="02ADD21D" w14:textId="1A6F7D84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>Dz.U. L 433</w:t>
      </w:r>
      <w:r w:rsidR="004F11FB">
        <w:rPr>
          <w:sz w:val="24"/>
          <w:lang w:val="pl-PL"/>
        </w:rPr>
        <w:t xml:space="preserve"> </w:t>
      </w:r>
      <w:r w:rsidRPr="00C17031">
        <w:rPr>
          <w:sz w:val="24"/>
          <w:lang w:val="pl-PL"/>
        </w:rPr>
        <w:t xml:space="preserve">I z 22.12.2020, s. 28, ELI: </w:t>
      </w:r>
      <w:hyperlink r:id="rId3" w:history="1">
        <w:r w:rsidRPr="00C17031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C17031">
        <w:rPr>
          <w:sz w:val="24"/>
          <w:lang w:val="pl-PL"/>
        </w:rPr>
        <w:t>.</w:t>
      </w:r>
    </w:p>
  </w:footnote>
  <w:footnote w:id="4">
    <w:p w14:paraId="61625E1A" w14:textId="257BB5F4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 xml:space="preserve">Dz.U. L 231 z </w:t>
      </w:r>
      <w:proofErr w:type="gramStart"/>
      <w:r w:rsidRPr="00C17031">
        <w:rPr>
          <w:sz w:val="24"/>
          <w:lang w:val="pl-PL"/>
        </w:rPr>
        <w:t>30.6.2021</w:t>
      </w:r>
      <w:proofErr w:type="gramEnd"/>
      <w:r w:rsidRPr="00C17031">
        <w:rPr>
          <w:sz w:val="24"/>
          <w:lang w:val="pl-PL"/>
        </w:rPr>
        <w:t xml:space="preserve">, s. 60, ELI: </w:t>
      </w:r>
      <w:hyperlink r:id="rId4" w:history="1">
        <w:r w:rsidRPr="00C17031">
          <w:rPr>
            <w:rStyle w:val="Hyperlink"/>
            <w:sz w:val="24"/>
            <w:lang w:val="pl-PL"/>
          </w:rPr>
          <w:t>http://data.europa.eu/eli/reg/2021/1058/oj</w:t>
        </w:r>
      </w:hyperlink>
      <w:r w:rsidRPr="00C17031">
        <w:rPr>
          <w:sz w:val="24"/>
          <w:lang w:val="pl-PL"/>
        </w:rPr>
        <w:t>.</w:t>
      </w:r>
    </w:p>
  </w:footnote>
  <w:footnote w:id="5">
    <w:p w14:paraId="15C0F4CD" w14:textId="19F3A005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 xml:space="preserve">Dz.U. L 231 z </w:t>
      </w:r>
      <w:proofErr w:type="gramStart"/>
      <w:r w:rsidRPr="00C17031">
        <w:rPr>
          <w:sz w:val="24"/>
          <w:lang w:val="pl-PL"/>
        </w:rPr>
        <w:t>30.6.2021</w:t>
      </w:r>
      <w:proofErr w:type="gramEnd"/>
      <w:r w:rsidRPr="00C17031">
        <w:rPr>
          <w:sz w:val="24"/>
          <w:lang w:val="pl-PL"/>
        </w:rPr>
        <w:t xml:space="preserve">, s. 21, ELI: </w:t>
      </w:r>
      <w:hyperlink r:id="rId5" w:history="1">
        <w:r w:rsidRPr="00C17031">
          <w:rPr>
            <w:rStyle w:val="Hyperlink"/>
            <w:sz w:val="24"/>
            <w:lang w:val="pl-PL"/>
          </w:rPr>
          <w:t>http://data.europa.eu/eli/reg/2021/1057/oj</w:t>
        </w:r>
      </w:hyperlink>
      <w:r w:rsidRPr="00C17031">
        <w:rPr>
          <w:sz w:val="24"/>
          <w:lang w:val="pl-PL"/>
        </w:rPr>
        <w:t>.</w:t>
      </w:r>
    </w:p>
  </w:footnote>
  <w:footnote w:id="6">
    <w:p w14:paraId="267C0F6D" w14:textId="0F7A879F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 xml:space="preserve">Dz.U. L 435 z 6.12.2021, s. 1, ELI: </w:t>
      </w:r>
      <w:hyperlink r:id="rId6" w:history="1">
        <w:r w:rsidRPr="00C17031">
          <w:rPr>
            <w:rStyle w:val="Hyperlink"/>
            <w:sz w:val="24"/>
            <w:lang w:val="pl-PL"/>
          </w:rPr>
          <w:t>http://data.europa.eu/eli/reg/2021/2115/oj</w:t>
        </w:r>
      </w:hyperlink>
      <w:r w:rsidRPr="00C17031">
        <w:rPr>
          <w:sz w:val="24"/>
          <w:lang w:val="pl-PL"/>
        </w:rPr>
        <w:t xml:space="preserve"> </w:t>
      </w:r>
    </w:p>
  </w:footnote>
  <w:footnote w:id="7">
    <w:p w14:paraId="00688FDC" w14:textId="45D90958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>Teksty przyjęte, P10</w:t>
      </w:r>
      <w:r w:rsidR="009659BD">
        <w:rPr>
          <w:sz w:val="24"/>
          <w:lang w:val="pl-PL"/>
        </w:rPr>
        <w:t>_</w:t>
      </w:r>
      <w:proofErr w:type="gramStart"/>
      <w:r w:rsidRPr="00C17031">
        <w:rPr>
          <w:sz w:val="24"/>
          <w:lang w:val="pl-PL"/>
        </w:rPr>
        <w:t>TA(</w:t>
      </w:r>
      <w:proofErr w:type="gramEnd"/>
      <w:r w:rsidRPr="00C17031">
        <w:rPr>
          <w:sz w:val="24"/>
          <w:lang w:val="pl-PL"/>
        </w:rPr>
        <w:t>2024)0059.</w:t>
      </w:r>
    </w:p>
  </w:footnote>
  <w:footnote w:id="8">
    <w:p w14:paraId="4663946F" w14:textId="1BDBC32D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>Teksty przyjęte, P10</w:t>
      </w:r>
      <w:r w:rsidR="009659BD">
        <w:rPr>
          <w:sz w:val="24"/>
          <w:lang w:val="pl-PL"/>
        </w:rPr>
        <w:t>_</w:t>
      </w:r>
      <w:proofErr w:type="gramStart"/>
      <w:r w:rsidRPr="00C17031">
        <w:rPr>
          <w:sz w:val="24"/>
          <w:lang w:val="pl-PL"/>
        </w:rPr>
        <w:t>TA(</w:t>
      </w:r>
      <w:proofErr w:type="gramEnd"/>
      <w:r w:rsidRPr="00C17031">
        <w:rPr>
          <w:sz w:val="24"/>
          <w:lang w:val="pl-PL"/>
        </w:rPr>
        <w:t>2025)0090.</w:t>
      </w:r>
    </w:p>
  </w:footnote>
  <w:footnote w:id="9">
    <w:p w14:paraId="754231ED" w14:textId="5A423A07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hyperlink r:id="rId7" w:history="1">
        <w:r w:rsidRPr="00C17031">
          <w:rPr>
            <w:rStyle w:val="Hyperlink"/>
            <w:sz w:val="24"/>
            <w:lang w:val="pl-PL"/>
          </w:rPr>
          <w:t>https://www.eea.europa.eu/publications/european-climate-risk-assessment</w:t>
        </w:r>
      </w:hyperlink>
      <w:r w:rsidRPr="00C17031">
        <w:rPr>
          <w:sz w:val="24"/>
          <w:lang w:val="pl-PL"/>
        </w:rPr>
        <w:t xml:space="preserve"> </w:t>
      </w:r>
    </w:p>
  </w:footnote>
  <w:footnote w:id="10">
    <w:p w14:paraId="078243E4" w14:textId="0AC9BA7F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 xml:space="preserve">Rozporządzenie Parlamentu Europejskiego i Rady (UE) 2021/241 z dnia 12 lutego 2021 r. ustanawiające Instrument na rzecz Odbudowy i Zwiększania Odporności (Dz.U. L 57 z </w:t>
      </w:r>
      <w:proofErr w:type="gramStart"/>
      <w:r w:rsidRPr="00C17031">
        <w:rPr>
          <w:sz w:val="24"/>
          <w:lang w:val="pl-PL"/>
        </w:rPr>
        <w:t>18.2.2021</w:t>
      </w:r>
      <w:proofErr w:type="gramEnd"/>
      <w:r w:rsidRPr="00C17031">
        <w:rPr>
          <w:sz w:val="24"/>
          <w:lang w:val="pl-PL"/>
        </w:rPr>
        <w:t xml:space="preserve">, s. 17, </w:t>
      </w:r>
      <w:r w:rsidRPr="00C17031">
        <w:rPr>
          <w:color w:val="333333"/>
          <w:sz w:val="24"/>
          <w:shd w:val="clear" w:color="auto" w:fill="FFFFFF"/>
          <w:lang w:val="pl-PL"/>
        </w:rPr>
        <w:t>ELI: </w:t>
      </w:r>
      <w:hyperlink r:id="rId8" w:tooltip="Dokument dostępny poprzez ELI URI." w:history="1">
        <w:r w:rsidRPr="00C17031">
          <w:rPr>
            <w:rStyle w:val="Hyperlink"/>
            <w:color w:val="23527C"/>
            <w:sz w:val="24"/>
            <w:shd w:val="clear" w:color="auto" w:fill="FFFFFF"/>
            <w:lang w:val="pl-PL"/>
          </w:rPr>
          <w:t>http://data.europa.eu/eli/reg/2021/241/oj</w:t>
        </w:r>
      </w:hyperlink>
      <w:r w:rsidRPr="00C17031">
        <w:rPr>
          <w:sz w:val="24"/>
          <w:lang w:val="pl-PL"/>
        </w:rPr>
        <w:t>).</w:t>
      </w:r>
    </w:p>
  </w:footnote>
  <w:footnote w:id="11">
    <w:p w14:paraId="2B733FCC" w14:textId="5A8F35C5" w:rsidR="00C175F9" w:rsidRPr="001E20D9" w:rsidRDefault="00C175F9" w:rsidP="00C17031">
      <w:pPr>
        <w:pStyle w:val="FootnoteText"/>
        <w:ind w:left="567" w:hanging="567"/>
        <w:rPr>
          <w:sz w:val="24"/>
          <w:lang w:val="fi-FI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1E20D9">
        <w:rPr>
          <w:sz w:val="24"/>
          <w:lang w:val="fi-FI"/>
        </w:rPr>
        <w:t xml:space="preserve"> </w:t>
      </w:r>
      <w:r w:rsidR="00C17031" w:rsidRPr="001E20D9">
        <w:rPr>
          <w:sz w:val="24"/>
          <w:lang w:val="fi-FI"/>
        </w:rPr>
        <w:tab/>
      </w:r>
      <w:proofErr w:type="spellStart"/>
      <w:r w:rsidRPr="001E20D9">
        <w:rPr>
          <w:sz w:val="24"/>
          <w:lang w:val="fi-FI"/>
        </w:rPr>
        <w:t>Dz.U</w:t>
      </w:r>
      <w:proofErr w:type="spellEnd"/>
      <w:r w:rsidRPr="001E20D9">
        <w:rPr>
          <w:sz w:val="24"/>
          <w:lang w:val="fi-FI"/>
        </w:rPr>
        <w:t xml:space="preserve">. L, 2024/3236, 23.12.2024, ELI: </w:t>
      </w:r>
      <w:hyperlink r:id="rId9" w:history="1">
        <w:r w:rsidRPr="001E20D9">
          <w:rPr>
            <w:rStyle w:val="Hyperlink"/>
            <w:sz w:val="24"/>
            <w:shd w:val="clear" w:color="auto" w:fill="FFFFFF"/>
            <w:lang w:val="fi-FI"/>
          </w:rPr>
          <w:t>http://data.europa.eu/eli/reg/2024/3236/oj</w:t>
        </w:r>
      </w:hyperlink>
      <w:r w:rsidRPr="001E20D9">
        <w:rPr>
          <w:sz w:val="24"/>
          <w:lang w:val="fi-FI"/>
        </w:rPr>
        <w:t xml:space="preserve">. </w:t>
      </w:r>
    </w:p>
  </w:footnote>
  <w:footnote w:id="12">
    <w:p w14:paraId="7F6330E6" w14:textId="27B5D335" w:rsidR="00C175F9" w:rsidRPr="001E20D9" w:rsidRDefault="00C175F9" w:rsidP="00C17031">
      <w:pPr>
        <w:pStyle w:val="FootnoteText"/>
        <w:ind w:left="567" w:hanging="567"/>
        <w:rPr>
          <w:sz w:val="24"/>
          <w:lang w:val="fi-FI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1E20D9">
        <w:rPr>
          <w:sz w:val="24"/>
          <w:lang w:val="fi-FI"/>
        </w:rPr>
        <w:t xml:space="preserve"> </w:t>
      </w:r>
      <w:r w:rsidR="00C17031" w:rsidRPr="001E20D9">
        <w:rPr>
          <w:sz w:val="24"/>
          <w:lang w:val="fi-FI"/>
        </w:rPr>
        <w:tab/>
      </w:r>
      <w:proofErr w:type="spellStart"/>
      <w:r w:rsidRPr="001E20D9">
        <w:rPr>
          <w:sz w:val="24"/>
          <w:lang w:val="fi-FI"/>
        </w:rPr>
        <w:t>Dz.U</w:t>
      </w:r>
      <w:proofErr w:type="spellEnd"/>
      <w:r w:rsidRPr="001E20D9">
        <w:rPr>
          <w:sz w:val="24"/>
          <w:lang w:val="fi-FI"/>
        </w:rPr>
        <w:t xml:space="preserve">. L, 2024/3242, 23.12.2024, ELI: </w:t>
      </w:r>
      <w:hyperlink r:id="rId10" w:history="1">
        <w:r w:rsidRPr="001E20D9">
          <w:rPr>
            <w:rStyle w:val="Hyperlink"/>
            <w:sz w:val="24"/>
            <w:shd w:val="clear" w:color="auto" w:fill="FFFFFF"/>
            <w:lang w:val="fi-FI"/>
          </w:rPr>
          <w:t>http://data.europa.eu/eli/reg/2024/3242/oj</w:t>
        </w:r>
      </w:hyperlink>
      <w:r w:rsidRPr="001E20D9">
        <w:rPr>
          <w:sz w:val="24"/>
          <w:lang w:val="fi-FI"/>
        </w:rPr>
        <w:t xml:space="preserve">. </w:t>
      </w:r>
    </w:p>
  </w:footnote>
  <w:footnote w:id="13">
    <w:p w14:paraId="1B57E5D0" w14:textId="5CEE2F8C" w:rsidR="00C175F9" w:rsidRPr="00C17031" w:rsidRDefault="00C175F9" w:rsidP="00C17031">
      <w:pPr>
        <w:pStyle w:val="FootnoteText"/>
        <w:ind w:left="567" w:hanging="567"/>
        <w:rPr>
          <w:sz w:val="24"/>
          <w:lang w:val="pl-PL"/>
        </w:rPr>
      </w:pPr>
      <w:r w:rsidRPr="00C17031">
        <w:rPr>
          <w:rStyle w:val="FootnoteReference"/>
          <w:sz w:val="24"/>
          <w:lang w:val="pl-PL"/>
        </w:rPr>
        <w:footnoteRef/>
      </w:r>
      <w:r w:rsidR="00C17031" w:rsidRPr="00C17031">
        <w:rPr>
          <w:sz w:val="24"/>
          <w:lang w:val="pl-PL"/>
        </w:rPr>
        <w:t xml:space="preserve"> </w:t>
      </w:r>
      <w:r w:rsidR="00C17031" w:rsidRPr="00C17031">
        <w:rPr>
          <w:sz w:val="24"/>
          <w:lang w:val="pl-PL"/>
        </w:rPr>
        <w:tab/>
      </w:r>
      <w:r w:rsidRPr="00C17031">
        <w:rPr>
          <w:sz w:val="24"/>
          <w:lang w:val="pl-PL"/>
        </w:rPr>
        <w:t>Teksty przyjęte, P10_</w:t>
      </w:r>
      <w:proofErr w:type="gramStart"/>
      <w:r w:rsidRPr="00C17031">
        <w:rPr>
          <w:sz w:val="24"/>
          <w:lang w:val="pl-PL"/>
        </w:rPr>
        <w:t>TA(</w:t>
      </w:r>
      <w:proofErr w:type="gramEnd"/>
      <w:r w:rsidRPr="00C17031">
        <w:rPr>
          <w:sz w:val="24"/>
          <w:lang w:val="pl-PL"/>
        </w:rPr>
        <w:t>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B0916" w14:textId="77777777" w:rsidR="00C175F9" w:rsidRPr="00C17031" w:rsidRDefault="00C175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8B9D" w14:textId="77777777" w:rsidR="00C175F9" w:rsidRPr="00C17031" w:rsidRDefault="00C175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4C863" w14:textId="77777777" w:rsidR="00C175F9" w:rsidRPr="00C17031" w:rsidRDefault="00C175F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47AE" w14:textId="77777777" w:rsidR="00064002" w:rsidRPr="00C1703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C4F9C" w14:textId="77777777" w:rsidR="00064002" w:rsidRPr="00C1703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0CBED" w14:textId="77777777" w:rsidR="00064002" w:rsidRPr="00C170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3998099">
    <w:abstractNumId w:val="9"/>
  </w:num>
  <w:num w:numId="2" w16cid:durableId="308444162">
    <w:abstractNumId w:val="9"/>
  </w:num>
  <w:num w:numId="3" w16cid:durableId="430397723">
    <w:abstractNumId w:val="7"/>
  </w:num>
  <w:num w:numId="4" w16cid:durableId="484514790">
    <w:abstractNumId w:val="7"/>
  </w:num>
  <w:num w:numId="5" w16cid:durableId="763650132">
    <w:abstractNumId w:val="6"/>
  </w:num>
  <w:num w:numId="6" w16cid:durableId="1761175402">
    <w:abstractNumId w:val="6"/>
  </w:num>
  <w:num w:numId="7" w16cid:durableId="1065028839">
    <w:abstractNumId w:val="5"/>
  </w:num>
  <w:num w:numId="8" w16cid:durableId="697850711">
    <w:abstractNumId w:val="5"/>
  </w:num>
  <w:num w:numId="9" w16cid:durableId="1304700473">
    <w:abstractNumId w:val="4"/>
  </w:num>
  <w:num w:numId="10" w16cid:durableId="1956252969">
    <w:abstractNumId w:val="4"/>
  </w:num>
  <w:num w:numId="11" w16cid:durableId="1500271399">
    <w:abstractNumId w:val="8"/>
  </w:num>
  <w:num w:numId="12" w16cid:durableId="67776778">
    <w:abstractNumId w:val="8"/>
  </w:num>
  <w:num w:numId="13" w16cid:durableId="2142191884">
    <w:abstractNumId w:val="3"/>
  </w:num>
  <w:num w:numId="14" w16cid:durableId="97412025">
    <w:abstractNumId w:val="3"/>
  </w:num>
  <w:num w:numId="15" w16cid:durableId="134032727">
    <w:abstractNumId w:val="2"/>
  </w:num>
  <w:num w:numId="16" w16cid:durableId="1218543309">
    <w:abstractNumId w:val="2"/>
  </w:num>
  <w:num w:numId="17" w16cid:durableId="1920872267">
    <w:abstractNumId w:val="1"/>
  </w:num>
  <w:num w:numId="18" w16cid:durableId="136532188">
    <w:abstractNumId w:val="1"/>
  </w:num>
  <w:num w:numId="19" w16cid:durableId="1892689096">
    <w:abstractNumId w:val="0"/>
  </w:num>
  <w:num w:numId="20" w16cid:durableId="928587790">
    <w:abstractNumId w:val="0"/>
  </w:num>
  <w:num w:numId="21" w16cid:durableId="433668022">
    <w:abstractNumId w:val="9"/>
  </w:num>
  <w:num w:numId="22" w16cid:durableId="1461026136">
    <w:abstractNumId w:val="7"/>
  </w:num>
  <w:num w:numId="23" w16cid:durableId="854074613">
    <w:abstractNumId w:val="6"/>
  </w:num>
  <w:num w:numId="24" w16cid:durableId="822938293">
    <w:abstractNumId w:val="5"/>
  </w:num>
  <w:num w:numId="25" w16cid:durableId="348409358">
    <w:abstractNumId w:val="4"/>
  </w:num>
  <w:num w:numId="26" w16cid:durableId="1161311155">
    <w:abstractNumId w:val="8"/>
  </w:num>
  <w:num w:numId="27" w16cid:durableId="1234315915">
    <w:abstractNumId w:val="3"/>
  </w:num>
  <w:num w:numId="28" w16cid:durableId="1247106207">
    <w:abstractNumId w:val="2"/>
  </w:num>
  <w:num w:numId="29" w16cid:durableId="641731899">
    <w:abstractNumId w:val="1"/>
  </w:num>
  <w:num w:numId="30" w16cid:durableId="1523206930">
    <w:abstractNumId w:val="0"/>
  </w:num>
  <w:num w:numId="31" w16cid:durableId="53354531">
    <w:abstractNumId w:val="9"/>
  </w:num>
  <w:num w:numId="32" w16cid:durableId="546449138">
    <w:abstractNumId w:val="7"/>
  </w:num>
  <w:num w:numId="33" w16cid:durableId="197667647">
    <w:abstractNumId w:val="6"/>
  </w:num>
  <w:num w:numId="34" w16cid:durableId="1971009063">
    <w:abstractNumId w:val="5"/>
  </w:num>
  <w:num w:numId="35" w16cid:durableId="106004120">
    <w:abstractNumId w:val="4"/>
  </w:num>
  <w:num w:numId="36" w16cid:durableId="1958751051">
    <w:abstractNumId w:val="8"/>
  </w:num>
  <w:num w:numId="37" w16cid:durableId="1583179776">
    <w:abstractNumId w:val="3"/>
  </w:num>
  <w:num w:numId="38" w16cid:durableId="706224878">
    <w:abstractNumId w:val="2"/>
  </w:num>
  <w:num w:numId="39" w16cid:durableId="421879409">
    <w:abstractNumId w:val="1"/>
  </w:num>
  <w:num w:numId="40" w16cid:durableId="932855638">
    <w:abstractNumId w:val="0"/>
  </w:num>
  <w:num w:numId="41" w16cid:durableId="336151871">
    <w:abstractNumId w:val="10"/>
  </w:num>
  <w:num w:numId="42" w16cid:durableId="1814173534">
    <w:abstractNumId w:val="10"/>
  </w:num>
  <w:num w:numId="43" w16cid:durableId="335765108">
    <w:abstractNumId w:val="10"/>
  </w:num>
  <w:num w:numId="44" w16cid:durableId="9550229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PL"/>
    <w:docVar w:name="dvnumam" w:val="0"/>
    <w:docVar w:name="dvpe" w:val="778.223"/>
    <w:docVar w:name="dvrapporteur" w:val="Sprawozdawca: "/>
    <w:docVar w:name="dvstar" w:val="??"/>
    <w:docVar w:name="dvtitre" w:val="Rezolucja Parlamentu Europejskiego z dnia  2025 r. w sprawie wniosku dotyczącego decyzji Parlamentu Europejskiego i Rady w sprawie uruchomienia Funduszu Solidarności Unii Europejskiej w celu udzielenia pomocy Hiszpanii w związku z powodziami w regionie Walencji w Hiszpanii w październiku 2024 r. i Francji w następstwie szkód spowodowanych przez cyklon Chido na Majotcie w grudniu 2024 r. i przez cyklon Garance na Reunion w lutym 2025 r.(COM(2025)0855 – C10-0239/2025 – 2025/0318(BUD))"/>
  </w:docVars>
  <w:rsids>
    <w:rsidRoot w:val="003A6B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1068"/>
    <w:rsid w:val="001E20D9"/>
    <w:rsid w:val="001F32AE"/>
    <w:rsid w:val="002767FF"/>
    <w:rsid w:val="002B18FE"/>
    <w:rsid w:val="002B5493"/>
    <w:rsid w:val="00343214"/>
    <w:rsid w:val="00361C00"/>
    <w:rsid w:val="00395FA1"/>
    <w:rsid w:val="003A6BB6"/>
    <w:rsid w:val="003E15D4"/>
    <w:rsid w:val="003F0B33"/>
    <w:rsid w:val="00411CCE"/>
    <w:rsid w:val="0041666E"/>
    <w:rsid w:val="00421060"/>
    <w:rsid w:val="00471C19"/>
    <w:rsid w:val="004867E3"/>
    <w:rsid w:val="00494A28"/>
    <w:rsid w:val="004C0004"/>
    <w:rsid w:val="004C5D52"/>
    <w:rsid w:val="004F11F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29B9"/>
    <w:rsid w:val="00731ADD"/>
    <w:rsid w:val="00734777"/>
    <w:rsid w:val="00747932"/>
    <w:rsid w:val="00751A4A"/>
    <w:rsid w:val="00756632"/>
    <w:rsid w:val="00762C74"/>
    <w:rsid w:val="0076513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9B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71E"/>
    <w:rsid w:val="00B558F0"/>
    <w:rsid w:val="00BD48FE"/>
    <w:rsid w:val="00BD7BD8"/>
    <w:rsid w:val="00BE6ADC"/>
    <w:rsid w:val="00BF512C"/>
    <w:rsid w:val="00C05BFE"/>
    <w:rsid w:val="00C17031"/>
    <w:rsid w:val="00C175F9"/>
    <w:rsid w:val="00C23CD4"/>
    <w:rsid w:val="00C61C0C"/>
    <w:rsid w:val="00C82DA6"/>
    <w:rsid w:val="00C90F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C3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1A9A3"/>
  <w15:chartTrackingRefBased/>
  <w15:docId w15:val="{6FC75B7E-F6EC-4BF6-AC2B-1E5A98C8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175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175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C175F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175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175F9"/>
    <w:rPr>
      <w:sz w:val="24"/>
      <w:lang w:val="pl-PL"/>
    </w:rPr>
  </w:style>
  <w:style w:type="paragraph" w:customStyle="1" w:styleId="NormalBold24a">
    <w:name w:val="NormalBold24a"/>
    <w:basedOn w:val="Normal"/>
    <w:rsid w:val="00C175F9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C175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175F9"/>
    <w:pPr>
      <w:spacing w:before="480" w:after="240"/>
    </w:pPr>
  </w:style>
  <w:style w:type="character" w:styleId="Hyperlink">
    <w:name w:val="Hyperlink"/>
    <w:basedOn w:val="DefaultParagraphFont"/>
    <w:uiPriority w:val="99"/>
    <w:rsid w:val="00C175F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F0B3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publications/european-climate-risk-assessment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1746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PESA Karina</cp:lastModifiedBy>
  <cp:revision>2</cp:revision>
  <cp:lastPrinted>2004-11-19T15:42:00Z</cp:lastPrinted>
  <dcterms:created xsi:type="dcterms:W3CDTF">2026-01-23T08:30:00Z</dcterms:created>
  <dcterms:modified xsi:type="dcterms:W3CDTF">2026-01-23T08:30:00Z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