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4BD4" w14:paraId="11E617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081942" w14:textId="77777777" w:rsidR="00751A4A" w:rsidRPr="00574BD4" w:rsidRDefault="008D6A4C" w:rsidP="0010095E">
            <w:pPr>
              <w:pStyle w:val="EPName"/>
            </w:pPr>
            <w:r w:rsidRPr="00574BD4">
              <w:t xml:space="preserve">Parlamento </w:t>
            </w:r>
            <w:proofErr w:type="gramStart"/>
            <w:r w:rsidRPr="00574BD4">
              <w:t>Europeu</w:t>
            </w:r>
            <w:proofErr w:type="gramEnd"/>
          </w:p>
          <w:p w14:paraId="1DBDD5AA" w14:textId="77777777" w:rsidR="00751A4A" w:rsidRPr="00574B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4BD4">
              <w:t>2024</w:t>
            </w:r>
            <w:r w:rsidR="00817416" w:rsidRPr="00574BD4">
              <w:t>-202</w:t>
            </w:r>
            <w:r w:rsidRPr="00574BD4">
              <w:t>9</w:t>
            </w:r>
          </w:p>
        </w:tc>
        <w:tc>
          <w:tcPr>
            <w:tcW w:w="2268" w:type="dxa"/>
            <w:shd w:val="clear" w:color="auto" w:fill="auto"/>
          </w:tcPr>
          <w:p w14:paraId="16BAA8B0" w14:textId="77777777" w:rsidR="00751A4A" w:rsidRPr="00574BD4" w:rsidRDefault="00187494" w:rsidP="0010095E">
            <w:pPr>
              <w:pStyle w:val="EPLogo"/>
            </w:pPr>
            <w:r w:rsidRPr="00574BD4">
              <w:rPr>
                <w:noProof/>
                <w:lang w:eastAsia="ja-JP"/>
              </w:rPr>
              <w:drawing>
                <wp:inline distT="0" distB="0" distL="0" distR="0" wp14:anchorId="7161A3EF" wp14:editId="49DB09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2C8963" w14:textId="77777777" w:rsidR="00D058B8" w:rsidRPr="00574BD4" w:rsidRDefault="00D058B8" w:rsidP="004C5D52">
      <w:pPr>
        <w:pStyle w:val="LineTop"/>
      </w:pPr>
    </w:p>
    <w:p w14:paraId="1E9F7A5A" w14:textId="77777777" w:rsidR="00680577" w:rsidRPr="00574BD4" w:rsidRDefault="008D6A4C" w:rsidP="00680577">
      <w:pPr>
        <w:pStyle w:val="EPBodyTA1"/>
      </w:pPr>
      <w:r w:rsidRPr="00574BD4">
        <w:t>TEXTOS APROVADOS</w:t>
      </w:r>
    </w:p>
    <w:p w14:paraId="67258AF0" w14:textId="77777777" w:rsidR="00D058B8" w:rsidRPr="00574BD4" w:rsidRDefault="00D058B8" w:rsidP="00D058B8">
      <w:pPr>
        <w:pStyle w:val="LineBottom"/>
      </w:pPr>
    </w:p>
    <w:p w14:paraId="264FF487" w14:textId="43B0F757" w:rsidR="008D6A4C" w:rsidRPr="00574BD4" w:rsidRDefault="008D6A4C" w:rsidP="008D6A4C">
      <w:pPr>
        <w:pStyle w:val="ATHeading1"/>
      </w:pPr>
      <w:bookmarkStart w:id="0" w:name="TANumber"/>
      <w:r w:rsidRPr="00574BD4">
        <w:t>P10_TA(2025)0</w:t>
      </w:r>
      <w:r w:rsidR="00574BD4" w:rsidRPr="00574BD4">
        <w:t>274</w:t>
      </w:r>
      <w:bookmarkEnd w:id="0"/>
    </w:p>
    <w:p w14:paraId="6464A2A0" w14:textId="77777777" w:rsidR="008D6A4C" w:rsidRPr="00574BD4" w:rsidRDefault="008D6A4C" w:rsidP="008D6A4C">
      <w:pPr>
        <w:pStyle w:val="ATHeading2"/>
      </w:pPr>
      <w:bookmarkStart w:id="1" w:name="title"/>
      <w:r w:rsidRPr="00574BD4">
        <w:t>Mobilização do Fundo de Solidariedade da União Europeia: assistência à Espanha e à França relacionada com catástrofes naturais ocorridas em 2024 e 2025</w:t>
      </w:r>
      <w:bookmarkEnd w:id="1"/>
    </w:p>
    <w:p w14:paraId="03BFCE30" w14:textId="77777777" w:rsidR="008D6A4C" w:rsidRPr="00574BD4" w:rsidRDefault="008D6A4C" w:rsidP="008D6A4C">
      <w:pPr>
        <w:rPr>
          <w:i/>
          <w:vanish/>
        </w:rPr>
      </w:pPr>
      <w:r w:rsidRPr="00574BD4">
        <w:rPr>
          <w:i/>
        </w:rPr>
        <w:fldChar w:fldCharType="begin"/>
      </w:r>
      <w:r w:rsidRPr="00574BD4">
        <w:rPr>
          <w:i/>
        </w:rPr>
        <w:instrText xml:space="preserve"> TC"(</w:instrText>
      </w:r>
      <w:bookmarkStart w:id="2" w:name="DocNumber"/>
      <w:r w:rsidRPr="00574BD4">
        <w:rPr>
          <w:i/>
        </w:rPr>
        <w:instrText>A10-0215/2025</w:instrText>
      </w:r>
      <w:bookmarkEnd w:id="2"/>
      <w:r w:rsidRPr="00574BD4">
        <w:rPr>
          <w:i/>
        </w:rPr>
        <w:instrText xml:space="preserve"> - Relatora: Sandra Gómez López)"\l3 \n&gt; \* MERGEFORMAT </w:instrText>
      </w:r>
      <w:r w:rsidRPr="00574BD4">
        <w:rPr>
          <w:i/>
        </w:rPr>
        <w:fldChar w:fldCharType="end"/>
      </w:r>
    </w:p>
    <w:p w14:paraId="7055B6CA" w14:textId="77777777" w:rsidR="008D6A4C" w:rsidRPr="00574BD4" w:rsidRDefault="008D6A4C" w:rsidP="008D6A4C">
      <w:pPr>
        <w:rPr>
          <w:vanish/>
        </w:rPr>
      </w:pPr>
      <w:bookmarkStart w:id="3" w:name="Commission"/>
      <w:r w:rsidRPr="00574BD4">
        <w:rPr>
          <w:vanish/>
        </w:rPr>
        <w:t>Comissão dos Orçamentos</w:t>
      </w:r>
      <w:bookmarkEnd w:id="3"/>
    </w:p>
    <w:p w14:paraId="23525BCB" w14:textId="77777777" w:rsidR="008D6A4C" w:rsidRPr="00574BD4" w:rsidRDefault="008D6A4C" w:rsidP="008D6A4C">
      <w:pPr>
        <w:rPr>
          <w:vanish/>
        </w:rPr>
      </w:pPr>
      <w:bookmarkStart w:id="4" w:name="PE"/>
      <w:r w:rsidRPr="00574BD4">
        <w:rPr>
          <w:vanish/>
        </w:rPr>
        <w:t>PE778.223</w:t>
      </w:r>
      <w:bookmarkEnd w:id="4"/>
    </w:p>
    <w:p w14:paraId="535C56E3" w14:textId="7539C10C" w:rsidR="008D6A4C" w:rsidRPr="00574BD4" w:rsidRDefault="008D6A4C" w:rsidP="008D6A4C">
      <w:pPr>
        <w:pStyle w:val="ATHeading3"/>
      </w:pPr>
      <w:bookmarkStart w:id="5" w:name="Sujet"/>
      <w:r w:rsidRPr="00574BD4">
        <w:t xml:space="preserve">Resolução do Parlamento Europeu, de </w:t>
      </w:r>
      <w:r w:rsidR="00F622B8" w:rsidRPr="00574BD4">
        <w:t>13</w:t>
      </w:r>
      <w:r w:rsidRPr="00574BD4">
        <w:t xml:space="preserve"> de </w:t>
      </w:r>
      <w:r w:rsidR="00F622B8" w:rsidRPr="00574BD4">
        <w:t xml:space="preserve">novembro </w:t>
      </w:r>
      <w:r w:rsidRPr="00574BD4">
        <w:t xml:space="preserve">de 2025, sobre a proposta de decisão do Parlamento Europeu e do Conselho relativa à mobilização do Fundo de Solidariedade da União Europeia para prestar assistência à Espanha na sequência das inundações registadas na região de Valência em outubro de 2024 e à França decorrente dos prejuízos causados pelo ciclone </w:t>
      </w:r>
      <w:proofErr w:type="spellStart"/>
      <w:r w:rsidRPr="00574BD4">
        <w:t>Chido</w:t>
      </w:r>
      <w:proofErr w:type="spellEnd"/>
      <w:r w:rsidRPr="00574BD4">
        <w:t xml:space="preserve"> na ilha de Maiote em dezembro de 2024, e pelo ciclone Garance na ilha da Reunião em fevereiro de 2025</w:t>
      </w:r>
      <w:bookmarkEnd w:id="5"/>
      <w:r w:rsidRPr="00574BD4">
        <w:t xml:space="preserve"> </w:t>
      </w:r>
      <w:bookmarkStart w:id="6" w:name="References"/>
      <w:r w:rsidRPr="00574BD4">
        <w:t>(COM(2025)0855 – C10-0239/2025 – 2025/0318(BUD))</w:t>
      </w:r>
      <w:bookmarkEnd w:id="6"/>
    </w:p>
    <w:p w14:paraId="5B828745" w14:textId="77777777" w:rsidR="0017532A" w:rsidRPr="00574BD4" w:rsidRDefault="0017532A" w:rsidP="0017532A">
      <w:pPr>
        <w:pStyle w:val="EPComma"/>
        <w:rPr>
          <w:noProof/>
        </w:rPr>
      </w:pPr>
      <w:r w:rsidRPr="00574BD4">
        <w:rPr>
          <w:i/>
        </w:rPr>
        <w:t>O Parlamento Europeu</w:t>
      </w:r>
      <w:r w:rsidRPr="00574BD4">
        <w:t>,</w:t>
      </w:r>
    </w:p>
    <w:p w14:paraId="398C58E8" w14:textId="3CB6302C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a proposta da Comissão ao Parlamento e ao Conselho (COM(2025)0855 – C10</w:t>
      </w:r>
      <w:r w:rsidRPr="00574BD4">
        <w:noBreakHyphen/>
        <w:t>0239/2025),</w:t>
      </w:r>
    </w:p>
    <w:p w14:paraId="583B814A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o Regulamento (CE) n.º 2012/2002 do Conselho, de 11 de novembro de 2002, que institui o Fundo de Solidariedade da União Europeia</w:t>
      </w:r>
      <w:r w:rsidRPr="00574BD4">
        <w:rPr>
          <w:noProof/>
          <w:vertAlign w:val="superscript"/>
        </w:rPr>
        <w:footnoteReference w:id="1"/>
      </w:r>
      <w:r w:rsidRPr="00574BD4">
        <w:t>,</w:t>
      </w:r>
    </w:p>
    <w:p w14:paraId="7DDBD8E2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o Regulamento (UE, Euratom) 2020/2093 do Conselho, de 17 de dezembro de 2020, que estabelece o quadro financeiro plurianual para o período de 2021 a 2027</w:t>
      </w:r>
      <w:r w:rsidRPr="00574BD4">
        <w:rPr>
          <w:noProof/>
          <w:vertAlign w:val="superscript"/>
        </w:rPr>
        <w:footnoteReference w:id="2"/>
      </w:r>
      <w:r w:rsidRPr="00574BD4">
        <w:t>, nomeadamente o artigo 9.º,</w:t>
      </w:r>
    </w:p>
    <w:p w14:paraId="761C509B" w14:textId="3462D636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 xml:space="preserve">Tendo em conta o Acordo Interinstitucional, de 16 de dezembro de 2020, entre o Parlamento Europeu, o Conselho </w:t>
      </w:r>
      <w:r w:rsidR="0012364C" w:rsidRPr="00574BD4">
        <w:t xml:space="preserve">da União Europeia </w:t>
      </w:r>
      <w:r w:rsidRPr="00574BD4">
        <w:t xml:space="preserve">e a Comissão </w:t>
      </w:r>
      <w:r w:rsidR="0012364C" w:rsidRPr="00574BD4">
        <w:t xml:space="preserve">Europeia </w:t>
      </w:r>
      <w:r w:rsidRPr="00574BD4">
        <w:t>sobre a disciplina orçamental, a cooperação em matéria orçamental e a boa gestão financeira, bem como sobre os novos recursos próprios, incluindo um roteiro para a introdução de novos recursos próprios</w:t>
      </w:r>
      <w:r w:rsidRPr="00574BD4">
        <w:rPr>
          <w:noProof/>
          <w:vertAlign w:val="superscript"/>
        </w:rPr>
        <w:footnoteReference w:id="3"/>
      </w:r>
      <w:r w:rsidRPr="00574BD4">
        <w:t>, nomeadamente o ponto 10,</w:t>
      </w:r>
    </w:p>
    <w:p w14:paraId="374D49EA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 xml:space="preserve">Tendo em conta o Regulamento (UE) 2021/1058 do Parlamento Europeu e do Conselho, de 24 de junho de 2021, relativo ao Fundo Europeu de Desenvolvimento </w:t>
      </w:r>
      <w:r w:rsidRPr="00574BD4">
        <w:lastRenderedPageBreak/>
        <w:t>Regional e ao Fundo de Coesão</w:t>
      </w:r>
      <w:r w:rsidRPr="00574BD4">
        <w:rPr>
          <w:noProof/>
          <w:vertAlign w:val="superscript"/>
        </w:rPr>
        <w:footnoteReference w:id="4"/>
      </w:r>
      <w:r w:rsidRPr="00574BD4">
        <w:t xml:space="preserve">, </w:t>
      </w:r>
    </w:p>
    <w:p w14:paraId="2B19565F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o Regulamento (UE) 2021/1057 do Parlamento Europeu e do Conselho, de 24 de junho de 2021, que cria o Fundo Social Europeu Mais (FSE+)</w:t>
      </w:r>
      <w:r w:rsidRPr="00574BD4">
        <w:rPr>
          <w:noProof/>
          <w:vertAlign w:val="superscript"/>
        </w:rPr>
        <w:footnoteReference w:id="5"/>
      </w:r>
      <w:r w:rsidRPr="00574BD4">
        <w:t xml:space="preserve">, </w:t>
      </w:r>
    </w:p>
    <w:p w14:paraId="0613557B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o Regulamento (UE) 2021/2115 do Parlamento Europeu e do Conselho, de 2 de dezembro de 2021, que estabelece regras para apoiar os planos estratégicos a elaborar pelos Estados</w:t>
      </w:r>
      <w:r w:rsidRPr="00574BD4">
        <w:noBreakHyphen/>
        <w:t>Membros no âmbito da política agrícola comum (planos estratégicos da PAC) e financiados pelo Fundo Europeu Agrícola de Garantia (FEAGA) e pelo Fundo Europeu Agrícola de Desenvolvimento Rural (FEADER), e que revoga os Regulamentos (UE) n.º 1305/2013 e (UE) n.º 1307/2013</w:t>
      </w:r>
      <w:r w:rsidRPr="00574BD4">
        <w:rPr>
          <w:noProof/>
          <w:vertAlign w:val="superscript"/>
        </w:rPr>
        <w:footnoteReference w:id="6"/>
      </w:r>
      <w:r w:rsidRPr="00574BD4">
        <w:t xml:space="preserve">, </w:t>
      </w:r>
    </w:p>
    <w:p w14:paraId="2EC2F06E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o relatório da Comissão do Emprego e dos Assuntos Sociais e da Comissão do Desenvolvimento Regional (A10</w:t>
      </w:r>
      <w:r w:rsidRPr="00574BD4">
        <w:noBreakHyphen/>
        <w:t>0031/2024) no âmbito do processo legislativo que tem em vista a adoção do Regulamento (UE) 2024/3236 do Parlamento Europeu e do Conselho, de 19 de dezembro de 2024, que altera os Regulamentos (UE) 2021/1057 e (UE) 2021/1058 no que diz respeito ao Apoio Regional de Emergência à Reconstrução (RESTORE)</w:t>
      </w:r>
      <w:r w:rsidRPr="00574BD4">
        <w:rPr>
          <w:noProof/>
          <w:vertAlign w:val="superscript"/>
        </w:rPr>
        <w:footnoteReference w:id="7"/>
      </w:r>
      <w:r w:rsidRPr="00574BD4">
        <w:t xml:space="preserve"> e, particularmente, a avaliação orçamental da Comissão dos Orçamentos anexa a esse relatório, </w:t>
      </w:r>
    </w:p>
    <w:p w14:paraId="078E6DE7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a sua Resolução, de 7 de maio de 2025, sobre um orçamento de longo prazo melhorado para a União num mundo em mudança</w:t>
      </w:r>
      <w:r w:rsidRPr="00574BD4">
        <w:rPr>
          <w:noProof/>
          <w:vertAlign w:val="superscript"/>
        </w:rPr>
        <w:footnoteReference w:id="8"/>
      </w:r>
      <w:r w:rsidRPr="00574BD4">
        <w:t xml:space="preserve">, </w:t>
      </w:r>
    </w:p>
    <w:p w14:paraId="7E1AE465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o relatório n.º 1/2024 da Agência Europeia do Ambiente sobre a avaliação europeia dos riscos climáticos (EUCRA)</w:t>
      </w:r>
      <w:r w:rsidRPr="00574BD4">
        <w:rPr>
          <w:noProof/>
          <w:vertAlign w:val="superscript"/>
        </w:rPr>
        <w:footnoteReference w:id="9"/>
      </w:r>
      <w:r w:rsidRPr="00574BD4">
        <w:t>,</w:t>
      </w:r>
    </w:p>
    <w:p w14:paraId="68B900B5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–</w:t>
      </w:r>
      <w:r w:rsidRPr="00574BD4">
        <w:tab/>
        <w:t>Tendo em conta o relatório da Comissão dos Orçamentos (A10</w:t>
      </w:r>
      <w:r w:rsidRPr="00574BD4">
        <w:noBreakHyphen/>
        <w:t>0215/2025),</w:t>
      </w:r>
    </w:p>
    <w:p w14:paraId="1C5D1013" w14:textId="223CED4B" w:rsidR="0017532A" w:rsidRPr="00574BD4" w:rsidRDefault="0017532A" w:rsidP="0017532A">
      <w:pPr>
        <w:pStyle w:val="NormalHanging12a"/>
        <w:rPr>
          <w:noProof/>
        </w:rPr>
      </w:pPr>
      <w:r w:rsidRPr="00574BD4">
        <w:t>A.</w:t>
      </w:r>
      <w:r w:rsidRPr="00574BD4">
        <w:tab/>
        <w:t>Considerando que, entre 28 de outubro e 4 de novembro de 2024, toda a região de Valência (Espanha) foi atingida por uma tempestade que provocou chuvas torrenciais e originou graves inundações</w:t>
      </w:r>
      <w:r w:rsidR="008E18DC" w:rsidRPr="00574BD4">
        <w:t>; considerando que</w:t>
      </w:r>
      <w:r w:rsidRPr="00574BD4">
        <w:t xml:space="preserve"> essas inundações causaram prejuízos totais diretos estimados pela Comissão em 18,08 mil milhões de EUR e afetaram 845 000 pessoas em 84 municípios, 170 estabelecimentos de ensino e mais de 50</w:t>
      </w:r>
      <w:r w:rsidR="004812DA" w:rsidRPr="00574BD4">
        <w:t> </w:t>
      </w:r>
      <w:r w:rsidRPr="00574BD4">
        <w:t>unidades de saúde e infraestruturas públicas</w:t>
      </w:r>
      <w:r w:rsidR="008E18DC" w:rsidRPr="00574BD4">
        <w:t>; considerando que</w:t>
      </w:r>
      <w:r w:rsidRPr="00574BD4">
        <w:t xml:space="preserve"> as inundações provocaram, pelo menos, 229 vítimas mortais;</w:t>
      </w:r>
    </w:p>
    <w:p w14:paraId="393E6718" w14:textId="77777777" w:rsidR="0017532A" w:rsidRPr="00574BD4" w:rsidRDefault="0017532A" w:rsidP="0017532A">
      <w:pPr>
        <w:pStyle w:val="NormalHanging12a"/>
        <w:rPr>
          <w:bCs/>
          <w:iCs/>
          <w:noProof/>
        </w:rPr>
      </w:pPr>
      <w:r w:rsidRPr="00574BD4">
        <w:t>B.</w:t>
      </w:r>
      <w:r w:rsidRPr="00574BD4">
        <w:tab/>
        <w:t>Considerando que, segundo estimativas, os enormes prejuízos da tempestade e das inundações na economia da região ascenderam a 18 mil milhões de EUR, afetaram 63 zonas industriais, 64 000 empresas (99,6 % das quais são PME) e 250 000 trabalhadores e redundaram em 243 388 pedidos de indemnização, conforme indicam os estudos apresentados pelo Governo regional de Valência e pela Confederação Empresarial da Comunidade Valenciana;</w:t>
      </w:r>
    </w:p>
    <w:p w14:paraId="2A05D46B" w14:textId="353D76D9" w:rsidR="0017532A" w:rsidRPr="00574BD4" w:rsidRDefault="0017532A" w:rsidP="0017532A">
      <w:pPr>
        <w:pStyle w:val="NormalHanging12a"/>
        <w:rPr>
          <w:noProof/>
        </w:rPr>
      </w:pPr>
      <w:r w:rsidRPr="00574BD4">
        <w:t xml:space="preserve">C. </w:t>
      </w:r>
      <w:r w:rsidRPr="00574BD4">
        <w:tab/>
        <w:t xml:space="preserve">Considerando que, em 14 de dezembro de 2024, a ilha de Maiote (França) foi atingida pelo olho do ciclone </w:t>
      </w:r>
      <w:proofErr w:type="spellStart"/>
      <w:r w:rsidRPr="00574BD4">
        <w:t>Chido</w:t>
      </w:r>
      <w:proofErr w:type="spellEnd"/>
      <w:r w:rsidRPr="00574BD4">
        <w:t xml:space="preserve">, que, além de rajadas de vento que ultrapassaram os 180 quilómetros por hora, originou chuvas torrenciais e ondas extremamente altas e </w:t>
      </w:r>
      <w:r w:rsidRPr="00574BD4">
        <w:lastRenderedPageBreak/>
        <w:t>resultou em prejuízos diretos totais de 3,6 mil milhões de EUR, segundo estimativas da Comissão</w:t>
      </w:r>
      <w:r w:rsidR="008E18DC" w:rsidRPr="00574BD4">
        <w:t>; considerando que</w:t>
      </w:r>
      <w:r w:rsidRPr="00574BD4">
        <w:t xml:space="preserve"> o ciclone afetou 337 000 pessoas e causou, pelo menos, 39 vítimas mortais</w:t>
      </w:r>
      <w:r w:rsidR="008E18DC" w:rsidRPr="00574BD4">
        <w:t>; considerando que</w:t>
      </w:r>
      <w:r w:rsidRPr="00574BD4">
        <w:t xml:space="preserve"> continuam desaparecidas 200 pessoas;</w:t>
      </w:r>
    </w:p>
    <w:p w14:paraId="3CB2D866" w14:textId="12052DEA" w:rsidR="0017532A" w:rsidRPr="00574BD4" w:rsidRDefault="0017532A" w:rsidP="0017532A">
      <w:pPr>
        <w:pStyle w:val="NormalHanging12a"/>
        <w:rPr>
          <w:noProof/>
        </w:rPr>
      </w:pPr>
      <w:r w:rsidRPr="00574BD4">
        <w:t>D.</w:t>
      </w:r>
      <w:r w:rsidRPr="00574BD4">
        <w:tab/>
        <w:t>Considerando que, em 28 de fevereiro de 2025, a ilha da Reunião (França) foi atingida pelo ciclone Garance, que originou ventos que atingiram velocidades de até 215 quilómetros por hora, chuvas torrenciais e condições marítimas perigosas e resultou em prejuízos diretos totais estimados pelas autoridades francesas em 849,45 milhões de EUR, sobretudo na rede elétrica e nas infraestruturas de comunicações</w:t>
      </w:r>
      <w:r w:rsidR="008E18DC" w:rsidRPr="00574BD4">
        <w:t>; considerando que</w:t>
      </w:r>
      <w:r w:rsidRPr="00574BD4">
        <w:t xml:space="preserve"> o ciclone afetou 160 000 pessoas e causou, pelo menos, quatro vítimas mortais;</w:t>
      </w:r>
    </w:p>
    <w:p w14:paraId="34249E7E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1.</w:t>
      </w:r>
      <w:r w:rsidRPr="00574BD4">
        <w:tab/>
        <w:t>Manifesta profunda solidariedade para com todas as vítimas, as suas famílias e todas as pessoas afetadas pelas inundações devastadoras na região de Valência (Espanha) e pelos ciclones arrasadores em Maiote e Reunião (França) e para com as autoridades nacionais, regionais e locais envolvidas nos esforços de socorro;</w:t>
      </w:r>
    </w:p>
    <w:p w14:paraId="7BE10EA7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2.</w:t>
      </w:r>
      <w:r w:rsidRPr="00574BD4">
        <w:tab/>
        <w:t>Acolhe com agrado a decisão enquanto manifestação tangível e expressa da solidariedade da União para com os seus cidadãos e as regiões nas zonas afetadas, mas assinala que esta não pode substituir</w:t>
      </w:r>
      <w:r w:rsidRPr="00574BD4">
        <w:noBreakHyphen/>
        <w:t>se à responsabilidade direta dos órgãos de poder local, regional e nacional na prevenção e gestão de catástrofes naturais relacionadas com o clima;</w:t>
      </w:r>
    </w:p>
    <w:p w14:paraId="03FC166E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3.</w:t>
      </w:r>
      <w:r w:rsidRPr="00574BD4">
        <w:tab/>
        <w:t>Reitera a importância de comunicar aos cidadãos as vantagens concretas que o Fundo de Solidariedade da União Europeia (FSUE) proporciona, também com vista a aumentar a sua sensibilização para os instrumentos e programas da União;</w:t>
      </w:r>
    </w:p>
    <w:p w14:paraId="78F533E1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4.</w:t>
      </w:r>
      <w:r w:rsidRPr="00574BD4">
        <w:tab/>
        <w:t>Destaca o número cada vez maior de catástrofes naturais graves, devastadoras e mortais na Europa e insta os Estados</w:t>
      </w:r>
      <w:r w:rsidRPr="00574BD4">
        <w:noBreakHyphen/>
        <w:t>Membros e a Comissão a aumentarem os investimentos na prevenção, em infraestruturas públicas, na adaptação às alterações climáticas e na atenuação dos seus efeitos, assim como em medidas de preparação para emergências para evitar perdas humanas e económicas; pede aos Estados</w:t>
      </w:r>
      <w:r w:rsidRPr="00574BD4">
        <w:noBreakHyphen/>
        <w:t>Membros que tenham em conta que os riscos climáticos e outras catástrofes naturais afetam de forma desproporcionada as populações vulneráveis e as pequenas e médias empresas devido a fatores socioeconómicos e demográficos, e também territórios vulneráveis como as regiões ultraperiféricas; entende ser primordial assegurar um elevado nível de controlo democrático por parte da autoridade orçamental do FSUE; relembra que o FSUE dispõe de um orçamento limitado e não pode ser considerado o único instrumento para responder a catástrofes naturais de grandes proporções; preconiza, por conseguinte, que se avalie a capacidade financeira do orçamento da União e que se pondere um eventual aumento dos seus recursos com o fito de propiciar um apoio proporcional à magnitude das repercussões dessas catástrofes para os cidadãos; observa que aumentar este tipo de assistência permitiria que os Estados</w:t>
      </w:r>
      <w:r w:rsidRPr="00574BD4">
        <w:noBreakHyphen/>
        <w:t xml:space="preserve">Membros respondessem de forma mais rápida e eficaz a catástrofes e contribuiria, ao mesmo tempo, para preservar outros instrumentos, particularmente os fundos de coesão, cujo objetivo principal não é a resposta a catástrofes; </w:t>
      </w:r>
    </w:p>
    <w:p w14:paraId="71D4283C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5.</w:t>
      </w:r>
      <w:r w:rsidRPr="00574BD4">
        <w:tab/>
        <w:t xml:space="preserve">Salienta que o FSUE é meramente um instrumento de remediação, e que importa que a União continue a acautelar a adaptação às alterações climáticas e a atenuação dos seus efeitos através do apoio à elaboração das políticas europeias e nacionais de prevenção de catástrofes naturais e do reforço do princípio de «reconstruir melhor» em todas as suas ações; sublinha que, no seu relatório n.º 1/2024, sobre a avaliação europeia dos riscos climáticos, a AEA advertiu que a União não está preparada para os efeitos das </w:t>
      </w:r>
      <w:r w:rsidRPr="00574BD4">
        <w:lastRenderedPageBreak/>
        <w:t>alterações climáticas e frisou que é preciso tomar medidas para evitar que os riscos climáticos identificados atinjam níveis críticos; insta os Estados</w:t>
      </w:r>
      <w:r w:rsidRPr="00574BD4">
        <w:noBreakHyphen/>
        <w:t>Membros e a Comissão a tomarem as medidas necessárias para a União poder cumprir os compromissos assumidos no Acordo de Paris; relembra que é necessário criar sinergias eficazes com outros programas e políticas da União e salienta que os Estados</w:t>
      </w:r>
      <w:r w:rsidRPr="00574BD4">
        <w:noBreakHyphen/>
        <w:t>Membros devem tirar o melhor partido das oportunidades de financiamento, em particular do Fundo Europeu de Desenvolvimento Regional, do Fundo Social Europeu Mais e dos programas de desenvolvimento rural; exorta a Comissão a avaliar com a devida urgência pedidos fundamentados dos Estados</w:t>
      </w:r>
      <w:r w:rsidRPr="00574BD4">
        <w:noBreakHyphen/>
        <w:t xml:space="preserve">Membros para </w:t>
      </w:r>
      <w:proofErr w:type="spellStart"/>
      <w:r w:rsidRPr="00574BD4">
        <w:t>reafetar</w:t>
      </w:r>
      <w:proofErr w:type="spellEnd"/>
      <w:r w:rsidRPr="00574BD4">
        <w:t xml:space="preserve"> fundos no âmbito dos planos nacionais de recuperação e resiliência à assistência em caso de catástrofe natural, em conformidade com as regras estabelecidas no Regulamento (UE) 2021/241 do Parlamento Europeu e do Conselho</w:t>
      </w:r>
      <w:r w:rsidRPr="00574BD4">
        <w:rPr>
          <w:noProof/>
          <w:vertAlign w:val="superscript"/>
        </w:rPr>
        <w:footnoteReference w:id="10"/>
      </w:r>
      <w:r w:rsidRPr="00574BD4">
        <w:t xml:space="preserve">, mormente tendo em consideração a elevada percentagem de recursos deste mecanismo que ainda não foi utilizada; destaca a necessidade de aplicar medidas preventivas não só para atenuar danos futuros, mas também para impedir o agravamento das condições de risco após a ocorrência de catástrofes, como inundações, incêndios florestais, deslizamentos de terras ou o desaparecimento de lagos e rios; salienta ainda os riscos que condições meteorológicas extremas e catástrofes naturais como as vagas de calor representam para a saúde pública em toda a Europa e insta a Comissão a ponderar este aspeto nas políticas pertinentes; incentiva a utilização de ferramentas digitais inovadoras, dados obtidos por satélite (por exemplo, </w:t>
      </w:r>
      <w:proofErr w:type="spellStart"/>
      <w:r w:rsidRPr="00574BD4">
        <w:t>Copernicus</w:t>
      </w:r>
      <w:proofErr w:type="spellEnd"/>
      <w:r w:rsidRPr="00574BD4">
        <w:t>) e sistemas de alerta precoce para melhorar a preparação para catástrofes; frisa a importância de haver uma flexibilidade adequada entre os vários programas; ressalta que a assistência prestada ao abrigo do FSUE não deve prejudicar o financiamento europeu recebido pelos Estados</w:t>
      </w:r>
      <w:r w:rsidRPr="00574BD4">
        <w:noBreakHyphen/>
        <w:t>Membros no âmbito de outros programas ou políticas da União; relembra que os Estados</w:t>
      </w:r>
      <w:r w:rsidRPr="00574BD4">
        <w:noBreakHyphen/>
        <w:t>Membros podem conceder auxílios estatais, em conformidade com as regras aplicáveis da União, nomeadamente às empresas agrícolas que tenham sofrido danos na sequência de catástrofes naturais;</w:t>
      </w:r>
    </w:p>
    <w:p w14:paraId="73187C68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6.</w:t>
      </w:r>
      <w:r w:rsidRPr="00574BD4">
        <w:tab/>
        <w:t>Recorda que o RESTORE</w:t>
      </w:r>
      <w:r w:rsidRPr="00574BD4">
        <w:rPr>
          <w:noProof/>
          <w:vertAlign w:val="superscript"/>
        </w:rPr>
        <w:footnoteReference w:id="11"/>
      </w:r>
      <w:r w:rsidRPr="00574BD4">
        <w:t xml:space="preserve"> e as medidas específicas no âmbito do Fundo Europeu Agrícola de Desenvolvimento Rural (FEADER)</w:t>
      </w:r>
      <w:r w:rsidRPr="00574BD4">
        <w:rPr>
          <w:noProof/>
          <w:vertAlign w:val="superscript"/>
        </w:rPr>
        <w:footnoteReference w:id="12"/>
      </w:r>
      <w:r w:rsidRPr="00574BD4">
        <w:t xml:space="preserve"> constituem uma assistência adicional aos Estados</w:t>
      </w:r>
      <w:r w:rsidRPr="00574BD4">
        <w:noBreakHyphen/>
        <w:t>Membros afetados por catástrofes naturais graças a uma maior flexibilidade na utilização dos fundos; realça que os Estados</w:t>
      </w:r>
      <w:r w:rsidRPr="00574BD4">
        <w:noBreakHyphen/>
        <w:t xml:space="preserve">Membros devem tirar partido destas oportunidades; </w:t>
      </w:r>
    </w:p>
    <w:p w14:paraId="0D69904E" w14:textId="77777777" w:rsidR="0017532A" w:rsidRPr="00574BD4" w:rsidRDefault="0017532A" w:rsidP="0017532A">
      <w:pPr>
        <w:pStyle w:val="NormalHanging12a"/>
        <w:rPr>
          <w:bCs/>
          <w:iCs/>
        </w:rPr>
      </w:pPr>
      <w:r w:rsidRPr="00574BD4">
        <w:t>7.</w:t>
      </w:r>
      <w:r w:rsidRPr="00574BD4">
        <w:tab/>
        <w:t>Lamenta que o tempo médio necessário para o pagamento do montante integral de uma subvenção do FSUE ao beneficiário seja de um ano; relembra que é importante avaliar os danos de forma rápida, exaustiva e que tenha em devida conta as repercussões económicas e solicita que se intensifiquem os esforços operacionais para reduzir o tempo médio de concessão de adiantamentos, sem prejuízo da proteção do orçamento da União; observa que o método de cálculo do montante total da ajuda poderia ter mais em conta a relação entre os prejuízos diretos totais e o RNB do território afetado, sobretudo quando se trata das regiões ultraperiféricas;</w:t>
      </w:r>
    </w:p>
    <w:p w14:paraId="25D1B0D1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8.</w:t>
      </w:r>
      <w:r w:rsidRPr="00574BD4">
        <w:tab/>
        <w:t xml:space="preserve">Salienta que é urgente libertar assistência financeira imediata através do FSUE para garantir que o apoio possa chegar às regiões afetadas em tempo útil e assim proporcionar uma recuperação rápida e a longo prazo; destaca a importância de reduzir </w:t>
      </w:r>
      <w:r w:rsidRPr="00574BD4">
        <w:lastRenderedPageBreak/>
        <w:t>o tempo entre a apresentação de um pedido de assistência do FSUE e a decisão de financiamento; defende que se tomem diligências para assegurar que a ajuda do FSUE chegue rapidamente aos seus destinatários finais, designadamente às empresas, às PME, às famílias e aos cidadãos afetados, bem como à reconstrução de infraestruturas e à reparação de danos materiais, tudo isto com a correspondente avaliação de impacto e mecanismos de controlo adequados; sublinha que importa simplificar e acelerar os procedimentos internos sem comprometer o equilíbrio institucional, em particular os direitos do Parlamento Europeu enquanto um dos dois ramos da autoridade orçamental; observa que a proposta de governação do sucessor do Fundo de Solidariedade da União Europeia após 2027 não está em conformidade com a posição do Parlamento Europeu expressa na sua Resolução, de 7 de maio de 2025, sobre um orçamento de longo prazo melhorado para a União num mundo em mudança</w:t>
      </w:r>
      <w:r w:rsidRPr="00574BD4">
        <w:rPr>
          <w:rStyle w:val="FootnoteReference"/>
          <w:bCs/>
          <w:iCs/>
        </w:rPr>
        <w:footnoteReference w:id="13"/>
      </w:r>
      <w:r w:rsidRPr="00574BD4">
        <w:t xml:space="preserve">; </w:t>
      </w:r>
    </w:p>
    <w:p w14:paraId="78790967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9.</w:t>
      </w:r>
      <w:r w:rsidRPr="00574BD4">
        <w:tab/>
        <w:t>Aprova a decisão anexa à presente resolução;</w:t>
      </w:r>
    </w:p>
    <w:p w14:paraId="566ABF8F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10.</w:t>
      </w:r>
      <w:r w:rsidRPr="00574BD4">
        <w:tab/>
        <w:t xml:space="preserve">Encarrega a sua Presidente de assinar a decisão em referência, juntamente com o Presidente do Conselho, e de prover à respetiva publicação no </w:t>
      </w:r>
      <w:r w:rsidRPr="00574BD4">
        <w:rPr>
          <w:i/>
        </w:rPr>
        <w:t>Jornal Oficial da União Europeia</w:t>
      </w:r>
      <w:r w:rsidRPr="00574BD4">
        <w:t>;</w:t>
      </w:r>
    </w:p>
    <w:p w14:paraId="5843B6A0" w14:textId="77777777" w:rsidR="0017532A" w:rsidRPr="00574BD4" w:rsidRDefault="0017532A" w:rsidP="0017532A">
      <w:pPr>
        <w:pStyle w:val="NormalHanging12a"/>
        <w:rPr>
          <w:noProof/>
        </w:rPr>
      </w:pPr>
      <w:r w:rsidRPr="00574BD4">
        <w:t>11.</w:t>
      </w:r>
      <w:r w:rsidRPr="00574BD4">
        <w:tab/>
        <w:t>Encarrega a sua Presidente de transmitir a presente resolução e o respetivo anexo ao Conselho e à Comissão.</w:t>
      </w:r>
    </w:p>
    <w:p w14:paraId="06382234" w14:textId="77777777" w:rsidR="0017532A" w:rsidRPr="00574BD4" w:rsidRDefault="0017532A" w:rsidP="0017532A">
      <w:pPr>
        <w:rPr>
          <w:noProof/>
        </w:rPr>
      </w:pPr>
    </w:p>
    <w:p w14:paraId="3284E195" w14:textId="77777777" w:rsidR="0017532A" w:rsidRPr="00574BD4" w:rsidRDefault="0017532A" w:rsidP="0017532A">
      <w:pPr>
        <w:pStyle w:val="PageHeading"/>
        <w:rPr>
          <w:noProof/>
        </w:rPr>
        <w:sectPr w:rsidR="0017532A" w:rsidRPr="00574BD4" w:rsidSect="003C2E10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307AFF" w14:textId="77777777" w:rsidR="00F9736D" w:rsidRPr="00F9736D" w:rsidRDefault="0017532A" w:rsidP="0017532A">
      <w:pPr>
        <w:pStyle w:val="PageHeading"/>
        <w:rPr>
          <w:rFonts w:ascii="Times New Roman" w:hAnsi="Times New Roman" w:cs="Times New Roman"/>
        </w:rPr>
      </w:pPr>
      <w:bookmarkStart w:id="7" w:name="_Toc213834758"/>
      <w:r w:rsidRPr="00F9736D">
        <w:rPr>
          <w:rFonts w:ascii="Times New Roman" w:hAnsi="Times New Roman" w:cs="Times New Roman"/>
        </w:rPr>
        <w:lastRenderedPageBreak/>
        <w:t>ANEXO</w:t>
      </w:r>
    </w:p>
    <w:p w14:paraId="2ECEEFEA" w14:textId="01E285B7" w:rsidR="0017532A" w:rsidRPr="00F9736D" w:rsidRDefault="0017532A" w:rsidP="0017532A">
      <w:pPr>
        <w:pStyle w:val="PageHeading"/>
        <w:rPr>
          <w:rFonts w:ascii="Times New Roman" w:hAnsi="Times New Roman" w:cs="Times New Roman"/>
          <w:noProof/>
        </w:rPr>
      </w:pPr>
      <w:r w:rsidRPr="00F9736D">
        <w:rPr>
          <w:rFonts w:ascii="Times New Roman" w:hAnsi="Times New Roman" w:cs="Times New Roman"/>
        </w:rPr>
        <w:t>DECISÃO DO PARLAMENTO EUROPEU E DO CONSELHO</w:t>
      </w:r>
      <w:bookmarkEnd w:id="7"/>
    </w:p>
    <w:p w14:paraId="53D6B53B" w14:textId="4FB81304" w:rsidR="0017532A" w:rsidRPr="00574BD4" w:rsidRDefault="0017532A" w:rsidP="00E7437B">
      <w:pPr>
        <w:pStyle w:val="NormalBold24a"/>
        <w:jc w:val="center"/>
      </w:pPr>
      <w:r w:rsidRPr="00574BD4">
        <w:t>relativa à mobilização do Fundo de Solidariedade da União Europeia para prestar assistência à Espanha</w:t>
      </w:r>
      <w:r w:rsidR="00D04602" w:rsidRPr="00574BD4">
        <w:t>,</w:t>
      </w:r>
      <w:r w:rsidRPr="00574BD4">
        <w:t xml:space="preserve"> na sequência das inundações registadas na região de Valência</w:t>
      </w:r>
      <w:r w:rsidR="002A7717" w:rsidRPr="00574BD4">
        <w:t>,</w:t>
      </w:r>
      <w:r w:rsidRPr="00574BD4">
        <w:t xml:space="preserve"> em outubro de 2024</w:t>
      </w:r>
      <w:r w:rsidR="002A7717" w:rsidRPr="00574BD4">
        <w:t>,</w:t>
      </w:r>
      <w:r w:rsidRPr="00574BD4">
        <w:t xml:space="preserve"> e à França</w:t>
      </w:r>
      <w:r w:rsidR="002A7717" w:rsidRPr="00574BD4">
        <w:t>,</w:t>
      </w:r>
      <w:r w:rsidRPr="00574BD4">
        <w:t xml:space="preserve"> </w:t>
      </w:r>
      <w:r w:rsidR="002A7717" w:rsidRPr="00574BD4">
        <w:t xml:space="preserve">na sequência </w:t>
      </w:r>
      <w:r w:rsidRPr="00574BD4">
        <w:t xml:space="preserve">dos prejuízos causados pelo ciclone </w:t>
      </w:r>
      <w:proofErr w:type="spellStart"/>
      <w:r w:rsidRPr="00574BD4">
        <w:t>Chido</w:t>
      </w:r>
      <w:proofErr w:type="spellEnd"/>
      <w:r w:rsidRPr="00574BD4">
        <w:t xml:space="preserve"> </w:t>
      </w:r>
      <w:r w:rsidR="002A7717" w:rsidRPr="00574BD4">
        <w:t>em</w:t>
      </w:r>
      <w:r w:rsidRPr="00574BD4">
        <w:t xml:space="preserve"> Maiote</w:t>
      </w:r>
      <w:r w:rsidR="002A7717" w:rsidRPr="00574BD4">
        <w:t>,</w:t>
      </w:r>
      <w:r w:rsidRPr="00574BD4">
        <w:t xml:space="preserve"> em dezembro de 2024, e pelo </w:t>
      </w:r>
      <w:proofErr w:type="gramStart"/>
      <w:r w:rsidRPr="00574BD4">
        <w:t>ciclone Garance</w:t>
      </w:r>
      <w:proofErr w:type="gramEnd"/>
      <w:r w:rsidRPr="00574BD4">
        <w:t xml:space="preserve"> na Reunião</w:t>
      </w:r>
      <w:r w:rsidR="002A7717" w:rsidRPr="00574BD4">
        <w:t>,</w:t>
      </w:r>
      <w:r w:rsidRPr="00574BD4">
        <w:t xml:space="preserve"> em fevereiro de 2025</w:t>
      </w:r>
    </w:p>
    <w:p w14:paraId="74CDF7F8" w14:textId="566BCBBE" w:rsidR="00E365E1" w:rsidRPr="00F9736D" w:rsidRDefault="00F9736D" w:rsidP="00E7437B">
      <w:pPr>
        <w:widowControl/>
        <w:rPr>
          <w:i/>
          <w:iCs/>
        </w:rPr>
      </w:pPr>
      <w:r w:rsidRPr="00F9736D">
        <w:rPr>
          <w:i/>
          <w:iCs/>
        </w:rPr>
        <w:t xml:space="preserve">(O texto deste anexo não é aqui reproduzido dado que corresponde ao ato final, Decisão (UE) </w:t>
      </w:r>
      <w:r>
        <w:rPr>
          <w:i/>
          <w:iCs/>
        </w:rPr>
        <w:t>2025</w:t>
      </w:r>
      <w:r w:rsidRPr="00F9736D">
        <w:rPr>
          <w:i/>
          <w:iCs/>
        </w:rPr>
        <w:t>/</w:t>
      </w:r>
      <w:r>
        <w:rPr>
          <w:i/>
          <w:iCs/>
        </w:rPr>
        <w:t>2403</w:t>
      </w:r>
      <w:r w:rsidRPr="00F9736D">
        <w:rPr>
          <w:i/>
          <w:iCs/>
        </w:rPr>
        <w:t>.)</w:t>
      </w:r>
      <w:r w:rsidRPr="00F9736D">
        <w:rPr>
          <w:i/>
          <w:iCs/>
        </w:rPr>
        <w:cr/>
      </w:r>
    </w:p>
    <w:sectPr w:rsidR="00E365E1" w:rsidRPr="00F9736D" w:rsidSect="003C2E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D6756" w14:textId="77777777" w:rsidR="008D6A4C" w:rsidRPr="003C2E10" w:rsidRDefault="008D6A4C">
      <w:r w:rsidRPr="003C2E10">
        <w:separator/>
      </w:r>
    </w:p>
  </w:endnote>
  <w:endnote w:type="continuationSeparator" w:id="0">
    <w:p w14:paraId="161DDF86" w14:textId="77777777" w:rsidR="008D6A4C" w:rsidRPr="003C2E10" w:rsidRDefault="008D6A4C">
      <w:r w:rsidRPr="003C2E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7E6DE" w14:textId="77777777" w:rsidR="0017532A" w:rsidRPr="003C2E10" w:rsidRDefault="0017532A" w:rsidP="005C1D5A">
    <w:pPr>
      <w:pStyle w:val="EPFooter"/>
    </w:pPr>
    <w:r w:rsidRPr="003C2E10">
      <w:t>PE</w:t>
    </w:r>
    <w:r w:rsidRPr="003C2E10">
      <w:rPr>
        <w:rStyle w:val="HideTWBExt"/>
      </w:rPr>
      <w:t>&lt;NoPE&gt;</w:t>
    </w:r>
    <w:r w:rsidRPr="003C2E10">
      <w:t>778.223</w:t>
    </w:r>
    <w:r w:rsidRPr="003C2E10">
      <w:rPr>
        <w:rStyle w:val="HideTWBExt"/>
      </w:rPr>
      <w:t>&lt;/NoPE&gt;&lt;Version&gt;</w:t>
    </w:r>
    <w:r w:rsidRPr="003C2E10">
      <w:t>v02</w:t>
    </w:r>
    <w:r w:rsidRPr="003C2E10">
      <w:noBreakHyphen/>
      <w:t>00</w:t>
    </w:r>
    <w:r w:rsidRPr="003C2E10">
      <w:rPr>
        <w:rStyle w:val="HideTWBExt"/>
      </w:rPr>
      <w:t>&lt;/Version&gt;</w:t>
    </w:r>
    <w:r w:rsidRPr="003C2E10">
      <w:tab/>
    </w:r>
    <w:r w:rsidRPr="003C2E10">
      <w:fldChar w:fldCharType="begin"/>
    </w:r>
    <w:r w:rsidRPr="003C2E10">
      <w:instrText xml:space="preserve"> PAGE  \* MERGEFORMAT </w:instrText>
    </w:r>
    <w:r w:rsidRPr="003C2E10">
      <w:fldChar w:fldCharType="separate"/>
    </w:r>
    <w:r w:rsidRPr="003C2E10">
      <w:rPr>
        <w:noProof/>
      </w:rPr>
      <w:t>2</w:t>
    </w:r>
    <w:r w:rsidRPr="003C2E10">
      <w:fldChar w:fldCharType="end"/>
    </w:r>
    <w:r w:rsidRPr="003C2E10">
      <w:t>/</w:t>
    </w:r>
    <w:r w:rsidR="00E7437B">
      <w:fldChar w:fldCharType="begin"/>
    </w:r>
    <w:r w:rsidR="00E7437B">
      <w:instrText xml:space="preserve"> NUMPAGES  \* MERGEFORMAT </w:instrText>
    </w:r>
    <w:r w:rsidR="00E7437B">
      <w:fldChar w:fldCharType="separate"/>
    </w:r>
    <w:r w:rsidRPr="003C2E10">
      <w:rPr>
        <w:noProof/>
      </w:rPr>
      <w:t>3</w:t>
    </w:r>
    <w:r w:rsidR="00E7437B">
      <w:rPr>
        <w:noProof/>
      </w:rPr>
      <w:fldChar w:fldCharType="end"/>
    </w:r>
    <w:r w:rsidRPr="003C2E10">
      <w:tab/>
    </w:r>
    <w:r w:rsidRPr="003C2E10">
      <w:rPr>
        <w:rStyle w:val="HideTWBExt"/>
      </w:rPr>
      <w:t>&lt;PathFdR&gt;</w:t>
    </w:r>
    <w:r w:rsidRPr="003C2E10">
      <w:t>RR\1331466PT.docx</w:t>
    </w:r>
    <w:r w:rsidRPr="003C2E10">
      <w:rPr>
        <w:rStyle w:val="HideTWBExt"/>
      </w:rPr>
      <w:t>&lt;/PathFdR&gt;</w:t>
    </w:r>
  </w:p>
  <w:p w14:paraId="77D0B720" w14:textId="77777777" w:rsidR="0017532A" w:rsidRPr="003C2E10" w:rsidRDefault="0017532A" w:rsidP="005C1D5A">
    <w:pPr>
      <w:pStyle w:val="EPFooter2"/>
    </w:pPr>
    <w:r w:rsidRPr="003C2E10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AD1BD" w14:textId="77777777" w:rsidR="0017532A" w:rsidRPr="003C2E10" w:rsidRDefault="0017532A" w:rsidP="005C1D5A">
    <w:pPr>
      <w:pStyle w:val="EPFooter"/>
    </w:pPr>
    <w:r w:rsidRPr="003C2E10">
      <w:rPr>
        <w:rStyle w:val="HideTWBExt"/>
      </w:rPr>
      <w:t>&lt;PathFdR&gt;</w:t>
    </w:r>
    <w:r w:rsidRPr="003C2E10">
      <w:t>RR\1331466PT.docx</w:t>
    </w:r>
    <w:r w:rsidRPr="003C2E10">
      <w:rPr>
        <w:rStyle w:val="HideTWBExt"/>
      </w:rPr>
      <w:t>&lt;/PathFdR&gt;</w:t>
    </w:r>
    <w:r w:rsidRPr="003C2E10">
      <w:tab/>
    </w:r>
    <w:r w:rsidRPr="003C2E10">
      <w:tab/>
      <w:t>PE</w:t>
    </w:r>
    <w:r w:rsidRPr="003C2E10">
      <w:rPr>
        <w:rStyle w:val="HideTWBExt"/>
      </w:rPr>
      <w:t>&lt;NoPE&gt;</w:t>
    </w:r>
    <w:r w:rsidRPr="003C2E10">
      <w:t>778.223</w:t>
    </w:r>
    <w:r w:rsidRPr="003C2E10">
      <w:rPr>
        <w:rStyle w:val="HideTWBExt"/>
      </w:rPr>
      <w:t>&lt;/NoPE&gt;&lt;Version&gt;</w:t>
    </w:r>
    <w:r w:rsidRPr="003C2E10">
      <w:t>v02</w:t>
    </w:r>
    <w:r w:rsidRPr="003C2E10">
      <w:noBreakHyphen/>
      <w:t>00</w:t>
    </w:r>
    <w:r w:rsidRPr="003C2E10">
      <w:rPr>
        <w:rStyle w:val="HideTWBExt"/>
      </w:rPr>
      <w:t>&lt;/Version&gt;</w:t>
    </w:r>
  </w:p>
  <w:p w14:paraId="77CD2E53" w14:textId="77777777" w:rsidR="0017532A" w:rsidRPr="003C2E10" w:rsidRDefault="0017532A" w:rsidP="005C1D5A">
    <w:pPr>
      <w:pStyle w:val="EPFooter2"/>
    </w:pPr>
    <w:r w:rsidRPr="003C2E10">
      <w:t>PT</w:t>
    </w:r>
    <w:r w:rsidRPr="003C2E10">
      <w:tab/>
    </w:r>
    <w:r w:rsidRPr="003C2E10">
      <w:rPr>
        <w:b w:val="0"/>
        <w:i/>
        <w:color w:val="C0C0C0"/>
        <w:sz w:val="22"/>
      </w:rPr>
      <w:t>Unida na diversidade</w:t>
    </w:r>
    <w:r w:rsidRPr="003C2E10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6358" w14:textId="77777777" w:rsidR="00064002" w:rsidRPr="003C2E1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51D39" w14:textId="77777777" w:rsidR="00064002" w:rsidRPr="003C2E1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D8B8B" w14:textId="77777777" w:rsidR="00064002" w:rsidRPr="003C2E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72B0E" w14:textId="77777777" w:rsidR="008D6A4C" w:rsidRPr="003C2E10" w:rsidRDefault="008D6A4C">
      <w:r w:rsidRPr="003C2E10">
        <w:separator/>
      </w:r>
    </w:p>
  </w:footnote>
  <w:footnote w:type="continuationSeparator" w:id="0">
    <w:p w14:paraId="40A390BD" w14:textId="77777777" w:rsidR="008D6A4C" w:rsidRPr="003C2E10" w:rsidRDefault="008D6A4C">
      <w:r w:rsidRPr="003C2E10">
        <w:continuationSeparator/>
      </w:r>
    </w:p>
  </w:footnote>
  <w:footnote w:id="1">
    <w:p w14:paraId="024463DA" w14:textId="3CD44395" w:rsidR="0017532A" w:rsidRPr="002D6608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2D6608">
        <w:rPr>
          <w:rStyle w:val="FootnoteReference"/>
          <w:sz w:val="24"/>
          <w:szCs w:val="24"/>
          <w:lang w:val="pt-PT"/>
        </w:rPr>
        <w:footnoteRef/>
      </w:r>
      <w:r w:rsidR="003C2E10" w:rsidRPr="002D6608">
        <w:rPr>
          <w:sz w:val="24"/>
          <w:szCs w:val="24"/>
          <w:lang w:val="pt-PT"/>
        </w:rPr>
        <w:t xml:space="preserve"> </w:t>
      </w:r>
      <w:r w:rsidR="003C2E10" w:rsidRPr="002D6608">
        <w:rPr>
          <w:sz w:val="24"/>
          <w:szCs w:val="24"/>
          <w:lang w:val="pt-PT"/>
        </w:rPr>
        <w:tab/>
      </w:r>
      <w:r w:rsidRPr="002D6608">
        <w:rPr>
          <w:sz w:val="24"/>
          <w:szCs w:val="24"/>
          <w:lang w:val="pt-PT"/>
        </w:rPr>
        <w:t xml:space="preserve">JO L 311 de 14.11.2002, p. 3, ELI: </w:t>
      </w:r>
      <w:hyperlink r:id="rId1" w:history="1">
        <w:r w:rsidRPr="00F9736D">
          <w:rPr>
            <w:rStyle w:val="Hyperlink"/>
            <w:sz w:val="24"/>
            <w:szCs w:val="24"/>
          </w:rPr>
          <w:t>http://data.europa.eu/eli/reg/2002/2012/oj</w:t>
        </w:r>
      </w:hyperlink>
      <w:r w:rsidRPr="002D6608">
        <w:rPr>
          <w:sz w:val="24"/>
          <w:szCs w:val="24"/>
          <w:lang w:val="pt-PT"/>
        </w:rPr>
        <w:t>.</w:t>
      </w:r>
    </w:p>
  </w:footnote>
  <w:footnote w:id="2">
    <w:p w14:paraId="14B75B5E" w14:textId="2179D5CA" w:rsidR="0017532A" w:rsidRPr="002D6608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2D6608">
        <w:rPr>
          <w:rStyle w:val="FootnoteReference"/>
          <w:sz w:val="24"/>
          <w:szCs w:val="24"/>
          <w:lang w:val="pt-PT"/>
        </w:rPr>
        <w:footnoteRef/>
      </w:r>
      <w:r w:rsidR="003C2E10" w:rsidRPr="002D6608">
        <w:rPr>
          <w:sz w:val="24"/>
          <w:szCs w:val="24"/>
          <w:lang w:val="pt-PT"/>
        </w:rPr>
        <w:t xml:space="preserve"> </w:t>
      </w:r>
      <w:r w:rsidR="003C2E10" w:rsidRPr="002D6608">
        <w:rPr>
          <w:sz w:val="24"/>
          <w:szCs w:val="24"/>
          <w:lang w:val="pt-PT"/>
        </w:rPr>
        <w:tab/>
      </w:r>
      <w:r w:rsidRPr="002D6608">
        <w:rPr>
          <w:sz w:val="24"/>
          <w:szCs w:val="24"/>
          <w:lang w:val="pt-PT"/>
        </w:rPr>
        <w:t xml:space="preserve">JO L 433 I de 22.12.2020, p. 11, ELI: </w:t>
      </w:r>
      <w:hyperlink r:id="rId2" w:history="1">
        <w:r w:rsidRPr="00F9736D">
          <w:rPr>
            <w:rStyle w:val="Hyperlink"/>
            <w:sz w:val="24"/>
            <w:szCs w:val="24"/>
          </w:rPr>
          <w:t>http://data.europa.eu/eli/reg/2020/2093/oj</w:t>
        </w:r>
      </w:hyperlink>
      <w:r w:rsidRPr="002D6608">
        <w:rPr>
          <w:sz w:val="24"/>
          <w:szCs w:val="24"/>
          <w:lang w:val="pt-PT"/>
        </w:rPr>
        <w:t>.</w:t>
      </w:r>
    </w:p>
  </w:footnote>
  <w:footnote w:id="3">
    <w:p w14:paraId="5938EF54" w14:textId="03CA78D6" w:rsidR="0017532A" w:rsidRPr="002D6608" w:rsidRDefault="0017532A" w:rsidP="003C2E10">
      <w:pPr>
        <w:pStyle w:val="FootnoteText"/>
        <w:ind w:left="567" w:hanging="567"/>
        <w:rPr>
          <w:sz w:val="24"/>
          <w:szCs w:val="24"/>
          <w:lang w:val="da-DK"/>
        </w:rPr>
      </w:pPr>
      <w:r w:rsidRPr="002D6608">
        <w:rPr>
          <w:rStyle w:val="FootnoteReference"/>
          <w:sz w:val="24"/>
          <w:szCs w:val="24"/>
          <w:lang w:val="pt-PT"/>
        </w:rPr>
        <w:footnoteRef/>
      </w:r>
      <w:r w:rsidR="003C2E10" w:rsidRPr="002D6608">
        <w:rPr>
          <w:sz w:val="24"/>
          <w:szCs w:val="24"/>
          <w:lang w:val="da-DK"/>
        </w:rPr>
        <w:t xml:space="preserve"> </w:t>
      </w:r>
      <w:r w:rsidR="003C2E10" w:rsidRPr="002D6608">
        <w:rPr>
          <w:sz w:val="24"/>
          <w:szCs w:val="24"/>
          <w:lang w:val="da-DK"/>
        </w:rPr>
        <w:tab/>
      </w:r>
      <w:r w:rsidRPr="002D6608">
        <w:rPr>
          <w:sz w:val="24"/>
          <w:szCs w:val="24"/>
          <w:lang w:val="da-DK"/>
        </w:rPr>
        <w:t xml:space="preserve">JO L 433 I de 22.12.2020, p. 28, ELI: </w:t>
      </w:r>
      <w:hyperlink r:id="rId3" w:history="1">
        <w:r w:rsidRPr="00F9736D">
          <w:rPr>
            <w:rStyle w:val="Hyperlink"/>
            <w:sz w:val="24"/>
            <w:szCs w:val="24"/>
          </w:rPr>
          <w:t>http://data.europa.eu/eli/agree_interinstit/2020/1222/oj</w:t>
        </w:r>
      </w:hyperlink>
      <w:r w:rsidRPr="002D6608">
        <w:rPr>
          <w:sz w:val="24"/>
          <w:szCs w:val="24"/>
          <w:lang w:val="da-DK"/>
        </w:rPr>
        <w:t>.</w:t>
      </w:r>
    </w:p>
  </w:footnote>
  <w:footnote w:id="4">
    <w:p w14:paraId="7842539C" w14:textId="19F9581C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fi-FI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fi-FI"/>
        </w:rPr>
        <w:t xml:space="preserve"> </w:t>
      </w:r>
      <w:r w:rsidR="003C2E10" w:rsidRPr="00F9736D">
        <w:rPr>
          <w:sz w:val="24"/>
          <w:szCs w:val="24"/>
          <w:lang w:val="fi-FI"/>
        </w:rPr>
        <w:tab/>
      </w:r>
      <w:r w:rsidRPr="00F9736D">
        <w:rPr>
          <w:sz w:val="24"/>
          <w:szCs w:val="24"/>
          <w:lang w:val="fi-FI"/>
        </w:rPr>
        <w:t xml:space="preserve">JO L 231 de 30.6.2021, p. 60, ELI: </w:t>
      </w:r>
      <w:hyperlink r:id="rId4" w:history="1">
        <w:r w:rsidRPr="00F9736D">
          <w:rPr>
            <w:rStyle w:val="Hyperlink"/>
            <w:sz w:val="24"/>
            <w:szCs w:val="24"/>
          </w:rPr>
          <w:t>http://data.europa.eu/eli/reg/2021/1058/oj</w:t>
        </w:r>
      </w:hyperlink>
      <w:r w:rsidRPr="00F9736D">
        <w:rPr>
          <w:sz w:val="24"/>
          <w:szCs w:val="24"/>
          <w:lang w:val="fi-FI"/>
        </w:rPr>
        <w:t>.</w:t>
      </w:r>
    </w:p>
  </w:footnote>
  <w:footnote w:id="5">
    <w:p w14:paraId="238E8FAB" w14:textId="1408065C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fi-FI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fi-FI"/>
        </w:rPr>
        <w:t xml:space="preserve"> </w:t>
      </w:r>
      <w:r w:rsidR="003C2E10" w:rsidRPr="00F9736D">
        <w:rPr>
          <w:sz w:val="24"/>
          <w:szCs w:val="24"/>
          <w:lang w:val="fi-FI"/>
        </w:rPr>
        <w:tab/>
      </w:r>
      <w:r w:rsidRPr="00F9736D">
        <w:rPr>
          <w:sz w:val="24"/>
          <w:szCs w:val="24"/>
          <w:lang w:val="fi-FI"/>
        </w:rPr>
        <w:t xml:space="preserve">JO L 231 de 30.6.2021, p. 21, ELI: </w:t>
      </w:r>
      <w:hyperlink r:id="rId5" w:history="1">
        <w:r w:rsidRPr="00F9736D">
          <w:rPr>
            <w:rStyle w:val="Hyperlink"/>
            <w:sz w:val="24"/>
            <w:szCs w:val="24"/>
          </w:rPr>
          <w:t>http://data.europa.eu/eli/reg/2021/1057/oj</w:t>
        </w:r>
      </w:hyperlink>
      <w:r w:rsidRPr="00F9736D">
        <w:rPr>
          <w:sz w:val="24"/>
          <w:szCs w:val="24"/>
          <w:lang w:val="fi-FI"/>
        </w:rPr>
        <w:t>.</w:t>
      </w:r>
    </w:p>
  </w:footnote>
  <w:footnote w:id="6">
    <w:p w14:paraId="2F2A60AC" w14:textId="14894722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pt-PT"/>
        </w:rPr>
        <w:t xml:space="preserve"> </w:t>
      </w:r>
      <w:r w:rsidR="003C2E10" w:rsidRPr="00F9736D">
        <w:rPr>
          <w:sz w:val="24"/>
          <w:szCs w:val="24"/>
          <w:lang w:val="pt-PT"/>
        </w:rPr>
        <w:tab/>
      </w:r>
      <w:r w:rsidRPr="00F9736D">
        <w:rPr>
          <w:sz w:val="24"/>
          <w:szCs w:val="24"/>
          <w:lang w:val="pt-PT"/>
        </w:rPr>
        <w:t xml:space="preserve">JO L 435 de 6.12.2021, p. 1, ELI: </w:t>
      </w:r>
      <w:hyperlink r:id="rId6" w:history="1">
        <w:r w:rsidRPr="00F9736D">
          <w:rPr>
            <w:rStyle w:val="Hyperlink"/>
            <w:sz w:val="24"/>
            <w:szCs w:val="24"/>
          </w:rPr>
          <w:t>http://data.europa.eu/eli/reg/2021/2115/oj</w:t>
        </w:r>
      </w:hyperlink>
      <w:r w:rsidR="00F9736D" w:rsidRPr="00F9736D">
        <w:rPr>
          <w:sz w:val="24"/>
          <w:szCs w:val="24"/>
          <w:lang w:val="pt-PT"/>
        </w:rPr>
        <w:t>.</w:t>
      </w:r>
    </w:p>
  </w:footnote>
  <w:footnote w:id="7">
    <w:p w14:paraId="07CB8041" w14:textId="072D0FEC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pt-PT"/>
        </w:rPr>
        <w:t xml:space="preserve"> </w:t>
      </w:r>
      <w:r w:rsidR="003C2E10" w:rsidRPr="00F9736D">
        <w:rPr>
          <w:sz w:val="24"/>
          <w:szCs w:val="24"/>
          <w:lang w:val="pt-PT"/>
        </w:rPr>
        <w:tab/>
      </w:r>
      <w:r w:rsidRPr="00F9736D">
        <w:rPr>
          <w:sz w:val="24"/>
          <w:szCs w:val="24"/>
          <w:lang w:val="pt-PT"/>
        </w:rPr>
        <w:t>Textos Aprovados, P10_</w:t>
      </w:r>
      <w:proofErr w:type="gramStart"/>
      <w:r w:rsidRPr="00F9736D">
        <w:rPr>
          <w:sz w:val="24"/>
          <w:szCs w:val="24"/>
          <w:lang w:val="pt-PT"/>
        </w:rPr>
        <w:t>TA(</w:t>
      </w:r>
      <w:proofErr w:type="gramEnd"/>
      <w:r w:rsidRPr="00F9736D">
        <w:rPr>
          <w:sz w:val="24"/>
          <w:szCs w:val="24"/>
          <w:lang w:val="pt-PT"/>
        </w:rPr>
        <w:t>2024)0059.</w:t>
      </w:r>
    </w:p>
  </w:footnote>
  <w:footnote w:id="8">
    <w:p w14:paraId="2503E1F5" w14:textId="34DE24CA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pt-PT"/>
        </w:rPr>
        <w:t xml:space="preserve"> </w:t>
      </w:r>
      <w:r w:rsidR="003C2E10" w:rsidRPr="00F9736D">
        <w:rPr>
          <w:sz w:val="24"/>
          <w:szCs w:val="24"/>
          <w:lang w:val="pt-PT"/>
        </w:rPr>
        <w:tab/>
      </w:r>
      <w:r w:rsidRPr="00F9736D">
        <w:rPr>
          <w:sz w:val="24"/>
          <w:szCs w:val="24"/>
          <w:lang w:val="pt-PT"/>
        </w:rPr>
        <w:t>Textos Aprovados, P10_</w:t>
      </w:r>
      <w:proofErr w:type="gramStart"/>
      <w:r w:rsidRPr="00F9736D">
        <w:rPr>
          <w:sz w:val="24"/>
          <w:szCs w:val="24"/>
          <w:lang w:val="pt-PT"/>
        </w:rPr>
        <w:t>TA(</w:t>
      </w:r>
      <w:proofErr w:type="gramEnd"/>
      <w:r w:rsidRPr="00F9736D">
        <w:rPr>
          <w:sz w:val="24"/>
          <w:szCs w:val="24"/>
          <w:lang w:val="pt-PT"/>
        </w:rPr>
        <w:t>2025)0090.</w:t>
      </w:r>
    </w:p>
  </w:footnote>
  <w:footnote w:id="9">
    <w:p w14:paraId="21002B27" w14:textId="4099D4E5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pt-PT"/>
        </w:rPr>
        <w:t xml:space="preserve"> </w:t>
      </w:r>
      <w:r w:rsidR="003C2E10" w:rsidRPr="00F9736D">
        <w:rPr>
          <w:sz w:val="24"/>
          <w:szCs w:val="24"/>
          <w:lang w:val="pt-PT"/>
        </w:rPr>
        <w:tab/>
      </w:r>
      <w:hyperlink r:id="rId7" w:history="1">
        <w:r w:rsidRPr="00F9736D">
          <w:rPr>
            <w:rStyle w:val="Hyperlink"/>
            <w:sz w:val="24"/>
            <w:szCs w:val="24"/>
          </w:rPr>
          <w:t>https://www.eea.europa.eu/publications/european</w:t>
        </w:r>
        <w:r w:rsidRPr="00F9736D">
          <w:rPr>
            <w:rStyle w:val="Hyperlink"/>
            <w:sz w:val="24"/>
            <w:szCs w:val="24"/>
          </w:rPr>
          <w:noBreakHyphen/>
          <w:t>climate</w:t>
        </w:r>
        <w:r w:rsidRPr="00F9736D">
          <w:rPr>
            <w:rStyle w:val="Hyperlink"/>
            <w:sz w:val="24"/>
            <w:szCs w:val="24"/>
          </w:rPr>
          <w:noBreakHyphen/>
          <w:t>risk</w:t>
        </w:r>
        <w:r w:rsidRPr="00F9736D">
          <w:rPr>
            <w:rStyle w:val="Hyperlink"/>
            <w:sz w:val="24"/>
            <w:szCs w:val="24"/>
          </w:rPr>
          <w:noBreakHyphen/>
          <w:t>assessment</w:t>
        </w:r>
      </w:hyperlink>
      <w:r w:rsidRPr="00F9736D">
        <w:rPr>
          <w:sz w:val="24"/>
          <w:szCs w:val="24"/>
          <w:lang w:val="pt-PT"/>
        </w:rPr>
        <w:t xml:space="preserve">. </w:t>
      </w:r>
    </w:p>
  </w:footnote>
  <w:footnote w:id="10">
    <w:p w14:paraId="1E844505" w14:textId="719EDA6C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pt-PT"/>
        </w:rPr>
        <w:t xml:space="preserve"> </w:t>
      </w:r>
      <w:r w:rsidR="003C2E10" w:rsidRPr="00F9736D">
        <w:rPr>
          <w:sz w:val="24"/>
          <w:szCs w:val="24"/>
          <w:lang w:val="pt-PT"/>
        </w:rPr>
        <w:tab/>
      </w:r>
      <w:r w:rsidRPr="00F9736D">
        <w:rPr>
          <w:sz w:val="24"/>
          <w:szCs w:val="24"/>
          <w:lang w:val="pt-PT"/>
        </w:rPr>
        <w:t xml:space="preserve">Regulamento (UE) 2021/241 do Parlamento Europeu e do Conselho, de 12 de fevereiro de 2021, que cria o Mecanismo de Recuperação e Resiliência (JO L 57 de 18.2.2021, p. 17, </w:t>
      </w:r>
      <w:r w:rsidRPr="00F9736D">
        <w:rPr>
          <w:sz w:val="24"/>
          <w:szCs w:val="24"/>
          <w:shd w:val="clear" w:color="auto" w:fill="FFFFFF"/>
          <w:lang w:val="pt-PT"/>
        </w:rPr>
        <w:t>ELI: </w:t>
      </w:r>
      <w:hyperlink r:id="rId8" w:tooltip="Permite aceder ao documento através do seu identificador ELI." w:history="1">
        <w:r w:rsidRPr="00F9736D">
          <w:rPr>
            <w:rStyle w:val="Hyperlink"/>
            <w:sz w:val="24"/>
            <w:szCs w:val="24"/>
          </w:rPr>
          <w:t>http://data.europa.eu/eli/reg/2021/241/oj</w:t>
        </w:r>
      </w:hyperlink>
      <w:r w:rsidRPr="00F9736D">
        <w:rPr>
          <w:sz w:val="24"/>
          <w:szCs w:val="24"/>
          <w:lang w:val="pt-PT"/>
        </w:rPr>
        <w:t>).</w:t>
      </w:r>
    </w:p>
  </w:footnote>
  <w:footnote w:id="11">
    <w:p w14:paraId="5358A017" w14:textId="68A2825E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fi-FI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fi-FI"/>
        </w:rPr>
        <w:t xml:space="preserve"> </w:t>
      </w:r>
      <w:r w:rsidR="003C2E10" w:rsidRPr="00F9736D">
        <w:rPr>
          <w:sz w:val="24"/>
          <w:szCs w:val="24"/>
          <w:lang w:val="fi-FI"/>
        </w:rPr>
        <w:tab/>
      </w:r>
      <w:r w:rsidRPr="00F9736D">
        <w:rPr>
          <w:sz w:val="24"/>
          <w:szCs w:val="24"/>
          <w:lang w:val="fi-FI"/>
        </w:rPr>
        <w:t xml:space="preserve">JO L, 2024/3236, 23.12.2024, ELI: </w:t>
      </w:r>
      <w:hyperlink r:id="rId9" w:history="1">
        <w:r w:rsidRPr="00F9736D">
          <w:rPr>
            <w:rStyle w:val="Hyperlink"/>
            <w:sz w:val="24"/>
            <w:szCs w:val="24"/>
          </w:rPr>
          <w:t>http://data.europa.eu/eli/reg/2024/3236/oj</w:t>
        </w:r>
      </w:hyperlink>
      <w:r w:rsidRPr="00F9736D">
        <w:rPr>
          <w:sz w:val="24"/>
          <w:szCs w:val="24"/>
          <w:lang w:val="fi-FI"/>
        </w:rPr>
        <w:t xml:space="preserve">. </w:t>
      </w:r>
    </w:p>
  </w:footnote>
  <w:footnote w:id="12">
    <w:p w14:paraId="0A0272F1" w14:textId="17D5E93C" w:rsidR="0017532A" w:rsidRPr="00F9736D" w:rsidRDefault="0017532A" w:rsidP="003C2E10">
      <w:pPr>
        <w:pStyle w:val="FootnoteText"/>
        <w:ind w:left="567" w:hanging="567"/>
        <w:rPr>
          <w:sz w:val="24"/>
          <w:szCs w:val="24"/>
          <w:lang w:val="fi-FI"/>
        </w:rPr>
      </w:pPr>
      <w:r w:rsidRPr="00F9736D">
        <w:rPr>
          <w:rStyle w:val="FootnoteReference"/>
          <w:sz w:val="24"/>
          <w:szCs w:val="24"/>
          <w:lang w:val="pt-PT"/>
        </w:rPr>
        <w:footnoteRef/>
      </w:r>
      <w:r w:rsidR="003C2E10" w:rsidRPr="00F9736D">
        <w:rPr>
          <w:sz w:val="24"/>
          <w:szCs w:val="24"/>
          <w:lang w:val="fi-FI"/>
        </w:rPr>
        <w:t xml:space="preserve"> </w:t>
      </w:r>
      <w:r w:rsidR="003C2E10" w:rsidRPr="00F9736D">
        <w:rPr>
          <w:sz w:val="24"/>
          <w:szCs w:val="24"/>
          <w:lang w:val="fi-FI"/>
        </w:rPr>
        <w:tab/>
      </w:r>
      <w:r w:rsidRPr="00F9736D">
        <w:rPr>
          <w:sz w:val="24"/>
          <w:szCs w:val="24"/>
          <w:lang w:val="fi-FI"/>
        </w:rPr>
        <w:t xml:space="preserve">JO L, 2024/3242, 23.12.2024, ELI: </w:t>
      </w:r>
      <w:hyperlink r:id="rId10" w:history="1">
        <w:r w:rsidRPr="00F9736D">
          <w:rPr>
            <w:rStyle w:val="Hyperlink"/>
            <w:sz w:val="24"/>
            <w:szCs w:val="24"/>
          </w:rPr>
          <w:t>http://data.europa.eu/eli/reg/2024/3242/oj</w:t>
        </w:r>
      </w:hyperlink>
      <w:r w:rsidRPr="00F9736D">
        <w:rPr>
          <w:sz w:val="24"/>
          <w:szCs w:val="24"/>
          <w:lang w:val="fi-FI"/>
        </w:rPr>
        <w:t xml:space="preserve">. </w:t>
      </w:r>
    </w:p>
  </w:footnote>
  <w:footnote w:id="13">
    <w:p w14:paraId="1B004033" w14:textId="2548CC54" w:rsidR="0017532A" w:rsidRPr="002D6608" w:rsidRDefault="0017532A" w:rsidP="003C2E10">
      <w:pPr>
        <w:pStyle w:val="FootnoteText"/>
        <w:ind w:left="567" w:hanging="567"/>
        <w:rPr>
          <w:sz w:val="24"/>
          <w:szCs w:val="24"/>
          <w:lang w:val="pt-PT"/>
        </w:rPr>
      </w:pPr>
      <w:r w:rsidRPr="002D6608">
        <w:rPr>
          <w:rStyle w:val="FootnoteReference"/>
          <w:sz w:val="24"/>
          <w:szCs w:val="24"/>
          <w:lang w:val="pt-PT"/>
        </w:rPr>
        <w:footnoteRef/>
      </w:r>
      <w:r w:rsidR="003C2E10" w:rsidRPr="002D6608">
        <w:rPr>
          <w:sz w:val="24"/>
          <w:szCs w:val="24"/>
          <w:lang w:val="pt-PT"/>
        </w:rPr>
        <w:t xml:space="preserve"> </w:t>
      </w:r>
      <w:r w:rsidR="003C2E10" w:rsidRPr="002D6608">
        <w:rPr>
          <w:sz w:val="24"/>
          <w:szCs w:val="24"/>
          <w:lang w:val="pt-PT"/>
        </w:rPr>
        <w:tab/>
      </w:r>
      <w:r w:rsidRPr="002D6608">
        <w:rPr>
          <w:sz w:val="24"/>
          <w:szCs w:val="24"/>
          <w:lang w:val="pt-PT"/>
        </w:rPr>
        <w:t>Textos Aprovados, P10_</w:t>
      </w:r>
      <w:proofErr w:type="gramStart"/>
      <w:r w:rsidRPr="002D6608">
        <w:rPr>
          <w:sz w:val="24"/>
          <w:szCs w:val="24"/>
          <w:lang w:val="pt-PT"/>
        </w:rPr>
        <w:t>TA(</w:t>
      </w:r>
      <w:proofErr w:type="gramEnd"/>
      <w:r w:rsidRPr="002D6608">
        <w:rPr>
          <w:sz w:val="24"/>
          <w:szCs w:val="24"/>
          <w:lang w:val="pt-PT"/>
        </w:rPr>
        <w:t>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5528" w14:textId="77777777" w:rsidR="00064002" w:rsidRPr="003C2E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E0A0E" w14:textId="77777777" w:rsidR="00064002" w:rsidRPr="003C2E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E8956" w14:textId="77777777" w:rsidR="00064002" w:rsidRPr="003C2E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9065890">
    <w:abstractNumId w:val="9"/>
  </w:num>
  <w:num w:numId="2" w16cid:durableId="1183739232">
    <w:abstractNumId w:val="9"/>
  </w:num>
  <w:num w:numId="3" w16cid:durableId="574820731">
    <w:abstractNumId w:val="7"/>
  </w:num>
  <w:num w:numId="4" w16cid:durableId="143133164">
    <w:abstractNumId w:val="7"/>
  </w:num>
  <w:num w:numId="5" w16cid:durableId="1427767546">
    <w:abstractNumId w:val="6"/>
  </w:num>
  <w:num w:numId="6" w16cid:durableId="1208764359">
    <w:abstractNumId w:val="6"/>
  </w:num>
  <w:num w:numId="7" w16cid:durableId="591091207">
    <w:abstractNumId w:val="5"/>
  </w:num>
  <w:num w:numId="8" w16cid:durableId="710763675">
    <w:abstractNumId w:val="5"/>
  </w:num>
  <w:num w:numId="9" w16cid:durableId="1803956496">
    <w:abstractNumId w:val="4"/>
  </w:num>
  <w:num w:numId="10" w16cid:durableId="1694183922">
    <w:abstractNumId w:val="4"/>
  </w:num>
  <w:num w:numId="11" w16cid:durableId="812871368">
    <w:abstractNumId w:val="8"/>
  </w:num>
  <w:num w:numId="12" w16cid:durableId="1912032758">
    <w:abstractNumId w:val="8"/>
  </w:num>
  <w:num w:numId="13" w16cid:durableId="21442117">
    <w:abstractNumId w:val="3"/>
  </w:num>
  <w:num w:numId="14" w16cid:durableId="377247717">
    <w:abstractNumId w:val="3"/>
  </w:num>
  <w:num w:numId="15" w16cid:durableId="1261569120">
    <w:abstractNumId w:val="2"/>
  </w:num>
  <w:num w:numId="16" w16cid:durableId="188304849">
    <w:abstractNumId w:val="2"/>
  </w:num>
  <w:num w:numId="17" w16cid:durableId="538788412">
    <w:abstractNumId w:val="1"/>
  </w:num>
  <w:num w:numId="18" w16cid:durableId="1186476397">
    <w:abstractNumId w:val="1"/>
  </w:num>
  <w:num w:numId="19" w16cid:durableId="1403134822">
    <w:abstractNumId w:val="0"/>
  </w:num>
  <w:num w:numId="20" w16cid:durableId="1656300867">
    <w:abstractNumId w:val="0"/>
  </w:num>
  <w:num w:numId="21" w16cid:durableId="1472597257">
    <w:abstractNumId w:val="9"/>
  </w:num>
  <w:num w:numId="22" w16cid:durableId="586304286">
    <w:abstractNumId w:val="7"/>
  </w:num>
  <w:num w:numId="23" w16cid:durableId="174534703">
    <w:abstractNumId w:val="6"/>
  </w:num>
  <w:num w:numId="24" w16cid:durableId="1258707037">
    <w:abstractNumId w:val="5"/>
  </w:num>
  <w:num w:numId="25" w16cid:durableId="1422414044">
    <w:abstractNumId w:val="4"/>
  </w:num>
  <w:num w:numId="26" w16cid:durableId="1543056138">
    <w:abstractNumId w:val="8"/>
  </w:num>
  <w:num w:numId="27" w16cid:durableId="253634660">
    <w:abstractNumId w:val="3"/>
  </w:num>
  <w:num w:numId="28" w16cid:durableId="436214968">
    <w:abstractNumId w:val="2"/>
  </w:num>
  <w:num w:numId="29" w16cid:durableId="1491480597">
    <w:abstractNumId w:val="1"/>
  </w:num>
  <w:num w:numId="30" w16cid:durableId="1293560653">
    <w:abstractNumId w:val="0"/>
  </w:num>
  <w:num w:numId="31" w16cid:durableId="917520988">
    <w:abstractNumId w:val="9"/>
  </w:num>
  <w:num w:numId="32" w16cid:durableId="1178042083">
    <w:abstractNumId w:val="7"/>
  </w:num>
  <w:num w:numId="33" w16cid:durableId="1548419579">
    <w:abstractNumId w:val="6"/>
  </w:num>
  <w:num w:numId="34" w16cid:durableId="771514785">
    <w:abstractNumId w:val="5"/>
  </w:num>
  <w:num w:numId="35" w16cid:durableId="1539124862">
    <w:abstractNumId w:val="4"/>
  </w:num>
  <w:num w:numId="36" w16cid:durableId="69276233">
    <w:abstractNumId w:val="8"/>
  </w:num>
  <w:num w:numId="37" w16cid:durableId="1151799151">
    <w:abstractNumId w:val="3"/>
  </w:num>
  <w:num w:numId="38" w16cid:durableId="1775514711">
    <w:abstractNumId w:val="2"/>
  </w:num>
  <w:num w:numId="39" w16cid:durableId="1076245391">
    <w:abstractNumId w:val="1"/>
  </w:num>
  <w:num w:numId="40" w16cid:durableId="261229339">
    <w:abstractNumId w:val="0"/>
  </w:num>
  <w:num w:numId="41" w16cid:durableId="1737387595">
    <w:abstractNumId w:val="10"/>
  </w:num>
  <w:num w:numId="42" w16cid:durableId="1345935076">
    <w:abstractNumId w:val="10"/>
  </w:num>
  <w:num w:numId="43" w16cid:durableId="26180219">
    <w:abstractNumId w:val="10"/>
  </w:num>
  <w:num w:numId="44" w16cid:durableId="17205442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PT"/>
    <w:docVar w:name="dvnumam" w:val="0"/>
    <w:docVar w:name="dvpe" w:val="778.223"/>
    <w:docVar w:name="dvrapporteur" w:val="Relatora: "/>
    <w:docVar w:name="dvtitre" w:val="Resolução do Parlamento Europeu, de ... de ... de 2025,_x000d__x000a_ sobre a proposta de decisão do Parlamento Europeu e do Conselho relativa à mobilização do Fundo de Solidariedade da União Europeia para prestar assistência à Espanha na sequência das inundações registadas na região de Valência em outubro de 2024 e à França decorrente dos prejuízos causados pelo ciclone Chido na ilha de Maiote em dezembro de 2024, e pelo ciclone Garance na ilha da Reunião em fevereiro de 2025(COM(2025)0855 – C10-0239/2025 – 2025/0318(BUD))"/>
  </w:docVars>
  <w:rsids>
    <w:rsidRoot w:val="008D6A4C"/>
    <w:rsid w:val="00002272"/>
    <w:rsid w:val="00064002"/>
    <w:rsid w:val="000677B9"/>
    <w:rsid w:val="000831BA"/>
    <w:rsid w:val="000A42CC"/>
    <w:rsid w:val="000E7DD9"/>
    <w:rsid w:val="0010095E"/>
    <w:rsid w:val="0012364C"/>
    <w:rsid w:val="00125B37"/>
    <w:rsid w:val="00152E1E"/>
    <w:rsid w:val="0017532A"/>
    <w:rsid w:val="00187494"/>
    <w:rsid w:val="001F32AE"/>
    <w:rsid w:val="0023692F"/>
    <w:rsid w:val="002767FF"/>
    <w:rsid w:val="002A7717"/>
    <w:rsid w:val="002B18FE"/>
    <w:rsid w:val="002B5493"/>
    <w:rsid w:val="002D6608"/>
    <w:rsid w:val="00343214"/>
    <w:rsid w:val="00361C00"/>
    <w:rsid w:val="00395FA1"/>
    <w:rsid w:val="003C2E10"/>
    <w:rsid w:val="003E15D4"/>
    <w:rsid w:val="00411CCE"/>
    <w:rsid w:val="0041666E"/>
    <w:rsid w:val="00421060"/>
    <w:rsid w:val="00471C19"/>
    <w:rsid w:val="004812DA"/>
    <w:rsid w:val="004867E3"/>
    <w:rsid w:val="00494A28"/>
    <w:rsid w:val="004C0004"/>
    <w:rsid w:val="004C5D52"/>
    <w:rsid w:val="0050519A"/>
    <w:rsid w:val="00506CEE"/>
    <w:rsid w:val="005072A1"/>
    <w:rsid w:val="00514517"/>
    <w:rsid w:val="00545827"/>
    <w:rsid w:val="00560270"/>
    <w:rsid w:val="00574BD4"/>
    <w:rsid w:val="005C2568"/>
    <w:rsid w:val="005F1B17"/>
    <w:rsid w:val="006037C0"/>
    <w:rsid w:val="006631B6"/>
    <w:rsid w:val="00680577"/>
    <w:rsid w:val="006B2025"/>
    <w:rsid w:val="006F74FA"/>
    <w:rsid w:val="0072323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3E8"/>
    <w:rsid w:val="008C2AC6"/>
    <w:rsid w:val="008D6A4C"/>
    <w:rsid w:val="008E18DC"/>
    <w:rsid w:val="00930C23"/>
    <w:rsid w:val="0093193B"/>
    <w:rsid w:val="009509D8"/>
    <w:rsid w:val="00950B64"/>
    <w:rsid w:val="00981893"/>
    <w:rsid w:val="00A1687D"/>
    <w:rsid w:val="00A43E52"/>
    <w:rsid w:val="00A45A3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3E6"/>
    <w:rsid w:val="00BD48FE"/>
    <w:rsid w:val="00BD7BD8"/>
    <w:rsid w:val="00BE6ADC"/>
    <w:rsid w:val="00C05BFE"/>
    <w:rsid w:val="00C23CD4"/>
    <w:rsid w:val="00C61C0C"/>
    <w:rsid w:val="00C918A3"/>
    <w:rsid w:val="00C941CB"/>
    <w:rsid w:val="00CC2357"/>
    <w:rsid w:val="00CF071A"/>
    <w:rsid w:val="00D04602"/>
    <w:rsid w:val="00D058B8"/>
    <w:rsid w:val="00D56C11"/>
    <w:rsid w:val="00D834A0"/>
    <w:rsid w:val="00D872DF"/>
    <w:rsid w:val="00D91E21"/>
    <w:rsid w:val="00DA7FCD"/>
    <w:rsid w:val="00DB3778"/>
    <w:rsid w:val="00E06936"/>
    <w:rsid w:val="00E365E1"/>
    <w:rsid w:val="00E66C66"/>
    <w:rsid w:val="00E7437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2B8"/>
    <w:rsid w:val="00F74202"/>
    <w:rsid w:val="00F87713"/>
    <w:rsid w:val="00F9736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4F5D5"/>
  <w15:chartTrackingRefBased/>
  <w15:docId w15:val="{6B2AC1E4-9F01-43AE-B2EE-1594E724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7532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7532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17532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75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7532A"/>
    <w:rPr>
      <w:sz w:val="24"/>
      <w:lang w:val="pt-PT"/>
    </w:rPr>
  </w:style>
  <w:style w:type="paragraph" w:customStyle="1" w:styleId="NormalBold24a">
    <w:name w:val="NormalBold24a"/>
    <w:basedOn w:val="Normal"/>
    <w:rsid w:val="0017532A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17532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7532A"/>
    <w:pPr>
      <w:spacing w:before="480" w:after="240"/>
    </w:pPr>
  </w:style>
  <w:style w:type="character" w:styleId="Hyperlink">
    <w:name w:val="Hyperlink"/>
    <w:basedOn w:val="DefaultParagraphFont"/>
    <w:uiPriority w:val="99"/>
    <w:rsid w:val="0017532A"/>
    <w:rPr>
      <w:color w:val="0563C1" w:themeColor="hyperlink"/>
      <w:u w:val="single"/>
    </w:rPr>
  </w:style>
  <w:style w:type="paragraph" w:customStyle="1" w:styleId="Point0">
    <w:name w:val="Point 0"/>
    <w:basedOn w:val="Normal"/>
    <w:rsid w:val="0017532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17532A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7532A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F622B8"/>
    <w:rPr>
      <w:sz w:val="24"/>
      <w:lang w:val="pt-PT"/>
    </w:rPr>
  </w:style>
  <w:style w:type="paragraph" w:styleId="Footer">
    <w:name w:val="footer"/>
    <w:basedOn w:val="Normal"/>
    <w:link w:val="FooterChar"/>
    <w:rsid w:val="00F622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622B8"/>
    <w:rPr>
      <w:sz w:val="24"/>
      <w:lang w:val="pt-PT"/>
    </w:rPr>
  </w:style>
  <w:style w:type="character" w:styleId="CommentReference">
    <w:name w:val="annotation reference"/>
    <w:basedOn w:val="DefaultParagraphFont"/>
    <w:rsid w:val="00E069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69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0693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06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6936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E069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236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publications/european-climate-risk-assessment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2016</Words>
  <Characters>11493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2026-01-16T14:47:00Z</dcterms:created>
  <dcterms:modified xsi:type="dcterms:W3CDTF">2026-01-16T14:47:00Z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