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39D7" w14:paraId="106C2252" w14:textId="77777777" w:rsidTr="0010095E">
        <w:trPr>
          <w:trHeight w:hRule="exact" w:val="1418"/>
        </w:trPr>
        <w:tc>
          <w:tcPr>
            <w:tcW w:w="6804" w:type="dxa"/>
            <w:shd w:val="clear" w:color="auto" w:fill="auto"/>
            <w:vAlign w:val="center"/>
          </w:tcPr>
          <w:p w14:paraId="20C7B414" w14:textId="77777777" w:rsidR="00751A4A" w:rsidRPr="005A39D7" w:rsidRDefault="00797A83" w:rsidP="0010095E">
            <w:pPr>
              <w:pStyle w:val="EPName"/>
            </w:pPr>
            <w:r w:rsidRPr="005A39D7">
              <w:t>Parlamentul European</w:t>
            </w:r>
          </w:p>
          <w:p w14:paraId="285434B7" w14:textId="77777777" w:rsidR="00751A4A" w:rsidRPr="005A39D7" w:rsidRDefault="005F1B17" w:rsidP="005F1B17">
            <w:pPr>
              <w:pStyle w:val="EPTerm"/>
              <w:rPr>
                <w:rStyle w:val="HideTWBExt"/>
                <w:noProof w:val="0"/>
                <w:vanish w:val="0"/>
                <w:color w:val="auto"/>
              </w:rPr>
            </w:pPr>
            <w:r w:rsidRPr="005A39D7">
              <w:t>2024</w:t>
            </w:r>
            <w:r w:rsidR="00817416" w:rsidRPr="005A39D7">
              <w:t>-202</w:t>
            </w:r>
            <w:r w:rsidRPr="005A39D7">
              <w:t>9</w:t>
            </w:r>
          </w:p>
        </w:tc>
        <w:tc>
          <w:tcPr>
            <w:tcW w:w="2268" w:type="dxa"/>
            <w:shd w:val="clear" w:color="auto" w:fill="auto"/>
          </w:tcPr>
          <w:p w14:paraId="417714F7" w14:textId="77777777" w:rsidR="00751A4A" w:rsidRPr="005A39D7" w:rsidRDefault="00187494" w:rsidP="0010095E">
            <w:pPr>
              <w:pStyle w:val="EPLogo"/>
            </w:pPr>
            <w:r w:rsidRPr="005A39D7">
              <w:rPr>
                <w:noProof/>
                <w:lang w:eastAsia="ja-JP"/>
              </w:rPr>
              <w:drawing>
                <wp:inline distT="0" distB="0" distL="0" distR="0" wp14:anchorId="24FFD163" wp14:editId="051091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6D6E6C" w14:textId="77777777" w:rsidR="00D058B8" w:rsidRPr="005A39D7" w:rsidRDefault="00D058B8" w:rsidP="004C5D52">
      <w:pPr>
        <w:pStyle w:val="LineTop"/>
      </w:pPr>
    </w:p>
    <w:p w14:paraId="4431D56A" w14:textId="77777777" w:rsidR="00680577" w:rsidRPr="005A39D7" w:rsidRDefault="00797A83" w:rsidP="00680577">
      <w:pPr>
        <w:pStyle w:val="EPBodyTA1"/>
      </w:pPr>
      <w:r w:rsidRPr="005A39D7">
        <w:t>TEXTE ADOPTATE</w:t>
      </w:r>
    </w:p>
    <w:p w14:paraId="46D5157B" w14:textId="77777777" w:rsidR="00D058B8" w:rsidRPr="005A39D7" w:rsidRDefault="00D058B8" w:rsidP="00D058B8">
      <w:pPr>
        <w:pStyle w:val="LineBottom"/>
      </w:pPr>
    </w:p>
    <w:p w14:paraId="77A5DE94" w14:textId="2836FE6B" w:rsidR="00797A83" w:rsidRPr="005A39D7" w:rsidRDefault="00797A83" w:rsidP="00797A83">
      <w:pPr>
        <w:pStyle w:val="ATHeading1"/>
      </w:pPr>
      <w:bookmarkStart w:id="0" w:name="TANumber"/>
      <w:r w:rsidRPr="005A39D7">
        <w:t>P10_TA(2025)0</w:t>
      </w:r>
      <w:bookmarkEnd w:id="0"/>
      <w:r w:rsidR="005A39D7" w:rsidRPr="005A39D7">
        <w:t>274</w:t>
      </w:r>
    </w:p>
    <w:p w14:paraId="3158DE3C" w14:textId="77777777" w:rsidR="00797A83" w:rsidRPr="005A39D7" w:rsidRDefault="00797A83" w:rsidP="00797A83">
      <w:pPr>
        <w:pStyle w:val="ATHeading2"/>
      </w:pPr>
      <w:bookmarkStart w:id="1" w:name="title"/>
      <w:r w:rsidRPr="005A39D7">
        <w:t>Mobilizarea Fondului de solidaritate al Uniunii Europene: asistență pentru Spania și Franța în legătură cu catastrofele naturale din 2024 și 2025</w:t>
      </w:r>
      <w:bookmarkEnd w:id="1"/>
    </w:p>
    <w:p w14:paraId="3952710C" w14:textId="77777777" w:rsidR="00797A83" w:rsidRPr="005A39D7" w:rsidRDefault="00797A83" w:rsidP="00797A83">
      <w:pPr>
        <w:rPr>
          <w:i/>
          <w:vanish/>
        </w:rPr>
      </w:pPr>
      <w:r w:rsidRPr="005A39D7">
        <w:rPr>
          <w:i/>
        </w:rPr>
        <w:fldChar w:fldCharType="begin"/>
      </w:r>
      <w:r w:rsidRPr="005A39D7">
        <w:rPr>
          <w:i/>
        </w:rPr>
        <w:instrText xml:space="preserve"> TC"(</w:instrText>
      </w:r>
      <w:bookmarkStart w:id="2" w:name="DocNumber"/>
      <w:r w:rsidRPr="005A39D7">
        <w:rPr>
          <w:i/>
        </w:rPr>
        <w:instrText>A10-0215/2025</w:instrText>
      </w:r>
      <w:bookmarkEnd w:id="2"/>
      <w:r w:rsidRPr="005A39D7">
        <w:rPr>
          <w:i/>
        </w:rPr>
        <w:instrText xml:space="preserve"> - Raportoare: Sandra Gómez López)"\l3 \n&gt; \* MERGEFORMAT </w:instrText>
      </w:r>
      <w:r w:rsidRPr="005A39D7">
        <w:rPr>
          <w:i/>
        </w:rPr>
        <w:fldChar w:fldCharType="end"/>
      </w:r>
    </w:p>
    <w:p w14:paraId="2AC7BD9D" w14:textId="77777777" w:rsidR="00797A83" w:rsidRPr="005A39D7" w:rsidRDefault="00797A83" w:rsidP="00797A83">
      <w:pPr>
        <w:rPr>
          <w:vanish/>
        </w:rPr>
      </w:pPr>
      <w:bookmarkStart w:id="3" w:name="Commission"/>
      <w:r w:rsidRPr="005A39D7">
        <w:rPr>
          <w:vanish/>
        </w:rPr>
        <w:t>Comisia pentru bugete</w:t>
      </w:r>
      <w:bookmarkEnd w:id="3"/>
    </w:p>
    <w:p w14:paraId="4BC20B39" w14:textId="77777777" w:rsidR="00797A83" w:rsidRPr="005A39D7" w:rsidRDefault="00797A83" w:rsidP="00797A83">
      <w:pPr>
        <w:rPr>
          <w:vanish/>
        </w:rPr>
      </w:pPr>
      <w:bookmarkStart w:id="4" w:name="PE"/>
      <w:r w:rsidRPr="005A39D7">
        <w:rPr>
          <w:vanish/>
        </w:rPr>
        <w:t>PE778.223</w:t>
      </w:r>
      <w:bookmarkEnd w:id="4"/>
    </w:p>
    <w:p w14:paraId="6E3565B7" w14:textId="77777777" w:rsidR="00797A83" w:rsidRPr="005A39D7" w:rsidRDefault="00797A83" w:rsidP="00797A83">
      <w:pPr>
        <w:pStyle w:val="ATHeading3"/>
      </w:pPr>
      <w:bookmarkStart w:id="5" w:name="Sujet"/>
      <w:r w:rsidRPr="005A39D7">
        <w:t xml:space="preserve">Rezoluția Parlamentului European din 13 noiembrie 2025 referitoare la propunerea de decizie a Parlamentului European și a Consiliului privind mobilizarea Fondului de solidaritate al Uniunii Europene în vederea furnizării de asistență Spaniei în contextul inundațiilor care au afectat regiunea Valencia din Spania în octombrie 2024 și Franței ca urmare a daunelor provocate de ciclonul </w:t>
      </w:r>
      <w:proofErr w:type="spellStart"/>
      <w:r w:rsidRPr="005A39D7">
        <w:t>Chido</w:t>
      </w:r>
      <w:proofErr w:type="spellEnd"/>
      <w:r w:rsidRPr="005A39D7">
        <w:t xml:space="preserve"> în </w:t>
      </w:r>
      <w:proofErr w:type="spellStart"/>
      <w:r w:rsidRPr="005A39D7">
        <w:t>Mayotte</w:t>
      </w:r>
      <w:proofErr w:type="spellEnd"/>
      <w:r w:rsidRPr="005A39D7">
        <w:t xml:space="preserve"> în decembrie 2024 și de ciclonul </w:t>
      </w:r>
      <w:proofErr w:type="spellStart"/>
      <w:r w:rsidRPr="005A39D7">
        <w:t>Garance</w:t>
      </w:r>
      <w:proofErr w:type="spellEnd"/>
      <w:r w:rsidRPr="005A39D7">
        <w:t xml:space="preserve"> în Réunion în februarie 2025</w:t>
      </w:r>
      <w:bookmarkEnd w:id="5"/>
      <w:r w:rsidRPr="005A39D7">
        <w:t xml:space="preserve"> </w:t>
      </w:r>
      <w:bookmarkStart w:id="6" w:name="References"/>
      <w:r w:rsidRPr="005A39D7">
        <w:t>(COM(2025)0855 – C10-0239/2025 – 2025/0318(BUD))</w:t>
      </w:r>
      <w:bookmarkEnd w:id="6"/>
    </w:p>
    <w:p w14:paraId="5B315EDF" w14:textId="77777777" w:rsidR="00036616" w:rsidRPr="005A39D7" w:rsidRDefault="00036616" w:rsidP="00036616">
      <w:pPr>
        <w:pStyle w:val="EPComma"/>
        <w:rPr>
          <w:noProof/>
        </w:rPr>
      </w:pPr>
      <w:r w:rsidRPr="005A39D7">
        <w:rPr>
          <w:i/>
        </w:rPr>
        <w:t>Parlamentul European</w:t>
      </w:r>
      <w:r w:rsidRPr="005A39D7">
        <w:t>,</w:t>
      </w:r>
    </w:p>
    <w:p w14:paraId="101176FE" w14:textId="77777777" w:rsidR="00036616" w:rsidRPr="005A39D7" w:rsidRDefault="00036616" w:rsidP="00036616">
      <w:pPr>
        <w:pStyle w:val="NormalHanging12a"/>
        <w:rPr>
          <w:noProof/>
        </w:rPr>
      </w:pPr>
      <w:r w:rsidRPr="005A39D7">
        <w:t>–</w:t>
      </w:r>
      <w:r w:rsidRPr="005A39D7">
        <w:tab/>
        <w:t>având în vedere propunerea Comisiei prezentată Parlamentului European și Consiliului (COM(2025)0855 – C10</w:t>
      </w:r>
      <w:r w:rsidRPr="005A39D7">
        <w:noBreakHyphen/>
        <w:t>0239/2025),</w:t>
      </w:r>
    </w:p>
    <w:p w14:paraId="090EA9EC" w14:textId="77777777" w:rsidR="00036616" w:rsidRPr="005A39D7" w:rsidRDefault="00036616" w:rsidP="00036616">
      <w:pPr>
        <w:pStyle w:val="NormalHanging12a"/>
        <w:rPr>
          <w:noProof/>
        </w:rPr>
      </w:pPr>
      <w:r w:rsidRPr="005A39D7">
        <w:t>–</w:t>
      </w:r>
      <w:r w:rsidRPr="005A39D7">
        <w:tab/>
        <w:t>având în vedere Regulamentul (CE) nr. 2012/2002 al Consiliului din 11 noiembrie 2002 de instituire a Fondului de solidaritate al Uniunii Europene</w:t>
      </w:r>
      <w:r w:rsidRPr="005A39D7">
        <w:rPr>
          <w:noProof/>
          <w:vertAlign w:val="superscript"/>
        </w:rPr>
        <w:footnoteReference w:id="1"/>
      </w:r>
      <w:r w:rsidRPr="005A39D7">
        <w:t>,</w:t>
      </w:r>
    </w:p>
    <w:p w14:paraId="12996654" w14:textId="77777777" w:rsidR="00036616" w:rsidRPr="005A39D7" w:rsidRDefault="00036616" w:rsidP="00036616">
      <w:pPr>
        <w:pStyle w:val="NormalHanging12a"/>
        <w:rPr>
          <w:noProof/>
        </w:rPr>
      </w:pPr>
      <w:r w:rsidRPr="005A39D7">
        <w:t>–</w:t>
      </w:r>
      <w:r w:rsidRPr="005A39D7">
        <w:tab/>
        <w:t>având în vedere Regulamentul (UE, Euratom) 2020/2093 al Consiliului din 17 decembrie 2020 de stabilire a cadrului financiar multianual pentru perioada 2021-2027</w:t>
      </w:r>
      <w:r w:rsidRPr="005A39D7">
        <w:rPr>
          <w:noProof/>
          <w:vertAlign w:val="superscript"/>
        </w:rPr>
        <w:footnoteReference w:id="2"/>
      </w:r>
      <w:r w:rsidRPr="005A39D7">
        <w:t>, în special articolul 9,</w:t>
      </w:r>
    </w:p>
    <w:p w14:paraId="21F762B5" w14:textId="3C6A67F9" w:rsidR="00036616" w:rsidRPr="005A39D7" w:rsidRDefault="00036616" w:rsidP="00036616">
      <w:pPr>
        <w:pStyle w:val="NormalHanging12a"/>
        <w:rPr>
          <w:noProof/>
        </w:rPr>
      </w:pPr>
      <w:r w:rsidRPr="005A39D7">
        <w:t>–</w:t>
      </w:r>
      <w:r w:rsidRPr="005A39D7">
        <w:tab/>
        <w:t>având în vedere Acordul interinstituțional din 16 decembrie 2020 dintre Parlamentul European, Consiliu</w:t>
      </w:r>
      <w:r w:rsidR="00091EE7" w:rsidRPr="005A39D7">
        <w:t>l Uniunii Europene</w:t>
      </w:r>
      <w:r w:rsidRPr="005A39D7">
        <w:t xml:space="preserve"> și Comisi</w:t>
      </w:r>
      <w:r w:rsidR="00091EE7" w:rsidRPr="005A39D7">
        <w:t>a</w:t>
      </w:r>
      <w:r w:rsidRPr="005A39D7">
        <w:t xml:space="preserve"> </w:t>
      </w:r>
      <w:r w:rsidR="00091EE7" w:rsidRPr="005A39D7">
        <w:t xml:space="preserve">Europeană </w:t>
      </w:r>
      <w:r w:rsidRPr="005A39D7">
        <w:t>privind disciplina bugetară, cooperarea în chestiuni bugetare și buna gestiune financiară, precum și privind noile resurse proprii, inclusiv o foaie de parcurs în vederea introducerii de noi resurse proprii</w:t>
      </w:r>
      <w:r w:rsidRPr="005A39D7">
        <w:rPr>
          <w:noProof/>
          <w:vertAlign w:val="superscript"/>
        </w:rPr>
        <w:footnoteReference w:id="3"/>
      </w:r>
      <w:r w:rsidRPr="005A39D7">
        <w:t>, în special punctul 10,</w:t>
      </w:r>
    </w:p>
    <w:p w14:paraId="2A928A74" w14:textId="77777777" w:rsidR="00036616" w:rsidRPr="005A39D7" w:rsidRDefault="00036616" w:rsidP="00036616">
      <w:pPr>
        <w:pStyle w:val="NormalHanging12a"/>
        <w:rPr>
          <w:noProof/>
        </w:rPr>
      </w:pPr>
      <w:r w:rsidRPr="005A39D7">
        <w:t>–</w:t>
      </w:r>
      <w:r w:rsidRPr="005A39D7">
        <w:tab/>
        <w:t xml:space="preserve">având în vedere Regulamentul (UE) 2021/1058 al Parlamentului European și al Consiliului din 24 iunie 2021 privind Fondul european de dezvoltare regională și </w:t>
      </w:r>
      <w:r w:rsidRPr="005A39D7">
        <w:lastRenderedPageBreak/>
        <w:t>Fondul de coeziune</w:t>
      </w:r>
      <w:r w:rsidRPr="005A39D7">
        <w:rPr>
          <w:noProof/>
          <w:vertAlign w:val="superscript"/>
        </w:rPr>
        <w:footnoteReference w:id="4"/>
      </w:r>
      <w:r w:rsidRPr="005A39D7">
        <w:t xml:space="preserve">, </w:t>
      </w:r>
    </w:p>
    <w:p w14:paraId="52D64FAB" w14:textId="77777777" w:rsidR="00036616" w:rsidRPr="005A39D7" w:rsidRDefault="00036616" w:rsidP="00036616">
      <w:pPr>
        <w:pStyle w:val="NormalHanging12a"/>
        <w:rPr>
          <w:noProof/>
        </w:rPr>
      </w:pPr>
      <w:r w:rsidRPr="005A39D7">
        <w:t>–</w:t>
      </w:r>
      <w:r w:rsidRPr="005A39D7">
        <w:tab/>
        <w:t>având în vedere Regulamentul (UE) 2021/1057 al Parlamentului European și al Consiliului din 24 iunie 2021 de instituire a Fondului social european Plus (FSE+)</w:t>
      </w:r>
      <w:r w:rsidRPr="005A39D7">
        <w:rPr>
          <w:noProof/>
          <w:vertAlign w:val="superscript"/>
        </w:rPr>
        <w:footnoteReference w:id="5"/>
      </w:r>
      <w:r w:rsidRPr="005A39D7">
        <w:t xml:space="preserve">, </w:t>
      </w:r>
    </w:p>
    <w:p w14:paraId="02BB3090" w14:textId="77777777" w:rsidR="00036616" w:rsidRPr="005A39D7" w:rsidRDefault="00036616" w:rsidP="00036616">
      <w:pPr>
        <w:pStyle w:val="NormalHanging12a"/>
        <w:rPr>
          <w:noProof/>
        </w:rPr>
      </w:pPr>
      <w:r w:rsidRPr="005A39D7">
        <w:t>–</w:t>
      </w:r>
      <w:r w:rsidRPr="005A39D7">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5A39D7">
        <w:rPr>
          <w:noProof/>
          <w:vertAlign w:val="superscript"/>
        </w:rPr>
        <w:footnoteReference w:id="6"/>
      </w:r>
      <w:r w:rsidRPr="005A39D7">
        <w:t xml:space="preserve">, </w:t>
      </w:r>
    </w:p>
    <w:p w14:paraId="6242A4D4" w14:textId="77777777" w:rsidR="00036616" w:rsidRPr="005A39D7" w:rsidRDefault="00036616" w:rsidP="00036616">
      <w:pPr>
        <w:pStyle w:val="NormalHanging12a"/>
        <w:rPr>
          <w:noProof/>
        </w:rPr>
      </w:pPr>
      <w:r w:rsidRPr="005A39D7">
        <w:t>–</w:t>
      </w:r>
      <w:r w:rsidRPr="005A39D7">
        <w:tab/>
        <w:t>având în vedere raportul Comisiei pentru ocuparea forței de muncă și afaceri sociale și al Comisiei pentru dezvoltare regională (A10-0031/2024), elaborat în cadrul procedurii legislative de adoptare a Regulamentului (UE) 2024/3236 al Parlamentului European și al Consiliului din 19 decembrie 2024 de modificare a Regulamentelor (UE) 2021/1057 și (UE) 2021/1058 în ceea ce privește Sprijinul regional de urgență pentru reconstrucție (RESTORE)</w:t>
      </w:r>
      <w:r w:rsidRPr="005A39D7">
        <w:rPr>
          <w:noProof/>
          <w:vertAlign w:val="superscript"/>
        </w:rPr>
        <w:footnoteReference w:id="7"/>
      </w:r>
      <w:r w:rsidRPr="005A39D7">
        <w:t xml:space="preserve">, în special evaluarea bugetară efectuată de Comisia pentru bugete, anexată la raportul respectiv, </w:t>
      </w:r>
    </w:p>
    <w:p w14:paraId="31BA52C7" w14:textId="77777777" w:rsidR="00036616" w:rsidRPr="005A39D7" w:rsidRDefault="00036616" w:rsidP="00036616">
      <w:pPr>
        <w:pStyle w:val="NormalHanging12a"/>
        <w:rPr>
          <w:noProof/>
        </w:rPr>
      </w:pPr>
      <w:r w:rsidRPr="005A39D7">
        <w:t>–</w:t>
      </w:r>
      <w:r w:rsidRPr="005A39D7">
        <w:tab/>
        <w:t>având în vedere rezoluția sa din 7 mai 2025 referitoare la un buget pe termen lung revizuit pentru Uniune într-o lume în schimbare</w:t>
      </w:r>
      <w:r w:rsidRPr="005A39D7">
        <w:rPr>
          <w:noProof/>
          <w:vertAlign w:val="superscript"/>
        </w:rPr>
        <w:footnoteReference w:id="8"/>
      </w:r>
      <w:r w:rsidRPr="005A39D7">
        <w:t xml:space="preserve">, </w:t>
      </w:r>
    </w:p>
    <w:p w14:paraId="54066D24" w14:textId="77777777" w:rsidR="00036616" w:rsidRPr="005A39D7" w:rsidRDefault="00036616" w:rsidP="00036616">
      <w:pPr>
        <w:pStyle w:val="NormalHanging12a"/>
        <w:rPr>
          <w:noProof/>
        </w:rPr>
      </w:pPr>
      <w:r w:rsidRPr="005A39D7">
        <w:t>–</w:t>
      </w:r>
      <w:r w:rsidRPr="005A39D7">
        <w:tab/>
        <w:t>având în vedere raportul AEM nr. 1/2024 referitor la evaluarea europeană a riscurilor climatice (EUCRA)</w:t>
      </w:r>
      <w:r w:rsidRPr="005A39D7">
        <w:rPr>
          <w:noProof/>
          <w:vertAlign w:val="superscript"/>
        </w:rPr>
        <w:footnoteReference w:id="9"/>
      </w:r>
      <w:r w:rsidRPr="005A39D7">
        <w:t>,</w:t>
      </w:r>
    </w:p>
    <w:p w14:paraId="1595D78C" w14:textId="77777777" w:rsidR="00036616" w:rsidRPr="005A39D7" w:rsidRDefault="00036616" w:rsidP="00036616">
      <w:pPr>
        <w:pStyle w:val="NormalHanging12a"/>
        <w:rPr>
          <w:noProof/>
        </w:rPr>
      </w:pPr>
      <w:r w:rsidRPr="005A39D7">
        <w:t>–</w:t>
      </w:r>
      <w:r w:rsidRPr="005A39D7">
        <w:tab/>
        <w:t>având în vedere raportul Comisiei pentru bugete (A10-0215/2025),</w:t>
      </w:r>
    </w:p>
    <w:p w14:paraId="307AC4B1" w14:textId="77777777" w:rsidR="00036616" w:rsidRPr="005A39D7" w:rsidRDefault="00036616" w:rsidP="00036616">
      <w:pPr>
        <w:pStyle w:val="NormalHanging12a"/>
        <w:rPr>
          <w:noProof/>
        </w:rPr>
      </w:pPr>
      <w:r w:rsidRPr="005A39D7">
        <w:t>A.</w:t>
      </w:r>
      <w:r w:rsidRPr="005A39D7">
        <w:tab/>
        <w:t>întrucât, între 28 octombrie și 4 noiembrie 2024, o furtună asociată cu ploi abundente a lovit întreaga regiune Valencia din Spania, provocând inundații grave, care au generat daune directe estimate de Comisie la 18,08 miliarde EUR, și afectând 845 000 de persoane din 84 de municipalități, 170 de instituții de învățământ și peste 50 de instituții de sănătate și infrastructură publică; întrucât inundațiile au provocat cel puțin 229 de decese;</w:t>
      </w:r>
    </w:p>
    <w:p w14:paraId="70D881EE" w14:textId="77777777" w:rsidR="00036616" w:rsidRPr="005A39D7" w:rsidRDefault="00036616" w:rsidP="00036616">
      <w:pPr>
        <w:pStyle w:val="NormalHanging12a"/>
        <w:rPr>
          <w:bCs/>
          <w:iCs/>
          <w:noProof/>
        </w:rPr>
      </w:pPr>
      <w:r w:rsidRPr="005A39D7">
        <w:t>B.</w:t>
      </w:r>
      <w:r w:rsidRPr="005A39D7">
        <w:tab/>
        <w:t>întrucât impactul enorm al furtunilor și inundațiilor asupra economiei regiunilor afectate este estimat la 18 miliarde EUR, afectând 63 de zone industriale, 64 000 de întreprinderi (dintre care 99,6 % sunt IMM-uri) și 250 000 de lucrători și conducând la depunerea a 243 388 de cereri de despăgubire, astfel cum se prevede în studiile prezentate de guvernul regional din Valencia și de Confederația întreprinderilor din Valencia;</w:t>
      </w:r>
    </w:p>
    <w:p w14:paraId="3CFD7A2D" w14:textId="77777777" w:rsidR="00036616" w:rsidRPr="005A39D7" w:rsidRDefault="00036616" w:rsidP="00036616">
      <w:pPr>
        <w:pStyle w:val="NormalHanging12a"/>
        <w:rPr>
          <w:noProof/>
        </w:rPr>
      </w:pPr>
      <w:r w:rsidRPr="005A39D7">
        <w:t>C.</w:t>
      </w:r>
      <w:r w:rsidRPr="005A39D7">
        <w:tab/>
        <w:t xml:space="preserve">întrucât, la 14 decembrie 2024, ochiul unui ciclon numit </w:t>
      </w:r>
      <w:proofErr w:type="spellStart"/>
      <w:r w:rsidRPr="005A39D7">
        <w:t>Chido</w:t>
      </w:r>
      <w:proofErr w:type="spellEnd"/>
      <w:r w:rsidRPr="005A39D7">
        <w:t xml:space="preserve"> a lovit insula </w:t>
      </w:r>
      <w:proofErr w:type="spellStart"/>
      <w:r w:rsidRPr="005A39D7">
        <w:t>Mayotte</w:t>
      </w:r>
      <w:proofErr w:type="spellEnd"/>
      <w:r w:rsidRPr="005A39D7">
        <w:t xml:space="preserve">, Franța, și a provocat rafale de vânt de peste 180 km pe oră și precipitații abundente combinate cu valuri de înălțimi mari, ceea ce a dus la daune directe totale estimate de Comisie la 3,6 miliarde EUR; întrucât ciclonul a afectat 337 000 de persoane și a provocat cel puțin 39 de decese; întrucât, în urma catastrofei, există încă 200 de </w:t>
      </w:r>
      <w:r w:rsidRPr="005A39D7">
        <w:lastRenderedPageBreak/>
        <w:t>persoane dispărute;</w:t>
      </w:r>
    </w:p>
    <w:p w14:paraId="6344EDC8" w14:textId="77777777" w:rsidR="00036616" w:rsidRPr="005A39D7" w:rsidRDefault="00036616" w:rsidP="00036616">
      <w:pPr>
        <w:pStyle w:val="NormalHanging12a"/>
        <w:rPr>
          <w:noProof/>
        </w:rPr>
      </w:pPr>
      <w:r w:rsidRPr="005A39D7">
        <w:t>D.</w:t>
      </w:r>
      <w:r w:rsidRPr="005A39D7">
        <w:tab/>
        <w:t xml:space="preserve">întrucât, la 28 februarie 2025, un ciclon denumit </w:t>
      </w:r>
      <w:proofErr w:type="spellStart"/>
      <w:r w:rsidRPr="005A39D7">
        <w:t>Garance</w:t>
      </w:r>
      <w:proofErr w:type="spellEnd"/>
      <w:r w:rsidRPr="005A39D7">
        <w:t xml:space="preserve"> a lovit insula Réunion, Franța, conducând la creșterea vitezei vântului până la 215 km/oră și provocând ploi abundente și condiții maritime periculoase, aceste fenomene având drept rezultat daune directe totale estimate de autoritățile franceze la 849,45 milioane EUR și afectând în special rețelele electrice și infrastructura de comunicații; întrucât ciclonul a afectat 160 000 de persoane și a provocat cel puțin 4 decese,</w:t>
      </w:r>
    </w:p>
    <w:p w14:paraId="6662FEE6" w14:textId="77777777" w:rsidR="00036616" w:rsidRPr="005A39D7" w:rsidRDefault="00036616" w:rsidP="00036616">
      <w:pPr>
        <w:pStyle w:val="NormalHanging12a"/>
        <w:rPr>
          <w:noProof/>
        </w:rPr>
      </w:pPr>
      <w:r w:rsidRPr="005A39D7">
        <w:t>1.</w:t>
      </w:r>
      <w:r w:rsidRPr="005A39D7">
        <w:tab/>
        <w:t xml:space="preserve">își exprimă profunda solidaritate cu toate victimele, familiile acestora și toate persoanele afectate de inundațiile devastatoare din regiunea Valencia, Spania, și de cicloanele devastatoare din insulele </w:t>
      </w:r>
      <w:proofErr w:type="spellStart"/>
      <w:r w:rsidRPr="005A39D7">
        <w:t>Mayotte</w:t>
      </w:r>
      <w:proofErr w:type="spellEnd"/>
      <w:r w:rsidRPr="005A39D7">
        <w:t xml:space="preserve"> și Réunion, Franța, precum și cu autoritățile naționale, regionale și locale implicate în eforturile de ajutorare;</w:t>
      </w:r>
    </w:p>
    <w:p w14:paraId="7ED9B74F" w14:textId="77777777" w:rsidR="00036616" w:rsidRPr="005A39D7" w:rsidRDefault="00036616" w:rsidP="00036616">
      <w:pPr>
        <w:pStyle w:val="NormalHanging12a"/>
        <w:rPr>
          <w:noProof/>
        </w:rPr>
      </w:pPr>
      <w:r w:rsidRPr="005A39D7">
        <w:t>2.</w:t>
      </w:r>
      <w:r w:rsidRPr="005A39D7">
        <w:tab/>
        <w:t>salută decizia ca fiind o formă tangibilă și vizibilă a solidarității Uniunii cu cetățenii săi și cu regiunile din zonele afectate, dar remarcă faptul că o astfel de solidaritate nu poate înlocui responsabilitatea directă a autorităților locale, regionale și naționale în prevenirea și gestionarea dezastrelor naturale legate de climă;</w:t>
      </w:r>
    </w:p>
    <w:p w14:paraId="015A5846" w14:textId="77777777" w:rsidR="00036616" w:rsidRPr="005A39D7" w:rsidRDefault="00036616" w:rsidP="00036616">
      <w:pPr>
        <w:pStyle w:val="NormalHanging12a"/>
        <w:rPr>
          <w:noProof/>
        </w:rPr>
      </w:pPr>
      <w:r w:rsidRPr="005A39D7">
        <w:t>3.</w:t>
      </w:r>
      <w:r w:rsidRPr="005A39D7">
        <w:tab/>
        <w:t>reiterează că este important ca cetățenii să fie informați cu privire la beneficiile concrete ale Fondului de solidaritate al Uniunii Europene (FSUE), inclusiv pentru ca ei să cunoască mai bine instrumentele și programele Uniunii;</w:t>
      </w:r>
    </w:p>
    <w:p w14:paraId="01F9319A" w14:textId="77777777" w:rsidR="00036616" w:rsidRPr="005A39D7" w:rsidRDefault="00036616" w:rsidP="00036616">
      <w:pPr>
        <w:pStyle w:val="NormalHanging12a"/>
        <w:rPr>
          <w:noProof/>
        </w:rPr>
      </w:pPr>
      <w:r w:rsidRPr="005A39D7">
        <w:t>4.</w:t>
      </w:r>
      <w:r w:rsidRPr="005A39D7">
        <w:tab/>
        <w:t xml:space="preserve">subliniază că în Europa au loc din ce în ce mai multe dezastre naturale grave, devastatoare și mortale și invită statele membre și Comisia să crească investițiile în prevenire, în infrastructura publică, în atenuarea schimbărilor climatice și adaptarea la acestea, precum și în măsurile de pregătire pentru situații de urgență, cu scopul de a evita pierderile umane și economice; invită statele membre să ia în considerare faptul că riscurile climatice și alte catastrofe naturale afectează în mod disproporționat populațiile vulnerabile și întreprinderile mici și mijlocii din cauza factorilor socioeconomici și demografici, precum și teritoriile vulnerabile, cum ar fi regiunile </w:t>
      </w:r>
      <w:proofErr w:type="spellStart"/>
      <w:r w:rsidRPr="005A39D7">
        <w:t>ultraperiferice</w:t>
      </w:r>
      <w:proofErr w:type="spellEnd"/>
      <w:r w:rsidRPr="005A39D7">
        <w:t xml:space="preserve">; consideră că este esențial să se asigure un nivel ridicat de control democratic din partea autorității bugetare a FSUE; reamintește că FSUE are un buget limitat și nu poate fi considerat ca fiind singurul instrument de abordare a catastrofelor naturale majore; solicită, prin urmare, o evaluare a capacității financiare a bugetului Uniunii și luarea în considerare a unei posibile creșteri a resurselor sale, pentru a oferi cetățenilor asistență proporțională cu amploarea unor astfel de dezastre; constată că o creștere a acestui tip de asistență ar permite statelor membre să reacționeze mai eficace și mai rapid la dezastre, menajând în același timp alte instrumente, în special fondurile de coeziune, al căror scop principal nu este răspunsul în caz de dezastre; </w:t>
      </w:r>
    </w:p>
    <w:p w14:paraId="4FF08EF4" w14:textId="77777777" w:rsidR="00036616" w:rsidRPr="005A39D7" w:rsidRDefault="00036616" w:rsidP="00036616">
      <w:pPr>
        <w:pStyle w:val="NormalHanging12a"/>
        <w:rPr>
          <w:noProof/>
        </w:rPr>
      </w:pPr>
      <w:r w:rsidRPr="005A39D7">
        <w:t>5.</w:t>
      </w:r>
      <w:r w:rsidRPr="005A39D7">
        <w:tab/>
        <w:t xml:space="preserve">subliniază că FSUE este doar un remediu și că Uniunea ar trebui să își îndrepte în continuare atenția către adaptarea la schimbările climatice și atenuarea acestora, sprijinind politicile europene și naționale de prevenire a dezastrelor naturale, precum și susținând principiul de „a reconstrui mai bine” în toate acțiunile sale; subliniază că Raportul nr. 1/2024 al AEM intitulat „Evaluarea europeană a riscurilor climatice” a avertizat că Uniunea nu este pregătită pentru efectele schimbărilor climatice și evidențiază, totodată, faptul că trebuie să se întreprindă acțiuni pentru a evita ca riscurile climatice identificate să atingă niveluri critice; invită statele membre și Comisia să ia măsurile necesare pentru ca Uniunea să își îndeplinească angajamentele asumate în cadrul Acordului de la Paris; reamintește că sunt necesare sinergii eficace cu alte politici și programe ale Uniunii și subliniază că statele membre ar trebui să utilizeze în mod </w:t>
      </w:r>
      <w:r w:rsidRPr="005A39D7">
        <w:lastRenderedPageBreak/>
        <w:t>optim oportunitățile de finanțare, în special pe cele oferite de Fondul european de dezvoltare regională, Fondul social european+ și programele de dezvoltare rurală; invită Comisia să evalueze urgent orice cerere motivată din partea statelor membre de a realoca fonduri în cadrul planurilor naționale de redresare și reziliență pentru asistența în caz de dezastre naturale, în conformitate cu normele prevăzute în Regulamentul (UE) 2021/241 al Parlamentului European și al Consiliului</w:t>
      </w:r>
      <w:r w:rsidRPr="005A39D7">
        <w:rPr>
          <w:noProof/>
          <w:vertAlign w:val="superscript"/>
        </w:rPr>
        <w:footnoteReference w:id="10"/>
      </w:r>
      <w:r w:rsidRPr="005A39D7">
        <w:t xml:space="preserve">, ținând seama în special de procentul ridicat de resurse din acest mecanism care sunt încă necheltuite; subliniază, de asemenea, că este nevoie de măsuri de prevenire, nu doar pentru a atenua daunele viitoare, ci și pentru a preveni exacerbarea condițiilor de risc în urma unor evenimente catastrofale, cum ar fi inundațiile, incendiile forestiere, alunecările de teren sau secarea lacurilor și a râurilor; subliniază, de asemenea, riscurile pe care fenomenele meteorologice extreme și dezastrele naturale, cum ar fi valurile de căldură, le prezintă pentru sănătatea publică în întreaga </w:t>
      </w:r>
      <w:proofErr w:type="spellStart"/>
      <w:r w:rsidRPr="005A39D7">
        <w:t>Europă</w:t>
      </w:r>
      <w:proofErr w:type="spellEnd"/>
      <w:r w:rsidRPr="005A39D7">
        <w:t xml:space="preserve"> și invită Comisia să ia în considerare acest aspect în cadrul politicilor relevante; încurajează utilizarea instrumentelor digitale inovatoare, a datelor </w:t>
      </w:r>
      <w:proofErr w:type="spellStart"/>
      <w:r w:rsidRPr="005A39D7">
        <w:t>satelitare</w:t>
      </w:r>
      <w:proofErr w:type="spellEnd"/>
      <w:r w:rsidRPr="005A39D7">
        <w:t xml:space="preserve"> (de exemplu, </w:t>
      </w:r>
      <w:proofErr w:type="spellStart"/>
      <w:r w:rsidRPr="005A39D7">
        <w:t>Copernicus</w:t>
      </w:r>
      <w:proofErr w:type="spellEnd"/>
      <w:r w:rsidRPr="005A39D7">
        <w:t>) și a sistemelor de alertă timpurie cu scopul de a îmbunătăți pregătirea pentru dezastre; subliniază că este important să se asigure o flexibilitate adecvată între diferitele programe; subliniază că asistența furnizată în cadrul FSUE nu ar trebui să fie în detrimentul finanțării Uniunii primite de statele membre în cadrul altor politici sau programe ale Uniunii; reamintește că statele membre pot acorda ajutoare de stat, în conformitate cu normele aplicabile ale Uniunii, în special pentru întreprinderile agricole care au suferit daune din cauza dezastrelor naturale;</w:t>
      </w:r>
    </w:p>
    <w:p w14:paraId="5AA8F9D8" w14:textId="77777777" w:rsidR="00036616" w:rsidRPr="005A39D7" w:rsidRDefault="00036616" w:rsidP="00036616">
      <w:pPr>
        <w:pStyle w:val="NormalHanging12a"/>
        <w:rPr>
          <w:noProof/>
        </w:rPr>
      </w:pPr>
      <w:r w:rsidRPr="005A39D7">
        <w:t>6.</w:t>
      </w:r>
      <w:r w:rsidRPr="005A39D7">
        <w:tab/>
        <w:t>reamintește că RESTORE</w:t>
      </w:r>
      <w:r w:rsidRPr="005A39D7">
        <w:rPr>
          <w:noProof/>
          <w:vertAlign w:val="superscript"/>
        </w:rPr>
        <w:footnoteReference w:id="11"/>
      </w:r>
      <w:r w:rsidRPr="005A39D7">
        <w:t xml:space="preserve"> și măsurile specifice din cadrul Fondului european agricol pentru dezvoltare rurală (FEADR)</w:t>
      </w:r>
      <w:r w:rsidRPr="005A39D7">
        <w:rPr>
          <w:noProof/>
          <w:vertAlign w:val="superscript"/>
        </w:rPr>
        <w:footnoteReference w:id="12"/>
      </w:r>
      <w:r w:rsidRPr="005A39D7">
        <w:t xml:space="preserve"> oferă asistență suplimentară statelor membre afectate de catastrofe naturale prin mai multă flexibilitate în utilizarea fondurilor; subliniază că statele membre ar trebui să profite de aceste oportunități; </w:t>
      </w:r>
    </w:p>
    <w:p w14:paraId="1F85C4D6" w14:textId="77777777" w:rsidR="00036616" w:rsidRPr="005A39D7" w:rsidRDefault="00036616" w:rsidP="00036616">
      <w:pPr>
        <w:pStyle w:val="NormalHanging12a"/>
        <w:rPr>
          <w:bCs/>
          <w:iCs/>
        </w:rPr>
      </w:pPr>
      <w:r w:rsidRPr="005A39D7">
        <w:t>7.</w:t>
      </w:r>
      <w:r w:rsidRPr="005A39D7">
        <w:tab/>
        <w:t>regretă că timpul necesar pentru ca beneficiarul să primească cuantumul total al subvenției din partea FSUE este, în medie, de un an; reamintește importanța unei evaluări rapide și robuste a daunelor, care să țină seama în mod corespunzător de repercusiunile economice, și solicită să se depună eforturi operaționale suplimentare pentru a reduce timpul mediu necesar pentru deblocarea plăților în avans, garantând, în același timp, că bugetul Uniunii este protejat; constată că ar fi preferabil ca metodologia de calculare a valorii totale a ajutorului să ia în considerare raportul dintre daunele directe totale și VNB-</w:t>
      </w:r>
      <w:proofErr w:type="spellStart"/>
      <w:r w:rsidRPr="005A39D7">
        <w:t>ul</w:t>
      </w:r>
      <w:proofErr w:type="spellEnd"/>
      <w:r w:rsidRPr="005A39D7">
        <w:t xml:space="preserve"> teritoriului afectat, în special în cazul în care zonele afectate sunt regiuni </w:t>
      </w:r>
      <w:proofErr w:type="spellStart"/>
      <w:r w:rsidRPr="005A39D7">
        <w:t>ultraperiferice</w:t>
      </w:r>
      <w:proofErr w:type="spellEnd"/>
      <w:r w:rsidRPr="005A39D7">
        <w:t>;</w:t>
      </w:r>
    </w:p>
    <w:p w14:paraId="69DD18C3" w14:textId="77777777" w:rsidR="00036616" w:rsidRPr="005A39D7" w:rsidRDefault="00036616" w:rsidP="00036616">
      <w:pPr>
        <w:pStyle w:val="NormalHanging12a"/>
        <w:rPr>
          <w:noProof/>
        </w:rPr>
      </w:pPr>
      <w:r w:rsidRPr="005A39D7">
        <w:t>8.</w:t>
      </w:r>
      <w:r w:rsidRPr="005A39D7">
        <w:tab/>
        <w:t xml:space="preserve">evidențiază că trebuie acordată urgent asistență financiară imediată prin FSUE, cu scopul de a garanta faptul că sprijinul sosește în timp util în regiunile afectate, astfel încât să se poată asigura o redresare rapidă și pe termen lung; subliniază că este important să se reducă intervalul de timp dintre depunerea unei cereri de asistență din partea FSUE și decizia de finanțare; solicită să se depună eforturi pentru a se asigura că sprijinul acordat de FSUE ajunge prompt la beneficiarii săi finali, inclusiv la întreprinderile, IMM-urile, familiile și cetățenii afectați, permițând, în același timp, reconstrucția infrastructurii și repararea daunelor materiale, toate aceste măsuri fiind </w:t>
      </w:r>
      <w:r w:rsidRPr="005A39D7">
        <w:lastRenderedPageBreak/>
        <w:t>însoțite de o evaluare corespunzătoare a impactului și de mecanismele de control adecvate; subliniază necesitatea de a simplifica și accelera procedurile interne, fără a submina echilibrul instituțional, în special drepturile Parlamentului European, care reprezintă una dintre cele două componente ale autorității bugetare; ia act de faptul că guvernanța propusă a succesorului post-2027 al Fondului de solidaritate al Uniunii Europene nu este în conformitate cu poziția Parlamentului European exprimată în rezoluția sa din 7 mai 2025, intitulată „Un buget pe termen lung revizuit pentru Uniune într-o lume în schimbare”</w:t>
      </w:r>
      <w:r w:rsidRPr="005A39D7">
        <w:rPr>
          <w:rStyle w:val="FootnoteReference"/>
          <w:bCs/>
          <w:iCs/>
        </w:rPr>
        <w:footnoteReference w:id="13"/>
      </w:r>
      <w:r w:rsidRPr="005A39D7">
        <w:t xml:space="preserve">; </w:t>
      </w:r>
    </w:p>
    <w:p w14:paraId="620BD491" w14:textId="77777777" w:rsidR="00036616" w:rsidRPr="005A39D7" w:rsidRDefault="00036616" w:rsidP="00036616">
      <w:pPr>
        <w:pStyle w:val="NormalHanging12a"/>
        <w:rPr>
          <w:noProof/>
        </w:rPr>
      </w:pPr>
      <w:r w:rsidRPr="005A39D7">
        <w:t>9.</w:t>
      </w:r>
      <w:r w:rsidRPr="005A39D7">
        <w:tab/>
        <w:t>aprobă decizia anexată la prezenta rezoluție;</w:t>
      </w:r>
    </w:p>
    <w:p w14:paraId="7AE6B5CF" w14:textId="77777777" w:rsidR="00036616" w:rsidRPr="005A39D7" w:rsidRDefault="00036616" w:rsidP="00036616">
      <w:pPr>
        <w:pStyle w:val="NormalHanging12a"/>
        <w:rPr>
          <w:noProof/>
        </w:rPr>
      </w:pPr>
      <w:r w:rsidRPr="005A39D7">
        <w:t>10.</w:t>
      </w:r>
      <w:r w:rsidRPr="005A39D7">
        <w:tab/>
        <w:t xml:space="preserve">încredințează Președintei sarcina de a semna această decizie împreună cu Președintele Consiliului și de a asigura publicarea sa în </w:t>
      </w:r>
      <w:r w:rsidRPr="005A39D7">
        <w:rPr>
          <w:i/>
        </w:rPr>
        <w:t>Jurnalul Oficial al Uniunii Europene</w:t>
      </w:r>
      <w:r w:rsidRPr="005A39D7">
        <w:t>;</w:t>
      </w:r>
    </w:p>
    <w:p w14:paraId="7FD9BF0E" w14:textId="77777777" w:rsidR="00036616" w:rsidRPr="005A39D7" w:rsidRDefault="00036616" w:rsidP="00036616">
      <w:pPr>
        <w:pStyle w:val="NormalHanging12a"/>
        <w:rPr>
          <w:noProof/>
        </w:rPr>
      </w:pPr>
      <w:r w:rsidRPr="005A39D7">
        <w:t>11.</w:t>
      </w:r>
      <w:r w:rsidRPr="005A39D7">
        <w:tab/>
        <w:t>încredințează Președintei sarcina de a transmite prezenta rezoluție, împreună cu anexa, Consiliului și Comisiei.</w:t>
      </w:r>
    </w:p>
    <w:p w14:paraId="5F837BD6" w14:textId="77777777" w:rsidR="00036616" w:rsidRPr="005A39D7" w:rsidRDefault="00036616" w:rsidP="00036616">
      <w:pPr>
        <w:pStyle w:val="PageHeading"/>
        <w:jc w:val="left"/>
        <w:rPr>
          <w:noProof/>
        </w:rPr>
        <w:sectPr w:rsidR="00036616" w:rsidRPr="005A39D7" w:rsidSect="0029798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825B39" w14:textId="77777777" w:rsidR="001A693F" w:rsidRPr="001A693F" w:rsidRDefault="00036616" w:rsidP="00036616">
      <w:pPr>
        <w:pStyle w:val="PageHeading"/>
        <w:rPr>
          <w:rFonts w:ascii="Times New Roman" w:hAnsi="Times New Roman" w:cs="Times New Roman"/>
        </w:rPr>
      </w:pPr>
      <w:bookmarkStart w:id="7" w:name="_Toc213838471"/>
      <w:r w:rsidRPr="001A693F">
        <w:rPr>
          <w:rFonts w:ascii="Times New Roman" w:hAnsi="Times New Roman" w:cs="Times New Roman"/>
        </w:rPr>
        <w:lastRenderedPageBreak/>
        <w:t>ANEXĂ</w:t>
      </w:r>
    </w:p>
    <w:p w14:paraId="5232B568" w14:textId="1DE4A45E" w:rsidR="00036616" w:rsidRPr="001A693F" w:rsidRDefault="00036616" w:rsidP="00036616">
      <w:pPr>
        <w:pStyle w:val="PageHeading"/>
        <w:rPr>
          <w:rFonts w:ascii="Times New Roman" w:hAnsi="Times New Roman" w:cs="Times New Roman"/>
          <w:noProof/>
        </w:rPr>
      </w:pPr>
      <w:r w:rsidRPr="001A693F">
        <w:rPr>
          <w:rFonts w:ascii="Times New Roman" w:hAnsi="Times New Roman" w:cs="Times New Roman"/>
        </w:rPr>
        <w:t>DECIZIE A PARLAMENTULUI EUROPEAN ȘI A CONSILIULUI</w:t>
      </w:r>
      <w:bookmarkEnd w:id="7"/>
    </w:p>
    <w:p w14:paraId="7E662980" w14:textId="77777777" w:rsidR="00036616" w:rsidRPr="001A693F" w:rsidRDefault="00036616" w:rsidP="001A693F">
      <w:pPr>
        <w:pStyle w:val="NormalBold24a"/>
        <w:jc w:val="center"/>
      </w:pPr>
      <w:r w:rsidRPr="001A693F">
        <w:t xml:space="preserve">privind mobilizarea Fondului de solidaritate al Uniunii Europene în vederea furnizării de asistență Spaniei în contextul inundațiilor care au afectat regiunea Valencia din Spania în octombrie 2024 și Franței ca urmare a daunelor provocate de ciclonul </w:t>
      </w:r>
      <w:proofErr w:type="spellStart"/>
      <w:r w:rsidRPr="001A693F">
        <w:t>Chido</w:t>
      </w:r>
      <w:proofErr w:type="spellEnd"/>
      <w:r w:rsidRPr="001A693F">
        <w:t xml:space="preserve"> în </w:t>
      </w:r>
      <w:proofErr w:type="spellStart"/>
      <w:r w:rsidRPr="001A693F">
        <w:t>Mayotte</w:t>
      </w:r>
      <w:proofErr w:type="spellEnd"/>
      <w:r w:rsidRPr="001A693F">
        <w:t xml:space="preserve"> în decembrie 2024 și de ciclonul </w:t>
      </w:r>
      <w:proofErr w:type="spellStart"/>
      <w:r w:rsidRPr="001A693F">
        <w:t>Garance</w:t>
      </w:r>
      <w:proofErr w:type="spellEnd"/>
      <w:r w:rsidRPr="001A693F">
        <w:t xml:space="preserve"> în Réunion în februarie 2025</w:t>
      </w:r>
    </w:p>
    <w:p w14:paraId="3555B88E" w14:textId="6A563CCB" w:rsidR="001A693F" w:rsidRPr="001A693F" w:rsidRDefault="001A693F" w:rsidP="001A693F">
      <w:pPr>
        <w:spacing w:before="120"/>
        <w:rPr>
          <w:b/>
          <w:bCs/>
          <w:i/>
          <w:noProof/>
        </w:rPr>
      </w:pPr>
      <w:r w:rsidRPr="001A693F">
        <w:rPr>
          <w:i/>
          <w:noProof/>
        </w:rPr>
        <w:t xml:space="preserve">(Textul prezentei anexe nu este reprodus aici, întrucât corespunde cu actul final, Decizia </w:t>
      </w:r>
      <w:r w:rsidRPr="001A693F">
        <w:rPr>
          <w:rStyle w:val="ATHeading3Char"/>
          <w:b w:val="0"/>
          <w:bCs/>
          <w:i/>
        </w:rPr>
        <w:t>(UE) 2025/</w:t>
      </w:r>
      <w:r>
        <w:rPr>
          <w:rStyle w:val="ATHeading3Char"/>
          <w:b w:val="0"/>
          <w:bCs/>
          <w:i/>
        </w:rPr>
        <w:t>2403</w:t>
      </w:r>
      <w:r w:rsidRPr="001A693F">
        <w:rPr>
          <w:rStyle w:val="ATHeading3Char"/>
          <w:b w:val="0"/>
          <w:bCs/>
          <w:i/>
        </w:rPr>
        <w:t>.</w:t>
      </w:r>
      <w:r w:rsidRPr="001A693F">
        <w:rPr>
          <w:b/>
          <w:bCs/>
          <w:i/>
          <w:noProof/>
        </w:rPr>
        <w:t>)</w:t>
      </w:r>
    </w:p>
    <w:p w14:paraId="215334F5" w14:textId="77777777" w:rsidR="001A693F" w:rsidRPr="005A39D7" w:rsidRDefault="001A693F" w:rsidP="00036616">
      <w:pPr>
        <w:pStyle w:val="NormalBold24a"/>
      </w:pPr>
    </w:p>
    <w:sectPr w:rsidR="001A693F" w:rsidRPr="005A39D7" w:rsidSect="0029798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0A1A8" w14:textId="77777777" w:rsidR="00797A83" w:rsidRPr="00297984" w:rsidRDefault="00797A83">
      <w:r w:rsidRPr="00297984">
        <w:separator/>
      </w:r>
    </w:p>
  </w:endnote>
  <w:endnote w:type="continuationSeparator" w:id="0">
    <w:p w14:paraId="5E412BAE" w14:textId="77777777" w:rsidR="00797A83" w:rsidRPr="00297984" w:rsidRDefault="00797A83">
      <w:r w:rsidRPr="00297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20E5" w14:textId="77777777" w:rsidR="00036616" w:rsidRPr="00297984" w:rsidRDefault="00036616" w:rsidP="00F36AC8">
    <w:pPr>
      <w:pStyle w:val="EPFooter"/>
    </w:pPr>
    <w:r w:rsidRPr="00297984">
      <w:t>PE</w:t>
    </w:r>
    <w:r w:rsidRPr="00297984">
      <w:rPr>
        <w:rStyle w:val="HideTWBExt"/>
      </w:rPr>
      <w:t>&lt;NoPE&gt;</w:t>
    </w:r>
    <w:r w:rsidRPr="00297984">
      <w:t>778.223</w:t>
    </w:r>
    <w:r w:rsidRPr="00297984">
      <w:rPr>
        <w:rStyle w:val="HideTWBExt"/>
      </w:rPr>
      <w:t>&lt;/NoPE&gt;&lt;Version&gt;</w:t>
    </w:r>
    <w:r w:rsidRPr="00297984">
      <w:t>v02-00</w:t>
    </w:r>
    <w:r w:rsidRPr="00297984">
      <w:rPr>
        <w:rStyle w:val="HideTWBExt"/>
      </w:rPr>
      <w:t>&lt;/Version&gt;</w:t>
    </w:r>
    <w:r w:rsidRPr="00297984">
      <w:tab/>
    </w:r>
    <w:r w:rsidRPr="00297984">
      <w:fldChar w:fldCharType="begin"/>
    </w:r>
    <w:r w:rsidRPr="00297984">
      <w:instrText xml:space="preserve"> PAGE  \* MERGEFORMAT </w:instrText>
    </w:r>
    <w:r w:rsidRPr="00297984">
      <w:fldChar w:fldCharType="separate"/>
    </w:r>
    <w:r w:rsidRPr="00297984">
      <w:rPr>
        <w:noProof/>
      </w:rPr>
      <w:t>10</w:t>
    </w:r>
    <w:r w:rsidRPr="00297984">
      <w:fldChar w:fldCharType="end"/>
    </w:r>
    <w:r w:rsidRPr="00297984">
      <w:t>/</w:t>
    </w:r>
    <w:r w:rsidR="001A693F">
      <w:fldChar w:fldCharType="begin"/>
    </w:r>
    <w:r w:rsidR="001A693F">
      <w:instrText xml:space="preserve"> NUMPAGES  \* MERGEFORMAT </w:instrText>
    </w:r>
    <w:r w:rsidR="001A693F">
      <w:fldChar w:fldCharType="separate"/>
    </w:r>
    <w:r w:rsidRPr="00297984">
      <w:rPr>
        <w:noProof/>
      </w:rPr>
      <w:t>15</w:t>
    </w:r>
    <w:r w:rsidR="001A693F">
      <w:rPr>
        <w:noProof/>
      </w:rPr>
      <w:fldChar w:fldCharType="end"/>
    </w:r>
    <w:r w:rsidRPr="00297984">
      <w:tab/>
    </w:r>
    <w:r w:rsidRPr="00297984">
      <w:rPr>
        <w:rStyle w:val="HideTWBExt"/>
      </w:rPr>
      <w:t>&lt;PathFdR&gt;</w:t>
    </w:r>
    <w:r w:rsidRPr="00297984">
      <w:t>RR\1331466RO.docx</w:t>
    </w:r>
    <w:r w:rsidRPr="00297984">
      <w:rPr>
        <w:rStyle w:val="HideTWBExt"/>
      </w:rPr>
      <w:t>&lt;/PathFdR&gt;</w:t>
    </w:r>
  </w:p>
  <w:p w14:paraId="01B0AD23" w14:textId="77777777" w:rsidR="00036616" w:rsidRPr="00297984" w:rsidRDefault="00036616" w:rsidP="00F36AC8">
    <w:pPr>
      <w:pStyle w:val="EPFooter2"/>
    </w:pPr>
    <w:r w:rsidRPr="0029798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93699" w14:textId="77777777" w:rsidR="00036616" w:rsidRPr="00297984" w:rsidRDefault="00036616" w:rsidP="00F36AC8">
    <w:pPr>
      <w:pStyle w:val="EPFooter"/>
    </w:pPr>
    <w:r w:rsidRPr="00297984">
      <w:rPr>
        <w:rStyle w:val="HideTWBExt"/>
      </w:rPr>
      <w:t>&lt;PathFdR&gt;</w:t>
    </w:r>
    <w:r w:rsidRPr="00297984">
      <w:t>RR\1331466RO.docx</w:t>
    </w:r>
    <w:r w:rsidRPr="00297984">
      <w:rPr>
        <w:rStyle w:val="HideTWBExt"/>
      </w:rPr>
      <w:t>&lt;/PathFdR&gt;</w:t>
    </w:r>
    <w:r w:rsidRPr="00297984">
      <w:tab/>
    </w:r>
    <w:r w:rsidRPr="00297984">
      <w:tab/>
      <w:t>PE</w:t>
    </w:r>
    <w:r w:rsidRPr="00297984">
      <w:rPr>
        <w:rStyle w:val="HideTWBExt"/>
      </w:rPr>
      <w:t>&lt;NoPE&gt;</w:t>
    </w:r>
    <w:r w:rsidRPr="00297984">
      <w:t>778.223</w:t>
    </w:r>
    <w:r w:rsidRPr="00297984">
      <w:rPr>
        <w:rStyle w:val="HideTWBExt"/>
      </w:rPr>
      <w:t>&lt;/NoPE&gt;&lt;Version&gt;</w:t>
    </w:r>
    <w:r w:rsidRPr="00297984">
      <w:t>v02-00</w:t>
    </w:r>
    <w:r w:rsidRPr="00297984">
      <w:rPr>
        <w:rStyle w:val="HideTWBExt"/>
      </w:rPr>
      <w:t>&lt;/Version&gt;</w:t>
    </w:r>
  </w:p>
  <w:p w14:paraId="603061AC" w14:textId="77777777" w:rsidR="00036616" w:rsidRPr="00297984" w:rsidRDefault="00036616" w:rsidP="00F36AC8">
    <w:pPr>
      <w:pStyle w:val="EPFooter2"/>
    </w:pPr>
    <w:r w:rsidRPr="00297984">
      <w:t>RO</w:t>
    </w:r>
    <w:r w:rsidRPr="00297984">
      <w:tab/>
    </w:r>
    <w:r w:rsidRPr="00297984">
      <w:rPr>
        <w:b w:val="0"/>
        <w:i/>
        <w:color w:val="C0C0C0"/>
        <w:sz w:val="22"/>
      </w:rPr>
      <w:t>Unită în diversitate</w:t>
    </w:r>
    <w:r w:rsidRPr="0029798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27C8" w14:textId="77777777" w:rsidR="00064002" w:rsidRPr="0029798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F572" w14:textId="77777777" w:rsidR="00064002" w:rsidRPr="0029798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E65D" w14:textId="77777777" w:rsidR="00064002" w:rsidRPr="002979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088CC" w14:textId="77777777" w:rsidR="00797A83" w:rsidRPr="00297984" w:rsidRDefault="00797A83">
      <w:r w:rsidRPr="00297984">
        <w:separator/>
      </w:r>
    </w:p>
  </w:footnote>
  <w:footnote w:type="continuationSeparator" w:id="0">
    <w:p w14:paraId="6DBEB244" w14:textId="77777777" w:rsidR="00797A83" w:rsidRPr="00297984" w:rsidRDefault="00797A83">
      <w:r w:rsidRPr="00297984">
        <w:continuationSeparator/>
      </w:r>
    </w:p>
  </w:footnote>
  <w:footnote w:id="1">
    <w:p w14:paraId="2D96CA4E" w14:textId="6946E08A"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311, 14.11.2002, p. 3, ELI: </w:t>
      </w:r>
      <w:hyperlink r:id="rId1" w:history="1">
        <w:r w:rsidRPr="00297984">
          <w:rPr>
            <w:rStyle w:val="Hyperlink"/>
            <w:sz w:val="24"/>
            <w:lang w:val="ro-RO"/>
          </w:rPr>
          <w:t>http://data.europa.eu/eli/reg/2002/2012/oj</w:t>
        </w:r>
      </w:hyperlink>
      <w:r w:rsidRPr="00297984">
        <w:rPr>
          <w:sz w:val="24"/>
          <w:lang w:val="ro-RO"/>
        </w:rPr>
        <w:t>.</w:t>
      </w:r>
    </w:p>
  </w:footnote>
  <w:footnote w:id="2">
    <w:p w14:paraId="0CDBE848" w14:textId="0FCE6656"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433 I, 22.12.2020, p. 11, ELI: </w:t>
      </w:r>
      <w:hyperlink r:id="rId2" w:history="1">
        <w:r w:rsidRPr="00297984">
          <w:rPr>
            <w:rStyle w:val="Hyperlink"/>
            <w:sz w:val="24"/>
            <w:lang w:val="ro-RO"/>
          </w:rPr>
          <w:t>http://data.europa.eu/eli/reg/2020/2093/oj</w:t>
        </w:r>
      </w:hyperlink>
      <w:r w:rsidRPr="00297984">
        <w:rPr>
          <w:sz w:val="24"/>
          <w:lang w:val="ro-RO"/>
        </w:rPr>
        <w:t>.</w:t>
      </w:r>
    </w:p>
  </w:footnote>
  <w:footnote w:id="3">
    <w:p w14:paraId="6B6AD2BE" w14:textId="22B5484C"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433 I, 22.12.2020, p. 28, ELI: </w:t>
      </w:r>
      <w:hyperlink r:id="rId3" w:history="1">
        <w:r w:rsidRPr="00297984">
          <w:rPr>
            <w:rStyle w:val="Hyperlink"/>
            <w:sz w:val="24"/>
            <w:lang w:val="ro-RO"/>
          </w:rPr>
          <w:t>http://data.europa.eu/eli/agree_interinstit/2020/1222/oj</w:t>
        </w:r>
      </w:hyperlink>
      <w:r w:rsidRPr="00297984">
        <w:rPr>
          <w:sz w:val="24"/>
          <w:lang w:val="ro-RO"/>
        </w:rPr>
        <w:t>.</w:t>
      </w:r>
    </w:p>
  </w:footnote>
  <w:footnote w:id="4">
    <w:p w14:paraId="7C23B2E3" w14:textId="5541FA75"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231, 30.6.2021, p. 60, ELI: </w:t>
      </w:r>
      <w:hyperlink r:id="rId4" w:history="1">
        <w:r w:rsidRPr="00297984">
          <w:rPr>
            <w:rStyle w:val="Hyperlink"/>
            <w:sz w:val="24"/>
            <w:lang w:val="ro-RO"/>
          </w:rPr>
          <w:t>http://data.europa.eu/eli/reg/2021/1058/oj</w:t>
        </w:r>
      </w:hyperlink>
      <w:r w:rsidRPr="00297984">
        <w:rPr>
          <w:sz w:val="24"/>
          <w:lang w:val="ro-RO"/>
        </w:rPr>
        <w:t>.</w:t>
      </w:r>
    </w:p>
  </w:footnote>
  <w:footnote w:id="5">
    <w:p w14:paraId="0092B604" w14:textId="2317B0C4"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231, 30.6.2021, p. 21, ELI: </w:t>
      </w:r>
      <w:hyperlink r:id="rId5" w:history="1">
        <w:r w:rsidRPr="00297984">
          <w:rPr>
            <w:rStyle w:val="Hyperlink"/>
            <w:sz w:val="24"/>
            <w:lang w:val="ro-RO"/>
          </w:rPr>
          <w:t>http://data.europa.eu/eli/reg/2021/1057/oj</w:t>
        </w:r>
      </w:hyperlink>
      <w:r w:rsidRPr="00297984">
        <w:rPr>
          <w:sz w:val="24"/>
          <w:lang w:val="ro-RO"/>
        </w:rPr>
        <w:t>.</w:t>
      </w:r>
    </w:p>
  </w:footnote>
  <w:footnote w:id="6">
    <w:p w14:paraId="175D5B32" w14:textId="470285A7"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435, 6.12.2021, p. 1, ELI: </w:t>
      </w:r>
      <w:hyperlink r:id="rId6" w:history="1">
        <w:r w:rsidRPr="00297984">
          <w:rPr>
            <w:rStyle w:val="Hyperlink"/>
            <w:sz w:val="24"/>
            <w:lang w:val="ro-RO"/>
          </w:rPr>
          <w:t>http://data.europa.eu/eli/reg/2021/2115/oj</w:t>
        </w:r>
      </w:hyperlink>
      <w:r w:rsidR="0020393C">
        <w:rPr>
          <w:sz w:val="24"/>
          <w:lang w:val="ro-RO"/>
        </w:rPr>
        <w:t>.</w:t>
      </w:r>
    </w:p>
  </w:footnote>
  <w:footnote w:id="7">
    <w:p w14:paraId="7380594A" w14:textId="76BC9084"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Text adoptat, P10_TA(2024)0059.</w:t>
      </w:r>
    </w:p>
  </w:footnote>
  <w:footnote w:id="8">
    <w:p w14:paraId="1DEE6635" w14:textId="33F18950"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Texte adoptate, P10_TA(2025)0090.</w:t>
      </w:r>
    </w:p>
  </w:footnote>
  <w:footnote w:id="9">
    <w:p w14:paraId="5DD3B3ED" w14:textId="74EDDCA6"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hyperlink r:id="rId7" w:history="1">
        <w:r w:rsidRPr="00297984">
          <w:rPr>
            <w:rStyle w:val="Hyperlink"/>
            <w:sz w:val="24"/>
            <w:lang w:val="ro-RO"/>
          </w:rPr>
          <w:t>https://www.eea.europa.eu/publications/european-climate-risk-assessment</w:t>
        </w:r>
      </w:hyperlink>
      <w:r w:rsidRPr="00297984">
        <w:rPr>
          <w:sz w:val="24"/>
          <w:lang w:val="ro-RO"/>
        </w:rPr>
        <w:t>.</w:t>
      </w:r>
    </w:p>
  </w:footnote>
  <w:footnote w:id="10">
    <w:p w14:paraId="1DAA7F8A" w14:textId="21BB7228"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Regulamentul (UE) 2021/241 al Parlamentului European și al Consiliului din 12 februarie 2021 de instituire a Mecanismului de redresare și reziliență (JO L 57, 18.2.2021, p. 17, </w:t>
      </w:r>
      <w:r w:rsidRPr="00297984">
        <w:rPr>
          <w:color w:val="333333"/>
          <w:sz w:val="24"/>
          <w:shd w:val="clear" w:color="auto" w:fill="FFFFFF"/>
          <w:lang w:val="ro-RO"/>
        </w:rPr>
        <w:t>ELI: </w:t>
      </w:r>
      <w:hyperlink r:id="rId8" w:tooltip="Oferă acces la acest document prin identificatorul său uniform de resurse ELI." w:history="1">
        <w:r w:rsidRPr="00297984">
          <w:rPr>
            <w:rStyle w:val="Hyperlink"/>
            <w:color w:val="23527C"/>
            <w:sz w:val="24"/>
            <w:shd w:val="clear" w:color="auto" w:fill="FFFFFF"/>
            <w:lang w:val="ro-RO"/>
          </w:rPr>
          <w:t>http://data.europa.eu/eli/reg/2021/241/oj</w:t>
        </w:r>
      </w:hyperlink>
      <w:r w:rsidRPr="00297984">
        <w:rPr>
          <w:sz w:val="24"/>
          <w:lang w:val="ro-RO"/>
        </w:rPr>
        <w:t>).</w:t>
      </w:r>
    </w:p>
  </w:footnote>
  <w:footnote w:id="11">
    <w:p w14:paraId="30EB8EF3" w14:textId="2612D975"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2024/3236, 23.12.2024, ELI: </w:t>
      </w:r>
      <w:hyperlink r:id="rId9" w:history="1">
        <w:r w:rsidRPr="00297984">
          <w:rPr>
            <w:rStyle w:val="Hyperlink"/>
            <w:sz w:val="24"/>
            <w:shd w:val="clear" w:color="auto" w:fill="FFFFFF"/>
            <w:lang w:val="ro-RO"/>
          </w:rPr>
          <w:t>http://data.europa.eu/eli/reg/2024/3236/oj</w:t>
        </w:r>
      </w:hyperlink>
      <w:r w:rsidRPr="00297984">
        <w:rPr>
          <w:sz w:val="24"/>
          <w:lang w:val="ro-RO"/>
        </w:rPr>
        <w:t xml:space="preserve">. </w:t>
      </w:r>
    </w:p>
  </w:footnote>
  <w:footnote w:id="12">
    <w:p w14:paraId="57D7D47F" w14:textId="2D356234"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 xml:space="preserve">JO L, 2024/3242, 23.12.2024, ELI: </w:t>
      </w:r>
      <w:hyperlink r:id="rId10" w:history="1">
        <w:r w:rsidRPr="00297984">
          <w:rPr>
            <w:rStyle w:val="Hyperlink"/>
            <w:sz w:val="24"/>
            <w:shd w:val="clear" w:color="auto" w:fill="FFFFFF"/>
            <w:lang w:val="ro-RO"/>
          </w:rPr>
          <w:t>http://data.europa.eu/eli/reg/2024/3242/oj</w:t>
        </w:r>
      </w:hyperlink>
      <w:r w:rsidRPr="00297984">
        <w:rPr>
          <w:sz w:val="24"/>
          <w:lang w:val="ro-RO"/>
        </w:rPr>
        <w:t xml:space="preserve">. </w:t>
      </w:r>
    </w:p>
  </w:footnote>
  <w:footnote w:id="13">
    <w:p w14:paraId="0DFFEC46" w14:textId="0602979B" w:rsidR="00036616" w:rsidRPr="00297984" w:rsidRDefault="00036616" w:rsidP="00297984">
      <w:pPr>
        <w:pStyle w:val="FootnoteText"/>
        <w:ind w:left="567" w:hanging="567"/>
        <w:rPr>
          <w:sz w:val="24"/>
          <w:lang w:val="ro-RO"/>
        </w:rPr>
      </w:pPr>
      <w:r w:rsidRPr="00297984">
        <w:rPr>
          <w:rStyle w:val="FootnoteReference"/>
          <w:sz w:val="24"/>
          <w:lang w:val="ro-RO"/>
        </w:rPr>
        <w:footnoteRef/>
      </w:r>
      <w:r w:rsidR="00297984" w:rsidRPr="00297984">
        <w:rPr>
          <w:sz w:val="24"/>
          <w:lang w:val="ro-RO"/>
        </w:rPr>
        <w:t xml:space="preserve"> </w:t>
      </w:r>
      <w:r w:rsidR="00297984" w:rsidRPr="00297984">
        <w:rPr>
          <w:sz w:val="24"/>
          <w:lang w:val="ro-RO"/>
        </w:rPr>
        <w:tab/>
      </w:r>
      <w:r w:rsidRPr="00297984">
        <w:rPr>
          <w:sz w:val="24"/>
          <w:lang w:val="ro-RO"/>
        </w:rPr>
        <w:t>Texte adoptate,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D5F28" w14:textId="77777777" w:rsidR="00064002" w:rsidRPr="002979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A41E" w14:textId="77777777" w:rsidR="00064002" w:rsidRPr="002979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3583" w14:textId="77777777" w:rsidR="00064002" w:rsidRPr="002979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2076193">
    <w:abstractNumId w:val="9"/>
  </w:num>
  <w:num w:numId="2" w16cid:durableId="1805544659">
    <w:abstractNumId w:val="9"/>
  </w:num>
  <w:num w:numId="3" w16cid:durableId="2090611122">
    <w:abstractNumId w:val="7"/>
  </w:num>
  <w:num w:numId="4" w16cid:durableId="1353335791">
    <w:abstractNumId w:val="7"/>
  </w:num>
  <w:num w:numId="5" w16cid:durableId="349069408">
    <w:abstractNumId w:val="6"/>
  </w:num>
  <w:num w:numId="6" w16cid:durableId="1866095322">
    <w:abstractNumId w:val="6"/>
  </w:num>
  <w:num w:numId="7" w16cid:durableId="1903977578">
    <w:abstractNumId w:val="5"/>
  </w:num>
  <w:num w:numId="8" w16cid:durableId="540629110">
    <w:abstractNumId w:val="5"/>
  </w:num>
  <w:num w:numId="9" w16cid:durableId="1259018554">
    <w:abstractNumId w:val="4"/>
  </w:num>
  <w:num w:numId="10" w16cid:durableId="504830022">
    <w:abstractNumId w:val="4"/>
  </w:num>
  <w:num w:numId="11" w16cid:durableId="1609502113">
    <w:abstractNumId w:val="8"/>
  </w:num>
  <w:num w:numId="12" w16cid:durableId="397286326">
    <w:abstractNumId w:val="8"/>
  </w:num>
  <w:num w:numId="13" w16cid:durableId="637958439">
    <w:abstractNumId w:val="3"/>
  </w:num>
  <w:num w:numId="14" w16cid:durableId="1193573433">
    <w:abstractNumId w:val="3"/>
  </w:num>
  <w:num w:numId="15" w16cid:durableId="83307377">
    <w:abstractNumId w:val="2"/>
  </w:num>
  <w:num w:numId="16" w16cid:durableId="1368220112">
    <w:abstractNumId w:val="2"/>
  </w:num>
  <w:num w:numId="17" w16cid:durableId="1964967686">
    <w:abstractNumId w:val="1"/>
  </w:num>
  <w:num w:numId="18" w16cid:durableId="1169753165">
    <w:abstractNumId w:val="1"/>
  </w:num>
  <w:num w:numId="19" w16cid:durableId="585458984">
    <w:abstractNumId w:val="0"/>
  </w:num>
  <w:num w:numId="20" w16cid:durableId="1542475432">
    <w:abstractNumId w:val="0"/>
  </w:num>
  <w:num w:numId="21" w16cid:durableId="2048409701">
    <w:abstractNumId w:val="9"/>
  </w:num>
  <w:num w:numId="22" w16cid:durableId="648637550">
    <w:abstractNumId w:val="7"/>
  </w:num>
  <w:num w:numId="23" w16cid:durableId="642080544">
    <w:abstractNumId w:val="6"/>
  </w:num>
  <w:num w:numId="24" w16cid:durableId="1748960783">
    <w:abstractNumId w:val="5"/>
  </w:num>
  <w:num w:numId="25" w16cid:durableId="1456438026">
    <w:abstractNumId w:val="4"/>
  </w:num>
  <w:num w:numId="26" w16cid:durableId="116340606">
    <w:abstractNumId w:val="8"/>
  </w:num>
  <w:num w:numId="27" w16cid:durableId="31074106">
    <w:abstractNumId w:val="3"/>
  </w:num>
  <w:num w:numId="28" w16cid:durableId="1663195729">
    <w:abstractNumId w:val="2"/>
  </w:num>
  <w:num w:numId="29" w16cid:durableId="2063865441">
    <w:abstractNumId w:val="1"/>
  </w:num>
  <w:num w:numId="30" w16cid:durableId="383601572">
    <w:abstractNumId w:val="0"/>
  </w:num>
  <w:num w:numId="31" w16cid:durableId="1290361335">
    <w:abstractNumId w:val="9"/>
  </w:num>
  <w:num w:numId="32" w16cid:durableId="1491555793">
    <w:abstractNumId w:val="7"/>
  </w:num>
  <w:num w:numId="33" w16cid:durableId="1474714303">
    <w:abstractNumId w:val="6"/>
  </w:num>
  <w:num w:numId="34" w16cid:durableId="2102295453">
    <w:abstractNumId w:val="5"/>
  </w:num>
  <w:num w:numId="35" w16cid:durableId="40639357">
    <w:abstractNumId w:val="4"/>
  </w:num>
  <w:num w:numId="36" w16cid:durableId="185219035">
    <w:abstractNumId w:val="8"/>
  </w:num>
  <w:num w:numId="37" w16cid:durableId="297104363">
    <w:abstractNumId w:val="3"/>
  </w:num>
  <w:num w:numId="38" w16cid:durableId="1612858900">
    <w:abstractNumId w:val="2"/>
  </w:num>
  <w:num w:numId="39" w16cid:durableId="1654289041">
    <w:abstractNumId w:val="1"/>
  </w:num>
  <w:num w:numId="40" w16cid:durableId="1745444281">
    <w:abstractNumId w:val="0"/>
  </w:num>
  <w:num w:numId="41" w16cid:durableId="1026560583">
    <w:abstractNumId w:val="10"/>
  </w:num>
  <w:num w:numId="42" w16cid:durableId="816071394">
    <w:abstractNumId w:val="10"/>
  </w:num>
  <w:num w:numId="43" w16cid:durableId="346829571">
    <w:abstractNumId w:val="10"/>
  </w:num>
  <w:num w:numId="44" w16cid:durableId="13005005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RO"/>
    <w:docVar w:name="dvnumam" w:val="0"/>
    <w:docVar w:name="dvpe" w:val="778.223"/>
    <w:docVar w:name="dvrapporteur" w:val="Raportoare: "/>
    <w:docVar w:name="dvtitre" w:val="Rezoluția Parlamentului European din 13 noiembrie 2025 referitoare la propunerea de decizie a Parlamentului European și a Consiliului privind mobilizarea Fondului de solidaritate al Uniunii Europene în vederea furnizării de asistență Spaniei în contextul inundațiilor care au afectat regiunea Valencia din Spania în octombrie 2024 și Franței ca urmare a daunelor provocate de ciclonul Chido în Mayotte în decembrie 2024 și de ciclonul Garance în Réunion în februarie 2025(COM(2025)0855 – C10-0239/2025 – 2025/0318(BUD))"/>
  </w:docVars>
  <w:rsids>
    <w:rsidRoot w:val="00797A83"/>
    <w:rsid w:val="00002272"/>
    <w:rsid w:val="00036616"/>
    <w:rsid w:val="00064002"/>
    <w:rsid w:val="000677B9"/>
    <w:rsid w:val="000831BA"/>
    <w:rsid w:val="00091EE7"/>
    <w:rsid w:val="000A42CC"/>
    <w:rsid w:val="000E7DD9"/>
    <w:rsid w:val="0010095E"/>
    <w:rsid w:val="00125B37"/>
    <w:rsid w:val="00187494"/>
    <w:rsid w:val="001A693F"/>
    <w:rsid w:val="001F32AE"/>
    <w:rsid w:val="0020393C"/>
    <w:rsid w:val="002767FF"/>
    <w:rsid w:val="0029798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9D7"/>
    <w:rsid w:val="005C2568"/>
    <w:rsid w:val="005F1B17"/>
    <w:rsid w:val="006037C0"/>
    <w:rsid w:val="006631B6"/>
    <w:rsid w:val="00680577"/>
    <w:rsid w:val="006F74FA"/>
    <w:rsid w:val="00731ADD"/>
    <w:rsid w:val="00734777"/>
    <w:rsid w:val="00747932"/>
    <w:rsid w:val="00751A4A"/>
    <w:rsid w:val="00756632"/>
    <w:rsid w:val="00762C74"/>
    <w:rsid w:val="00786EC0"/>
    <w:rsid w:val="00797A8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C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613"/>
    <w:rsid w:val="00C61C0C"/>
    <w:rsid w:val="00C941CB"/>
    <w:rsid w:val="00CC2357"/>
    <w:rsid w:val="00CF071A"/>
    <w:rsid w:val="00D058B8"/>
    <w:rsid w:val="00D56C11"/>
    <w:rsid w:val="00D834A0"/>
    <w:rsid w:val="00D872DF"/>
    <w:rsid w:val="00D91E21"/>
    <w:rsid w:val="00DA7FCD"/>
    <w:rsid w:val="00DE7B37"/>
    <w:rsid w:val="00E365E1"/>
    <w:rsid w:val="00E820A4"/>
    <w:rsid w:val="00EB006A"/>
    <w:rsid w:val="00EB4772"/>
    <w:rsid w:val="00ED169E"/>
    <w:rsid w:val="00ED4235"/>
    <w:rsid w:val="00F04346"/>
    <w:rsid w:val="00F075DC"/>
    <w:rsid w:val="00F149E9"/>
    <w:rsid w:val="00F5134D"/>
    <w:rsid w:val="00F74202"/>
    <w:rsid w:val="00F87713"/>
    <w:rsid w:val="00F9407B"/>
    <w:rsid w:val="00FB4360"/>
    <w:rsid w:val="00FC3EE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DA600"/>
  <w15:chartTrackingRefBased/>
  <w15:docId w15:val="{5BE18BC7-EBFC-44DE-AD60-27C54454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661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36616"/>
    <w:pPr>
      <w:keepNext/>
      <w:spacing w:after="480"/>
      <w:jc w:val="center"/>
    </w:pPr>
    <w:rPr>
      <w:rFonts w:ascii="Arial" w:hAnsi="Arial" w:cs="Arial"/>
      <w:b/>
    </w:rPr>
  </w:style>
  <w:style w:type="paragraph" w:customStyle="1" w:styleId="NormalHanging12a">
    <w:name w:val="NormalHanging12a"/>
    <w:basedOn w:val="Normal"/>
    <w:rsid w:val="00036616"/>
    <w:pPr>
      <w:spacing w:after="240"/>
      <w:ind w:left="567" w:hanging="567"/>
    </w:pPr>
  </w:style>
  <w:style w:type="paragraph" w:styleId="Header">
    <w:name w:val="header"/>
    <w:basedOn w:val="Normal"/>
    <w:link w:val="HeaderChar"/>
    <w:rsid w:val="00036616"/>
    <w:pPr>
      <w:tabs>
        <w:tab w:val="center" w:pos="4513"/>
        <w:tab w:val="right" w:pos="9026"/>
      </w:tabs>
    </w:pPr>
  </w:style>
  <w:style w:type="character" w:customStyle="1" w:styleId="HeaderChar">
    <w:name w:val="Header Char"/>
    <w:basedOn w:val="DefaultParagraphFont"/>
    <w:link w:val="Header"/>
    <w:rsid w:val="00036616"/>
    <w:rPr>
      <w:sz w:val="24"/>
      <w:lang w:val="ro-RO"/>
    </w:rPr>
  </w:style>
  <w:style w:type="paragraph" w:customStyle="1" w:styleId="NormalBold24a">
    <w:name w:val="NormalBold24a"/>
    <w:basedOn w:val="Normal"/>
    <w:rsid w:val="00036616"/>
    <w:pPr>
      <w:spacing w:after="480"/>
    </w:pPr>
    <w:rPr>
      <w:b/>
      <w:bCs/>
    </w:rPr>
  </w:style>
  <w:style w:type="paragraph" w:customStyle="1" w:styleId="EPFooter">
    <w:name w:val="EPFooter"/>
    <w:basedOn w:val="Normal"/>
    <w:rsid w:val="00036616"/>
    <w:pPr>
      <w:tabs>
        <w:tab w:val="center" w:pos="4535"/>
        <w:tab w:val="right" w:pos="9071"/>
      </w:tabs>
      <w:spacing w:before="240" w:after="240"/>
    </w:pPr>
    <w:rPr>
      <w:color w:val="010000"/>
      <w:sz w:val="22"/>
    </w:rPr>
  </w:style>
  <w:style w:type="paragraph" w:customStyle="1" w:styleId="EPComma">
    <w:name w:val="EPComma"/>
    <w:basedOn w:val="Normal"/>
    <w:rsid w:val="00036616"/>
    <w:pPr>
      <w:spacing w:before="480" w:after="240"/>
    </w:pPr>
  </w:style>
  <w:style w:type="character" w:styleId="Hyperlink">
    <w:name w:val="Hyperlink"/>
    <w:basedOn w:val="DefaultParagraphFont"/>
    <w:uiPriority w:val="99"/>
    <w:rsid w:val="00036616"/>
    <w:rPr>
      <w:color w:val="0563C1" w:themeColor="hyperlink"/>
      <w:u w:val="single"/>
    </w:rPr>
  </w:style>
  <w:style w:type="paragraph" w:customStyle="1" w:styleId="Point0">
    <w:name w:val="Point 0"/>
    <w:basedOn w:val="Normal"/>
    <w:rsid w:val="00036616"/>
    <w:pPr>
      <w:widowControl/>
      <w:spacing w:before="120" w:after="120" w:line="360" w:lineRule="auto"/>
      <w:ind w:left="850" w:hanging="850"/>
    </w:pPr>
    <w:rPr>
      <w:rFonts w:eastAsiaTheme="minorHAnsi"/>
      <w:szCs w:val="22"/>
      <w:lang w:eastAsia="ro-RO" w:bidi="ro-RO"/>
    </w:rPr>
  </w:style>
  <w:style w:type="paragraph" w:customStyle="1" w:styleId="Formuledadoption">
    <w:name w:val="Formule d'adoption"/>
    <w:basedOn w:val="Normal"/>
    <w:next w:val="Normal"/>
    <w:rsid w:val="00036616"/>
    <w:pPr>
      <w:keepNext/>
      <w:widowControl/>
      <w:spacing w:before="120" w:after="120" w:line="360" w:lineRule="auto"/>
    </w:pPr>
    <w:rPr>
      <w:rFonts w:eastAsiaTheme="minorHAnsi"/>
      <w:szCs w:val="22"/>
      <w:lang w:eastAsia="ro-RO" w:bidi="ro-RO"/>
    </w:rPr>
  </w:style>
  <w:style w:type="paragraph" w:styleId="Footer">
    <w:name w:val="footer"/>
    <w:basedOn w:val="Normal"/>
    <w:link w:val="FooterChar"/>
    <w:rsid w:val="00091EE7"/>
    <w:pPr>
      <w:tabs>
        <w:tab w:val="center" w:pos="4513"/>
        <w:tab w:val="right" w:pos="9026"/>
      </w:tabs>
    </w:pPr>
  </w:style>
  <w:style w:type="character" w:customStyle="1" w:styleId="FooterChar">
    <w:name w:val="Footer Char"/>
    <w:basedOn w:val="DefaultParagraphFont"/>
    <w:link w:val="Footer"/>
    <w:rsid w:val="00091EE7"/>
    <w:rPr>
      <w:sz w:val="24"/>
      <w:lang w:val="ro-RO"/>
    </w:rPr>
  </w:style>
  <w:style w:type="paragraph" w:styleId="Revision">
    <w:name w:val="Revision"/>
    <w:hidden/>
    <w:uiPriority w:val="99"/>
    <w:semiHidden/>
    <w:rsid w:val="00091EE7"/>
    <w:rPr>
      <w:sz w:val="24"/>
      <w:lang w:val="ro-RO"/>
    </w:rPr>
  </w:style>
  <w:style w:type="character" w:styleId="CommentReference">
    <w:name w:val="annotation reference"/>
    <w:basedOn w:val="DefaultParagraphFont"/>
    <w:rsid w:val="00091EE7"/>
    <w:rPr>
      <w:sz w:val="16"/>
      <w:szCs w:val="16"/>
    </w:rPr>
  </w:style>
  <w:style w:type="paragraph" w:styleId="CommentText">
    <w:name w:val="annotation text"/>
    <w:basedOn w:val="Normal"/>
    <w:link w:val="CommentTextChar"/>
    <w:rsid w:val="00091EE7"/>
    <w:rPr>
      <w:sz w:val="20"/>
    </w:rPr>
  </w:style>
  <w:style w:type="character" w:customStyle="1" w:styleId="CommentTextChar">
    <w:name w:val="Comment Text Char"/>
    <w:basedOn w:val="DefaultParagraphFont"/>
    <w:link w:val="CommentText"/>
    <w:rsid w:val="00091EE7"/>
    <w:rPr>
      <w:lang w:val="ro-RO"/>
    </w:rPr>
  </w:style>
  <w:style w:type="paragraph" w:styleId="CommentSubject">
    <w:name w:val="annotation subject"/>
    <w:basedOn w:val="CommentText"/>
    <w:next w:val="CommentText"/>
    <w:link w:val="CommentSubjectChar"/>
    <w:rsid w:val="00091EE7"/>
    <w:rPr>
      <w:b/>
      <w:bCs/>
    </w:rPr>
  </w:style>
  <w:style w:type="character" w:customStyle="1" w:styleId="CommentSubjectChar">
    <w:name w:val="Comment Subject Char"/>
    <w:basedOn w:val="CommentTextChar"/>
    <w:link w:val="CommentSubject"/>
    <w:rsid w:val="00091EE7"/>
    <w:rPr>
      <w:b/>
      <w:bCs/>
      <w:lang w:val="ro-RO"/>
    </w:rPr>
  </w:style>
  <w:style w:type="character" w:styleId="FollowedHyperlink">
    <w:name w:val="FollowedHyperlink"/>
    <w:basedOn w:val="DefaultParagraphFont"/>
    <w:rsid w:val="0020393C"/>
    <w:rPr>
      <w:color w:val="954F72" w:themeColor="followedHyperlink"/>
      <w:u w:val="single"/>
    </w:rPr>
  </w:style>
  <w:style w:type="character" w:customStyle="1" w:styleId="ATHeading3Char">
    <w:name w:val="AT Heading 3 Char"/>
    <w:link w:val="ATHeading3"/>
    <w:locked/>
    <w:rsid w:val="001A693F"/>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1973</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2026-01-20T15:46:00Z</dcterms:created>
  <dcterms:modified xsi:type="dcterms:W3CDTF">2026-01-20T15:46:00Z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P10_TA(2025)0274_</vt:lpwstr>
  </property>
  <property fmtid="{D5CDD505-2E9C-101B-9397-08002B2CF9AE}" pid="4" name="&lt;Type&gt;">
    <vt:lpwstr>RR</vt:lpwstr>
  </property>
</Properties>
</file>