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64E94" w14:paraId="19A6BB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700D6D" w14:textId="77777777" w:rsidR="00751A4A" w:rsidRPr="00C64E94" w:rsidRDefault="00FE50C5" w:rsidP="0010095E">
            <w:pPr>
              <w:pStyle w:val="EPName"/>
            </w:pPr>
            <w:r w:rsidRPr="00C64E94">
              <w:t>Európsky parlament</w:t>
            </w:r>
          </w:p>
          <w:p w14:paraId="3DBFEA9C" w14:textId="77777777" w:rsidR="00751A4A" w:rsidRPr="00C64E9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64E94">
              <w:t>2024</w:t>
            </w:r>
            <w:r w:rsidR="00817416" w:rsidRPr="00C64E94">
              <w:t>-202</w:t>
            </w:r>
            <w:r w:rsidRPr="00C64E94">
              <w:t>9</w:t>
            </w:r>
          </w:p>
        </w:tc>
        <w:tc>
          <w:tcPr>
            <w:tcW w:w="2268" w:type="dxa"/>
            <w:shd w:val="clear" w:color="auto" w:fill="auto"/>
          </w:tcPr>
          <w:p w14:paraId="06983E9D" w14:textId="77777777" w:rsidR="00751A4A" w:rsidRPr="00C64E94" w:rsidRDefault="00187494" w:rsidP="0010095E">
            <w:pPr>
              <w:pStyle w:val="EPLogo"/>
            </w:pPr>
            <w:r w:rsidRPr="00C64E94">
              <w:rPr>
                <w:noProof/>
                <w:lang w:eastAsia="ja-JP"/>
              </w:rPr>
              <w:drawing>
                <wp:inline distT="0" distB="0" distL="0" distR="0" wp14:anchorId="7DB16502" wp14:editId="197D029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795BAB" w14:textId="77777777" w:rsidR="00D058B8" w:rsidRPr="00C64E94" w:rsidRDefault="00D058B8" w:rsidP="004C5D52">
      <w:pPr>
        <w:pStyle w:val="LineTop"/>
      </w:pPr>
    </w:p>
    <w:p w14:paraId="46BE87D6" w14:textId="77777777" w:rsidR="00680577" w:rsidRPr="00C64E94" w:rsidRDefault="00FE50C5" w:rsidP="00680577">
      <w:pPr>
        <w:pStyle w:val="EPBodyTA1"/>
      </w:pPr>
      <w:r w:rsidRPr="00C64E94">
        <w:t>PRIJATÉ TEXTY</w:t>
      </w:r>
    </w:p>
    <w:p w14:paraId="166DF8FB" w14:textId="77777777" w:rsidR="00D058B8" w:rsidRPr="00C64E94" w:rsidRDefault="00D058B8" w:rsidP="00D058B8">
      <w:pPr>
        <w:pStyle w:val="LineBottom"/>
      </w:pPr>
    </w:p>
    <w:p w14:paraId="13F57FAA" w14:textId="45DDF5B0" w:rsidR="00FE50C5" w:rsidRPr="00C64E94" w:rsidRDefault="00FE50C5" w:rsidP="00FE50C5">
      <w:pPr>
        <w:pStyle w:val="ATHeading1"/>
      </w:pPr>
      <w:bookmarkStart w:id="0" w:name="TANumber"/>
      <w:r w:rsidRPr="00C64E94">
        <w:t>P10_TA(2025)0</w:t>
      </w:r>
      <w:r w:rsidR="00C64E94" w:rsidRPr="00C64E94">
        <w:t>27</w:t>
      </w:r>
      <w:r w:rsidR="006E361E">
        <w:t>4</w:t>
      </w:r>
      <w:bookmarkEnd w:id="0"/>
    </w:p>
    <w:p w14:paraId="4C2F655D" w14:textId="77777777" w:rsidR="00FE50C5" w:rsidRPr="00C64E94" w:rsidRDefault="00FE50C5" w:rsidP="00FE50C5">
      <w:pPr>
        <w:pStyle w:val="ATHeading2"/>
      </w:pPr>
      <w:bookmarkStart w:id="1" w:name="title"/>
      <w:r w:rsidRPr="00C64E94">
        <w:t>Mobilizácia Fondu solidarity Európskej únie: pomoc Španielsku a Francúzsku v súvislosti s prírodnými katastrofami v rokoch 2024 a 2025</w:t>
      </w:r>
      <w:bookmarkEnd w:id="1"/>
    </w:p>
    <w:p w14:paraId="51507B00" w14:textId="77777777" w:rsidR="00FE50C5" w:rsidRPr="00C64E94" w:rsidRDefault="00FE50C5" w:rsidP="00FE50C5">
      <w:pPr>
        <w:rPr>
          <w:i/>
          <w:vanish/>
        </w:rPr>
      </w:pPr>
      <w:r w:rsidRPr="00C64E94">
        <w:rPr>
          <w:i/>
        </w:rPr>
        <w:fldChar w:fldCharType="begin"/>
      </w:r>
      <w:r w:rsidRPr="00C64E94">
        <w:rPr>
          <w:i/>
        </w:rPr>
        <w:instrText xml:space="preserve"> TC"(</w:instrText>
      </w:r>
      <w:bookmarkStart w:id="2" w:name="DocNumber"/>
      <w:r w:rsidRPr="00C64E94">
        <w:rPr>
          <w:i/>
        </w:rPr>
        <w:instrText>A10-0215/2025</w:instrText>
      </w:r>
      <w:bookmarkEnd w:id="2"/>
      <w:r w:rsidRPr="00C64E94">
        <w:rPr>
          <w:i/>
        </w:rPr>
        <w:instrText xml:space="preserve"> - Spravodajkyňa: Sandra </w:instrText>
      </w:r>
      <w:proofErr w:type="spellStart"/>
      <w:r w:rsidRPr="00C64E94">
        <w:rPr>
          <w:i/>
        </w:rPr>
        <w:instrText>Gómez</w:instrText>
      </w:r>
      <w:proofErr w:type="spellEnd"/>
      <w:r w:rsidRPr="00C64E94">
        <w:rPr>
          <w:i/>
        </w:rPr>
        <w:instrText xml:space="preserve"> </w:instrText>
      </w:r>
      <w:proofErr w:type="spellStart"/>
      <w:r w:rsidRPr="00C64E94">
        <w:rPr>
          <w:i/>
        </w:rPr>
        <w:instrText>López</w:instrText>
      </w:r>
      <w:proofErr w:type="spellEnd"/>
      <w:r w:rsidRPr="00C64E94">
        <w:rPr>
          <w:i/>
        </w:rPr>
        <w:instrText xml:space="preserve">)"\l3 \n&gt; \* MERGEFORMAT </w:instrText>
      </w:r>
      <w:r w:rsidRPr="00C64E94">
        <w:rPr>
          <w:i/>
        </w:rPr>
        <w:fldChar w:fldCharType="end"/>
      </w:r>
    </w:p>
    <w:p w14:paraId="178B7D27" w14:textId="77777777" w:rsidR="00FE50C5" w:rsidRPr="00C64E94" w:rsidRDefault="00FE50C5" w:rsidP="00FE50C5">
      <w:pPr>
        <w:rPr>
          <w:vanish/>
        </w:rPr>
      </w:pPr>
      <w:bookmarkStart w:id="3" w:name="Commission"/>
      <w:r w:rsidRPr="00C64E94">
        <w:rPr>
          <w:vanish/>
        </w:rPr>
        <w:t>Výbor pre rozpočet</w:t>
      </w:r>
      <w:bookmarkEnd w:id="3"/>
    </w:p>
    <w:p w14:paraId="5D4D05F3" w14:textId="77777777" w:rsidR="00FE50C5" w:rsidRPr="00C64E94" w:rsidRDefault="00FE50C5" w:rsidP="00FE50C5">
      <w:pPr>
        <w:rPr>
          <w:vanish/>
        </w:rPr>
      </w:pPr>
      <w:bookmarkStart w:id="4" w:name="PE"/>
      <w:r w:rsidRPr="00C64E94">
        <w:rPr>
          <w:vanish/>
        </w:rPr>
        <w:t>PE778.223</w:t>
      </w:r>
      <w:bookmarkEnd w:id="4"/>
    </w:p>
    <w:p w14:paraId="6EEA31BD" w14:textId="2AAA5D49" w:rsidR="00FE50C5" w:rsidRPr="00C64E94" w:rsidRDefault="00FE50C5" w:rsidP="00FE50C5">
      <w:pPr>
        <w:pStyle w:val="ATHeading3"/>
      </w:pPr>
      <w:bookmarkStart w:id="5" w:name="Sujet"/>
      <w:r w:rsidRPr="00C64E94">
        <w:t>Uznesenie Európskeho parlamentu z</w:t>
      </w:r>
      <w:r w:rsidR="00533429" w:rsidRPr="00C64E94">
        <w:t> 13</w:t>
      </w:r>
      <w:r w:rsidRPr="00C64E94">
        <w:t xml:space="preserve">. novembra 2025 o návrhu rozhodnutia Európskeho parlamentu a Rady o mobilizácii Fondu solidarity Európskej únie na účely poskytnutia pomoci Španielsku v súvislosti s povodňami v regióne Valencia, ku ktorým došlo v októbri 2024, a Francúzsku v súvislosti so škodami spôsobenými cyklónom </w:t>
      </w:r>
      <w:proofErr w:type="spellStart"/>
      <w:r w:rsidRPr="00C64E94">
        <w:t>Chido</w:t>
      </w:r>
      <w:proofErr w:type="spellEnd"/>
      <w:r w:rsidRPr="00C64E94">
        <w:t xml:space="preserve"> na Mayotte v decembri 2024 a cyklónom </w:t>
      </w:r>
      <w:proofErr w:type="spellStart"/>
      <w:r w:rsidRPr="00C64E94">
        <w:t>Garance</w:t>
      </w:r>
      <w:proofErr w:type="spellEnd"/>
      <w:r w:rsidRPr="00C64E94">
        <w:t xml:space="preserve"> na Réunione vo februári 2025</w:t>
      </w:r>
      <w:bookmarkEnd w:id="5"/>
      <w:r w:rsidRPr="00C64E94">
        <w:t xml:space="preserve"> </w:t>
      </w:r>
      <w:bookmarkStart w:id="6" w:name="References"/>
      <w:r w:rsidRPr="00C64E94">
        <w:t>(COM(2025)0855 – C10-0239/2025 – 2025/0318(BUD))</w:t>
      </w:r>
      <w:bookmarkEnd w:id="6"/>
    </w:p>
    <w:p w14:paraId="1CCA5CD4" w14:textId="77777777" w:rsidR="00E74A98" w:rsidRPr="00C64E94" w:rsidRDefault="00E74A98" w:rsidP="00E74A98">
      <w:pPr>
        <w:pStyle w:val="EPComma"/>
        <w:rPr>
          <w:noProof/>
          <w:szCs w:val="24"/>
        </w:rPr>
      </w:pPr>
      <w:r w:rsidRPr="00C64E94">
        <w:rPr>
          <w:i/>
          <w:szCs w:val="24"/>
        </w:rPr>
        <w:t>Európsky parlament</w:t>
      </w:r>
      <w:r w:rsidRPr="00C64E94">
        <w:rPr>
          <w:szCs w:val="24"/>
        </w:rPr>
        <w:t>,</w:t>
      </w:r>
    </w:p>
    <w:p w14:paraId="1A57E11F" w14:textId="7777777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–</w:t>
      </w:r>
      <w:r w:rsidRPr="00C64E94">
        <w:rPr>
          <w:szCs w:val="24"/>
        </w:rPr>
        <w:tab/>
        <w:t>so zreteľom na návrh Komisie pre Európsky parlament a Radu (COM(2025)0855 – C10</w:t>
      </w:r>
      <w:r w:rsidRPr="00C64E94">
        <w:rPr>
          <w:szCs w:val="24"/>
        </w:rPr>
        <w:noBreakHyphen/>
        <w:t>0239/2025),</w:t>
      </w:r>
    </w:p>
    <w:p w14:paraId="38642D44" w14:textId="01EE8164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–</w:t>
      </w:r>
      <w:r w:rsidRPr="00C64E94">
        <w:rPr>
          <w:szCs w:val="24"/>
        </w:rPr>
        <w:tab/>
        <w:t>so zreteľom na nariadenie Rady (ES) č. 2012/2002 z 11. novembra 2002, ktorým sa zriaďuje fond solidarity Európskej únie</w:t>
      </w:r>
      <w:r w:rsidR="00533429" w:rsidRPr="00C64E94">
        <w:rPr>
          <w:noProof/>
          <w:vertAlign w:val="superscript"/>
        </w:rPr>
        <w:footnoteReference w:id="1"/>
      </w:r>
      <w:r w:rsidRPr="00C64E94">
        <w:rPr>
          <w:szCs w:val="24"/>
        </w:rPr>
        <w:t>,</w:t>
      </w:r>
    </w:p>
    <w:p w14:paraId="76295CB8" w14:textId="0B966DC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–</w:t>
      </w:r>
      <w:r w:rsidRPr="00C64E94">
        <w:rPr>
          <w:szCs w:val="24"/>
        </w:rPr>
        <w:tab/>
        <w:t xml:space="preserve">so zreteľom na nariadenie Rady (EÚ, </w:t>
      </w:r>
      <w:proofErr w:type="spellStart"/>
      <w:r w:rsidRPr="00C64E94">
        <w:rPr>
          <w:szCs w:val="24"/>
        </w:rPr>
        <w:t>Euratom</w:t>
      </w:r>
      <w:proofErr w:type="spellEnd"/>
      <w:r w:rsidRPr="00C64E94">
        <w:rPr>
          <w:szCs w:val="24"/>
        </w:rPr>
        <w:t>) 2020/2093 zo 17. decembra 2020, ktorým sa stanovuje viacročný finančný rámec na roky 2021 až 2027</w:t>
      </w:r>
      <w:r w:rsidR="00533429" w:rsidRPr="00C64E94">
        <w:rPr>
          <w:noProof/>
          <w:vertAlign w:val="superscript"/>
        </w:rPr>
        <w:footnoteReference w:id="2"/>
      </w:r>
      <w:r w:rsidRPr="00C64E94">
        <w:rPr>
          <w:szCs w:val="24"/>
        </w:rPr>
        <w:t>, a najmä na jeho článok 9,</w:t>
      </w:r>
    </w:p>
    <w:p w14:paraId="2BD708F0" w14:textId="52ECA07F" w:rsidR="00E74A98" w:rsidRPr="00C64E94" w:rsidRDefault="00E74A98" w:rsidP="00E74A98">
      <w:pPr>
        <w:pStyle w:val="NormalHanging12a"/>
        <w:rPr>
          <w:szCs w:val="24"/>
        </w:rPr>
      </w:pPr>
      <w:r w:rsidRPr="00C64E94">
        <w:rPr>
          <w:szCs w:val="24"/>
        </w:rPr>
        <w:t>–</w:t>
      </w:r>
      <w:r w:rsidRPr="00C64E94">
        <w:rPr>
          <w:szCs w:val="24"/>
        </w:rPr>
        <w:tab/>
        <w:t xml:space="preserve">so zreteľom na </w:t>
      </w:r>
      <w:proofErr w:type="spellStart"/>
      <w:r w:rsidRPr="00C64E94">
        <w:rPr>
          <w:szCs w:val="24"/>
        </w:rPr>
        <w:t>Medziinštitucionálnu</w:t>
      </w:r>
      <w:proofErr w:type="spellEnd"/>
      <w:r w:rsidRPr="00C64E94">
        <w:rPr>
          <w:szCs w:val="24"/>
        </w:rPr>
        <w:t xml:space="preserve"> dohodu zo 16. decembra 2020 medzi Európskym parlamentom, Radou </w:t>
      </w:r>
      <w:r w:rsidR="00533429" w:rsidRPr="00C64E94">
        <w:rPr>
          <w:szCs w:val="24"/>
        </w:rPr>
        <w:t xml:space="preserve">Európskej únie </w:t>
      </w:r>
      <w:r w:rsidRPr="00C64E94">
        <w:rPr>
          <w:szCs w:val="24"/>
        </w:rPr>
        <w:t>a</w:t>
      </w:r>
      <w:r w:rsidR="00533429" w:rsidRPr="00C64E94">
        <w:rPr>
          <w:szCs w:val="24"/>
        </w:rPr>
        <w:t> Európskou k</w:t>
      </w:r>
      <w:r w:rsidRPr="00C64E94">
        <w:rPr>
          <w:szCs w:val="24"/>
        </w:rPr>
        <w:t>omisiou o rozpočtovej disciplíne, spolupráci v rozpočtových záležitostiach a správnom finančnom riadení, ako aj o nových vlastných zdrojoch vrátane plánu na zavedenie nových vlastných zdrojov</w:t>
      </w:r>
      <w:r w:rsidR="00533429" w:rsidRPr="00C64E94">
        <w:rPr>
          <w:noProof/>
          <w:vertAlign w:val="superscript"/>
        </w:rPr>
        <w:footnoteReference w:id="3"/>
      </w:r>
      <w:r w:rsidRPr="00C64E94">
        <w:rPr>
          <w:szCs w:val="24"/>
        </w:rPr>
        <w:t>, a najmä na jej článok 10,</w:t>
      </w:r>
    </w:p>
    <w:p w14:paraId="737EB008" w14:textId="6C154BDC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–</w:t>
      </w:r>
      <w:r w:rsidRPr="00C64E94">
        <w:rPr>
          <w:szCs w:val="24"/>
        </w:rPr>
        <w:tab/>
        <w:t>so zreteľom na nariadenie Európskeho parlamentu a Rady (EÚ) 2021/1058 z 24. júna 2021 o Európskom fonde regionálneho rozvoja a Kohéznom fonde</w:t>
      </w:r>
      <w:r w:rsidR="00533429" w:rsidRPr="00C64E94">
        <w:rPr>
          <w:noProof/>
          <w:vertAlign w:val="superscript"/>
        </w:rPr>
        <w:footnoteReference w:id="4"/>
      </w:r>
      <w:r w:rsidRPr="00C64E94">
        <w:rPr>
          <w:szCs w:val="24"/>
        </w:rPr>
        <w:t xml:space="preserve">, </w:t>
      </w:r>
    </w:p>
    <w:p w14:paraId="5E3422BB" w14:textId="1EC81A90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lastRenderedPageBreak/>
        <w:t>–</w:t>
      </w:r>
      <w:r w:rsidRPr="00C64E94">
        <w:rPr>
          <w:szCs w:val="24"/>
        </w:rPr>
        <w:tab/>
        <w:t>so zreteľom na nariadenie Európskeho parlamentu a Rady (EÚ) 2021/1057 z 24. júna 2021, ktorým sa zriaďuje Európsky sociálny fond plus (ESF+)</w:t>
      </w:r>
      <w:r w:rsidR="00533429" w:rsidRPr="00C64E94">
        <w:rPr>
          <w:noProof/>
          <w:vertAlign w:val="superscript"/>
        </w:rPr>
        <w:footnoteReference w:id="5"/>
      </w:r>
      <w:r w:rsidRPr="00C64E94">
        <w:rPr>
          <w:szCs w:val="24"/>
        </w:rPr>
        <w:t xml:space="preserve">, </w:t>
      </w:r>
    </w:p>
    <w:p w14:paraId="11255BA5" w14:textId="3105190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–</w:t>
      </w:r>
      <w:r w:rsidRPr="00C64E94">
        <w:rPr>
          <w:szCs w:val="24"/>
        </w:rPr>
        <w:tab/>
        <w:t>so zreteľom na nariadenie Európskeho parlamentu a Rady (EÚ) 2021/2115 z 2. decembra 2021, ktorým sa stanovujú pravidlá podpory strategických plánov, ktoré majú zostaviť členské štáty v rámci spoločnej poľnohospodárskej politiky (strategické plány SPP) a ktoré sú financované z Európskeho poľnohospodárskeho záručného fondu (EPZF) a Európskeho poľnohospodárskeho fondu pre rozvoj vidieka (EPFRV) a ktorým sa zrušujú nariadenia (EÚ) č. 1305/2013 a (EÚ) č. 1307/2013</w:t>
      </w:r>
      <w:r w:rsidR="00533429" w:rsidRPr="00C64E94">
        <w:rPr>
          <w:noProof/>
          <w:vertAlign w:val="superscript"/>
        </w:rPr>
        <w:footnoteReference w:id="6"/>
      </w:r>
      <w:r w:rsidRPr="00C64E94">
        <w:rPr>
          <w:szCs w:val="24"/>
        </w:rPr>
        <w:t xml:space="preserve">, </w:t>
      </w:r>
    </w:p>
    <w:p w14:paraId="61397825" w14:textId="240E0028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–</w:t>
      </w:r>
      <w:r w:rsidRPr="00C64E94">
        <w:rPr>
          <w:szCs w:val="24"/>
        </w:rPr>
        <w:tab/>
        <w:t>so zreteľom na správu Výboru pre zamestnanosť a sociálne veci a Výboru pre regionálny rozvoj (A10-0031/2024) v rámci legislatívneho postupu na prijatie nariadenia Európskeho parlamentu a Rady (EÚ) 2024/3236 z 19. decembra 2024, ktorým sa menia nariadenia (EÚ) 2021/1057 a (EÚ) 2021/1058, pokiaľ ide o regionálnu núdzovú podporu obnovy (RESTORE)</w:t>
      </w:r>
      <w:r w:rsidR="00533429" w:rsidRPr="00C64E94">
        <w:rPr>
          <w:noProof/>
          <w:vertAlign w:val="superscript"/>
        </w:rPr>
        <w:footnoteReference w:id="7"/>
      </w:r>
      <w:r w:rsidRPr="00C64E94">
        <w:rPr>
          <w:szCs w:val="24"/>
        </w:rPr>
        <w:t xml:space="preserve">, a najmä na rozpočtové posúdenie Výboru pre rozpočet pripojené k uvedenej správe, </w:t>
      </w:r>
    </w:p>
    <w:p w14:paraId="74C30DE9" w14:textId="45FC03DB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–</w:t>
      </w:r>
      <w:r w:rsidRPr="00C64E94">
        <w:rPr>
          <w:szCs w:val="24"/>
        </w:rPr>
        <w:tab/>
        <w:t>so zreteľom na svoje uznesenie zo 7. mája 2025 o prepracovanom dlhodobom rozpočte pre Úniu v meniacom sa svete</w:t>
      </w:r>
      <w:r w:rsidR="00533429" w:rsidRPr="00C64E94">
        <w:rPr>
          <w:noProof/>
          <w:vertAlign w:val="superscript"/>
        </w:rPr>
        <w:footnoteReference w:id="8"/>
      </w:r>
      <w:r w:rsidRPr="00C64E94">
        <w:rPr>
          <w:szCs w:val="24"/>
        </w:rPr>
        <w:t xml:space="preserve">, </w:t>
      </w:r>
    </w:p>
    <w:p w14:paraId="79F9A81D" w14:textId="5A17BA0A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–</w:t>
      </w:r>
      <w:r w:rsidRPr="00C64E94">
        <w:rPr>
          <w:szCs w:val="24"/>
        </w:rPr>
        <w:tab/>
        <w:t>so zreteľom na správu EEA č. 1/2024 – Európske posúdenie klimatických rizík (EUCRA)</w:t>
      </w:r>
      <w:r w:rsidR="00533429" w:rsidRPr="00C64E94">
        <w:rPr>
          <w:noProof/>
          <w:vertAlign w:val="superscript"/>
        </w:rPr>
        <w:footnoteReference w:id="9"/>
      </w:r>
      <w:r w:rsidRPr="00C64E94">
        <w:rPr>
          <w:szCs w:val="24"/>
        </w:rPr>
        <w:t>,</w:t>
      </w:r>
    </w:p>
    <w:p w14:paraId="79B36621" w14:textId="7777777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–</w:t>
      </w:r>
      <w:r w:rsidRPr="00C64E94">
        <w:rPr>
          <w:szCs w:val="24"/>
        </w:rPr>
        <w:tab/>
        <w:t>so zreteľom na správu Výboru pre rozpočet (A10-0215/2025),</w:t>
      </w:r>
    </w:p>
    <w:p w14:paraId="7261FB18" w14:textId="7777777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A.</w:t>
      </w:r>
      <w:r w:rsidRPr="00C64E94">
        <w:rPr>
          <w:szCs w:val="24"/>
        </w:rPr>
        <w:tab/>
        <w:t>keďže od 28. októbra do 4. novembra 2024 zasiahla celý valencijský región v Španielsku búrka, ktorá priniesla silné dažde a spôsobila rozsiahle povodne, ktoré viedli k celkovým priamym škodám odhadovaným Komisiou na 18,08 miliardy EUR, pričom postihnutých bolo 845 000 osôb z 84 obcí, 170 vzdelávacích zariadení, viac ako 50 zdravotníckych zariadení a verejná infraštruktúra; keďže povodne spôsobili najmenej 229 úmrtí;</w:t>
      </w:r>
    </w:p>
    <w:p w14:paraId="33EAB258" w14:textId="77777777" w:rsidR="00E74A98" w:rsidRPr="00C64E94" w:rsidRDefault="00E74A98" w:rsidP="00E74A98">
      <w:pPr>
        <w:pStyle w:val="NormalHanging12a"/>
        <w:rPr>
          <w:bCs/>
          <w:iCs/>
          <w:noProof/>
          <w:szCs w:val="24"/>
        </w:rPr>
      </w:pPr>
      <w:r w:rsidRPr="00C64E94">
        <w:rPr>
          <w:szCs w:val="24"/>
        </w:rPr>
        <w:t>B.</w:t>
      </w:r>
      <w:r w:rsidRPr="00C64E94">
        <w:rPr>
          <w:szCs w:val="24"/>
        </w:rPr>
        <w:tab/>
        <w:t>keďže tieto búrky a záplavy mali enormný vplyv na regionálne hospodárstvo, ktorý sa odhaduje na 18 miliárd EUR, postihnutých bolo 63 priemyselných oblastí, 64 000 podnikov (z toho 99,6 % MSP) a 250 000 pracovníkov a predložených bolo 243 388 nárokov na náhradu škody, ako sa uvádza v štúdiách predložených regionálnou vládou Valencie a miestnou konfederáciou podnikateľov;</w:t>
      </w:r>
    </w:p>
    <w:p w14:paraId="4DC89FBA" w14:textId="7777777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C.</w:t>
      </w:r>
      <w:r w:rsidRPr="00C64E94">
        <w:rPr>
          <w:szCs w:val="24"/>
        </w:rPr>
        <w:tab/>
        <w:t xml:space="preserve">keďže 14. decembra 2024 zasiahlo francúzsky ostrov Mayotte oko cyklónu </w:t>
      </w:r>
      <w:proofErr w:type="spellStart"/>
      <w:r w:rsidRPr="00C64E94">
        <w:rPr>
          <w:szCs w:val="24"/>
        </w:rPr>
        <w:t>Chido</w:t>
      </w:r>
      <w:proofErr w:type="spellEnd"/>
      <w:r w:rsidRPr="00C64E94">
        <w:rPr>
          <w:szCs w:val="24"/>
        </w:rPr>
        <w:t>, následkom čoho vznikli poryvy vetra s rýchlosťou viac ako 180 kilometrov za hodinu a silný dážď v kombinácii s vysokými vlnami, čo spôsobilo celkové priame škody odhadované Komisiou na 3,6 miliardy EUR; keďže cyklón postihol 337 000 ľudí a spôsobil najmenej 39 úmrtí; keďže 200 osôb je aj naďalej nezvestných;</w:t>
      </w:r>
    </w:p>
    <w:p w14:paraId="24A48088" w14:textId="7777777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D.</w:t>
      </w:r>
      <w:r w:rsidRPr="00C64E94">
        <w:rPr>
          <w:szCs w:val="24"/>
        </w:rPr>
        <w:tab/>
        <w:t xml:space="preserve">keďže 28. februára 2025 zasiahol francúzsky ostrov Réunion cyklón </w:t>
      </w:r>
      <w:proofErr w:type="spellStart"/>
      <w:r w:rsidRPr="00C64E94">
        <w:rPr>
          <w:szCs w:val="24"/>
        </w:rPr>
        <w:t>Garance</w:t>
      </w:r>
      <w:proofErr w:type="spellEnd"/>
      <w:r w:rsidRPr="00C64E94">
        <w:rPr>
          <w:szCs w:val="24"/>
        </w:rPr>
        <w:t xml:space="preserve">, ktorý spôsobil vietor s rýchlosťou až 215 kilometrov za hodinu, silné dažde a nebezpečné podmienky na mori, čo viedlo k celkovým priamym škodám odhadovaným </w:t>
      </w:r>
      <w:r w:rsidRPr="00C64E94">
        <w:rPr>
          <w:szCs w:val="24"/>
        </w:rPr>
        <w:lastRenderedPageBreak/>
        <w:t>francúzskymi orgánmi na 849,45 milióna EUR, najmä na elektrickej sieti a komunikačnej infraštruktúre; keďže cyklón postihol 160 000 ľudí a spôsobil najmenej štyri úmrtia;</w:t>
      </w:r>
    </w:p>
    <w:p w14:paraId="55E3B2B4" w14:textId="7777777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1.</w:t>
      </w:r>
      <w:r w:rsidRPr="00C64E94">
        <w:rPr>
          <w:szCs w:val="24"/>
        </w:rPr>
        <w:tab/>
        <w:t>vyjadruje hlbokú solidaritu so všetkými obeťami, ich rodinami a všetkými osobami postihnutým ničivými povodňami v regióne Valencia v Španielsku a ničivými cyklónmi na francúzskych ostrovoch Mayotte a Réunion, ako aj s vnútroštátnymi, regionálnymi a miestnymi orgánmi zapojenými do poskytovania pomoci;</w:t>
      </w:r>
    </w:p>
    <w:p w14:paraId="1B4B804E" w14:textId="7777777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2.</w:t>
      </w:r>
      <w:r w:rsidRPr="00C64E94">
        <w:rPr>
          <w:szCs w:val="24"/>
        </w:rPr>
        <w:tab/>
        <w:t>víta toto rozhodnutie ako konkrétnu a viditeľnú formu solidarity Únie s jej občanmi a regiónmi v postihnutých oblastiach, avšak konštatuje, že táto solidarita nemôže nahradiť priamu zodpovednosť miestnych, regionálnych a celoštátnych orgánov za predchádzanie prírodným katastrofám súvisiacim s klímou a za ich riadenie;</w:t>
      </w:r>
    </w:p>
    <w:p w14:paraId="3A85ECCE" w14:textId="7777777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3.</w:t>
      </w:r>
      <w:r w:rsidRPr="00C64E94">
        <w:rPr>
          <w:szCs w:val="24"/>
        </w:rPr>
        <w:tab/>
        <w:t>opätovne pripomína, že je dôležité informovať verejnosť o reálnych výhodách, ktoré prináša Fond solidarity Európskej únie (ďalej len „FSEÚ“), a to aj s cieľom ďalej zvyšovať povedomie občanov o nástrojoch a programoch Únie;</w:t>
      </w:r>
    </w:p>
    <w:p w14:paraId="3EDA64B7" w14:textId="7777777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4.</w:t>
      </w:r>
      <w:r w:rsidRPr="00C64E94">
        <w:rPr>
          <w:szCs w:val="24"/>
        </w:rPr>
        <w:tab/>
        <w:t xml:space="preserve">upozorňuje na rastúci počet závažných, ničivých a smrteľných prírodných katastrof v Európe a vyzýva členské štáty a Komisiu, aby zvýšili investície do prevencie, verejnej infraštruktúry, zmierňovania zmeny klímy a adaptácie na túto zmenu, ako aj na opatrenia v oblasti pripravenosti na katastrofy s cieľom zabrániť stratám na ľudských životoch a hospodárskym stratám; vyzýva členské štáty, aby vzali do úvahy, že vzhľadom na sociálno-ekonomické a demografické faktory postihujú klimatické riziká a iné prírodné katastrofy v neúmernej miere zraniteľné obyvateľstvo a malé a stredné podniky, ako aj zraniteľné územia, napríklad najvzdialenejšie regióny; domnieva sa, že je nevyhnutné zabezpečiť vysokú úroveň demokratickej kontroly FSEÚ rozpočtovým orgánom; pripomína, že FSEÚ má obmedzený rozpočet a nemožno ho považovať za jediný nástroj na riešenie veľkých prírodných katastrof; vyzýva preto na posúdenie finančnej kapacity rozpočtu Únie a na zváženie možného zvýšenia jeho zdrojov, aby sa mohla občanom poskytovať pomoc úmerná závažnosti takýchto katastrof; konštatuje, že zvýšenie tohto druhu pomoci by členským štátom umožnilo účinnejšie a rýchlejšie reagovať na katastrofy, pričom iné nástroje, najmä fondy politiky súdržnosti, ktorých hlavným cieľom nie je reakcia na katastrofy, by sa mohli zachovať; </w:t>
      </w:r>
    </w:p>
    <w:p w14:paraId="5B569E11" w14:textId="1765030F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5.</w:t>
      </w:r>
      <w:r w:rsidRPr="00C64E94">
        <w:rPr>
          <w:szCs w:val="24"/>
        </w:rPr>
        <w:tab/>
        <w:t xml:space="preserve">zdôrazňuje, že FSEÚ je len nástrojom nápravy a že Únia by mala pokračovať aj v adaptácii na zmenu klímy a jej zmierňovaní tým, že bude podporovať európske a vnútroštátne politiky na predchádzanie prírodným katastrofám, ako aj zásadu „obnova k lepšiemu“ vo všetkých svojich opatreniach; zdôrazňuje, že správa EEA č. 1/2024 s názvom Európske posúdenie klimatických rizík upozornila na nepripravenosť Únie na účinky zmeny klímy a zdôraznila, že treba prijať opatrenia, aby zistené klimatické riziká nedosiahli kritické úrovne; vyzýva členské štáty a Komisiu, aby prijali potrebné opatrenia s cieľom priviesť Úniu k splneniu záväzkov prijatých v Parížskej dohode; pripomína, že treba vytvoriť účinné synergie s ostatnými politikami a programami Únie, a zdôrazňuje, že členské štáty by mali čo najlepšie využívať možnosti financovania, najmä z Európskeho fondu regionálneho rozvoja, Európskeho sociálneho fondu plus a programov rozvoja vidieka; vyzýva Komisiu, aby s náležitou naliehavosťou posúdila všetky odôvodnené žiadosti členských štátov o prerozdelenie finančných prostriedkov v rámci národných plánov obnovy a odolnosti na pomoc pri prírodných katastrofách v súlade s pravidlami stanovenými v nariadení Európskeho parlamentu a Rady (EÚ) </w:t>
      </w:r>
      <w:r w:rsidRPr="00C64E94">
        <w:rPr>
          <w:szCs w:val="24"/>
        </w:rPr>
        <w:lastRenderedPageBreak/>
        <w:t>2021/241</w:t>
      </w:r>
      <w:r w:rsidR="00533429" w:rsidRPr="00C64E94">
        <w:rPr>
          <w:noProof/>
          <w:vertAlign w:val="superscript"/>
        </w:rPr>
        <w:footnoteReference w:id="10"/>
      </w:r>
      <w:r w:rsidRPr="00C64E94">
        <w:rPr>
          <w:szCs w:val="24"/>
        </w:rPr>
        <w:t xml:space="preserve">, najmä s ohľadom na vysoký percentuálny podiel zdrojov z tohto mechanizmu, ktoré neboli doposiaľ vyčerpané; zdôrazňuje, že je takisto potrebné prijať preventívne opatrenia, a to nielen s cieľom zmierniť budúce škody, ale aj zabrániť zhoršeniu rizikových podmienok po katastrofických udalostiach, ako sú povodne, prírodné požiare, zosuvy pôdy alebo vysušovanie jazier a riek; okrem toho upozorňuje na riziká pre verejné zdravie v celej Európe vyplývajúce zo zmeny klímy a extrémnych javov, ako sú vlny horúčav, a vyzýva Komisiu, aby tento aspekt zohľadnila vo svojej politike v oblasti zmierňovania zmeny klímy a adaptácie na ňu; podporuje využívanie inovačných digitálnych nástrojov, satelitných údajov (napr. </w:t>
      </w:r>
      <w:proofErr w:type="spellStart"/>
      <w:r w:rsidRPr="00C64E94">
        <w:rPr>
          <w:szCs w:val="24"/>
        </w:rPr>
        <w:t>Copernicus</w:t>
      </w:r>
      <w:proofErr w:type="spellEnd"/>
      <w:r w:rsidRPr="00C64E94">
        <w:rPr>
          <w:szCs w:val="24"/>
        </w:rPr>
        <w:t>) a systémov včasného varovania s cieľom zlepšiť pripravenosť na katastrofy; podčiarkuje význam primeranej flexibility medzi rôznymi programami; zdôrazňuje, že pomoc poskytovaná v rámci FSEÚ by nemala byť na úkor finančných prostriedkov Únie, ktoré členské štáty prijímajú z iných programov alebo politík Únie; pripomína, že členské štáty môžu poskytovať štátnu pomoc v súlade s platnými pravidlami Únie, a to najmä poľnohospodárskym podnikom, ktoré utrpeli škody v dôsledku prírodných katastrof;</w:t>
      </w:r>
    </w:p>
    <w:p w14:paraId="24FAC6FF" w14:textId="566D6E5D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6.</w:t>
      </w:r>
      <w:r w:rsidRPr="00C64E94">
        <w:rPr>
          <w:szCs w:val="24"/>
        </w:rPr>
        <w:tab/>
        <w:t>pripomína, že RESTORE</w:t>
      </w:r>
      <w:r w:rsidR="00533429" w:rsidRPr="00C64E94">
        <w:rPr>
          <w:noProof/>
          <w:vertAlign w:val="superscript"/>
        </w:rPr>
        <w:footnoteReference w:id="11"/>
      </w:r>
      <w:r w:rsidRPr="00C64E94">
        <w:rPr>
          <w:szCs w:val="24"/>
        </w:rPr>
        <w:t xml:space="preserve"> a osobitné opatrenia v rámci Európskeho poľnohospodárskeho fondu pre rozvoj vidieka (EPFRV)</w:t>
      </w:r>
      <w:r w:rsidR="00533429" w:rsidRPr="00C64E94">
        <w:rPr>
          <w:noProof/>
          <w:vertAlign w:val="superscript"/>
        </w:rPr>
        <w:footnoteReference w:id="12"/>
      </w:r>
      <w:r w:rsidRPr="00C64E94">
        <w:rPr>
          <w:szCs w:val="24"/>
        </w:rPr>
        <w:t xml:space="preserve"> poskytujú dodatočnú pomoc členským štátom postihnutým prírodnými katastrofami prostredníctvom väčšej flexibility pri využívaní finančných prostriedkov; zdôrazňuje, že členské štáty by mali tieto príležitosti využívať; </w:t>
      </w:r>
    </w:p>
    <w:p w14:paraId="43B0EFCA" w14:textId="77777777" w:rsidR="00E74A98" w:rsidRPr="00C64E94" w:rsidRDefault="00E74A98" w:rsidP="00E74A98">
      <w:pPr>
        <w:pStyle w:val="NormalHanging12a"/>
        <w:rPr>
          <w:bCs/>
          <w:iCs/>
          <w:szCs w:val="24"/>
        </w:rPr>
      </w:pPr>
      <w:r w:rsidRPr="00C64E94">
        <w:rPr>
          <w:szCs w:val="24"/>
        </w:rPr>
        <w:t>7.</w:t>
      </w:r>
      <w:r w:rsidRPr="00C64E94">
        <w:rPr>
          <w:szCs w:val="24"/>
        </w:rPr>
        <w:tab/>
        <w:t>vyjadruje poľutovanie nad tým, že čas potrebný na zaslanie celého grantu FSEÚ príjemcovi je v priemere jeden rok; pripomína význam rýchleho a spoľahlivého posúdenia škôd, ktoré náležite zohľadňuje hospodárske dôsledky, a vyzýva na zvýšenie operačného úsilia s cieľom skrátiť priemerný čas na uvoľnenie zálohových platieb a zároveň zabezpečiť ochranu rozpočtu Únie; konštatuje, že v rámci metodiky výpočtu celkovej výšky pomoci by bolo treba lepšie zohľadniť pomer medzi celkovými priamymi škodami a HND postihnutého územia, najmä ak sú postihnuté najvzdialenejšie regióny;</w:t>
      </w:r>
    </w:p>
    <w:p w14:paraId="75EBF956" w14:textId="66A12ED3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8.</w:t>
      </w:r>
      <w:r w:rsidRPr="00C64E94">
        <w:rPr>
          <w:szCs w:val="24"/>
        </w:rPr>
        <w:tab/>
        <w:t>zdôrazňuje naliehavú potrebu uvoľniť z FSEÚ okamžitú finančnú pomoc, aby sa podpora mohla včas dostať do postihnutých regiónov a pomôcť pri rýchlej a dlhodobej obnove; zdôrazňuje, že je dôležité skrátiť čas medzi podaním žiadosti o pomoc z FSEÚ a rozhodnutím o financovaní; žiada vyvinúť úsilie, ktorým sa zabezpečí, aby sa pomoc z FSEÚ rýchlo dostala ku konečným príjemcom vrátane podnikov, MSP, rodín a postihnutých občanov a smerovala aj na rekonštrukciu infraštruktúry a nápravu materiálnych škôd, a to všetko pri uplatnení príslušného posúdenia vplyvu a vhodných kontrolných mechanizmov; podčiarkuje potrebu zjednodušiť a urýchliť vnútorné postupy bez toho, aby sa narušila inštitucionálna rovnováha, najmä práva Európskeho parlamentu ako jednej z dvoch zložiek rozpočtového orgánu; konštatuje, že navrhované riadenie nástupcu Fondu solidarity Európskej únie po roku 2027 nie je v súlade s pozíciou Európskeho parlamentu vyjadrenou v jeho uznesení zo 7. mája 2025 s názvom Prepracovaný dlhodobý rozpočet pre Úniu v meniacom sa svete</w:t>
      </w:r>
      <w:r w:rsidR="00692E0A" w:rsidRPr="00C64E94">
        <w:rPr>
          <w:rStyle w:val="FootnoteReference"/>
          <w:bCs/>
          <w:iCs/>
        </w:rPr>
        <w:footnoteReference w:id="13"/>
      </w:r>
      <w:r w:rsidRPr="00C64E94">
        <w:rPr>
          <w:szCs w:val="24"/>
        </w:rPr>
        <w:t xml:space="preserve">; </w:t>
      </w:r>
    </w:p>
    <w:p w14:paraId="78C95A17" w14:textId="7777777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lastRenderedPageBreak/>
        <w:t>9.</w:t>
      </w:r>
      <w:r w:rsidRPr="00C64E94">
        <w:rPr>
          <w:szCs w:val="24"/>
        </w:rPr>
        <w:tab/>
        <w:t>schvaľuje rozhodnutie, ktoré je uvedené v prílohe k tomuto uzneseniu;</w:t>
      </w:r>
    </w:p>
    <w:p w14:paraId="5F921C50" w14:textId="7777777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10.</w:t>
      </w:r>
      <w:r w:rsidRPr="00C64E94">
        <w:rPr>
          <w:szCs w:val="24"/>
        </w:rPr>
        <w:tab/>
        <w:t xml:space="preserve">poveruje svoju predsedníčku, aby podpísala toto rozhodnutie spoločne s predsedom Rady a aby zabezpečila jeho uverejnenie v </w:t>
      </w:r>
      <w:r w:rsidRPr="00C64E94">
        <w:rPr>
          <w:i/>
          <w:szCs w:val="24"/>
        </w:rPr>
        <w:t>Úradnom vestníku Európskej únie</w:t>
      </w:r>
      <w:r w:rsidRPr="00C64E94">
        <w:rPr>
          <w:szCs w:val="24"/>
        </w:rPr>
        <w:t>;</w:t>
      </w:r>
    </w:p>
    <w:p w14:paraId="035521ED" w14:textId="77777777" w:rsidR="00E74A98" w:rsidRPr="00C64E94" w:rsidRDefault="00E74A98" w:rsidP="00E74A98">
      <w:pPr>
        <w:pStyle w:val="NormalHanging12a"/>
        <w:rPr>
          <w:noProof/>
          <w:szCs w:val="24"/>
        </w:rPr>
      </w:pPr>
      <w:r w:rsidRPr="00C64E94">
        <w:rPr>
          <w:szCs w:val="24"/>
        </w:rPr>
        <w:t>11.</w:t>
      </w:r>
      <w:r w:rsidRPr="00C64E94">
        <w:rPr>
          <w:szCs w:val="24"/>
        </w:rPr>
        <w:tab/>
        <w:t>poveruje svoju predsedníčku, aby postúpila toto uznesenie spolu s prílohou Rade a Komisii.</w:t>
      </w:r>
    </w:p>
    <w:p w14:paraId="39F09DFC" w14:textId="77777777" w:rsidR="00E74A98" w:rsidRPr="00C64E94" w:rsidRDefault="00E74A98" w:rsidP="00E74A98">
      <w:pPr>
        <w:rPr>
          <w:noProof/>
          <w:szCs w:val="24"/>
        </w:rPr>
      </w:pPr>
    </w:p>
    <w:p w14:paraId="5EE98D0F" w14:textId="77777777" w:rsidR="00E74A98" w:rsidRPr="00C64E94" w:rsidRDefault="00E74A98" w:rsidP="00E74A98">
      <w:pPr>
        <w:pStyle w:val="PageHeading"/>
        <w:rPr>
          <w:rFonts w:ascii="Times New Roman" w:hAnsi="Times New Roman" w:cs="Times New Roman"/>
          <w:noProof/>
          <w:szCs w:val="24"/>
        </w:rPr>
        <w:sectPr w:rsidR="00E74A98" w:rsidRPr="00C64E94" w:rsidSect="00D20279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1A23E02" w14:textId="77777777" w:rsidR="00692E0A" w:rsidRPr="00C64E94" w:rsidRDefault="00E74A98" w:rsidP="009A0511">
      <w:pPr>
        <w:pStyle w:val="PageHeading"/>
        <w:rPr>
          <w:rFonts w:ascii="Times New Roman" w:hAnsi="Times New Roman" w:cs="Times New Roman"/>
          <w:szCs w:val="24"/>
        </w:rPr>
      </w:pPr>
      <w:bookmarkStart w:id="7" w:name="_Toc213771790"/>
      <w:r w:rsidRPr="00C64E94">
        <w:rPr>
          <w:rFonts w:ascii="Times New Roman" w:hAnsi="Times New Roman" w:cs="Times New Roman"/>
          <w:szCs w:val="24"/>
        </w:rPr>
        <w:lastRenderedPageBreak/>
        <w:t>PRÍLOHA</w:t>
      </w:r>
    </w:p>
    <w:p w14:paraId="40D56159" w14:textId="5AD61801" w:rsidR="00E74A98" w:rsidRPr="00C64E94" w:rsidRDefault="00E74A98" w:rsidP="00E74A98">
      <w:pPr>
        <w:pStyle w:val="PageHeading"/>
        <w:rPr>
          <w:rFonts w:ascii="Times New Roman" w:hAnsi="Times New Roman" w:cs="Times New Roman"/>
          <w:noProof/>
          <w:szCs w:val="24"/>
        </w:rPr>
      </w:pPr>
      <w:r w:rsidRPr="00C64E94">
        <w:rPr>
          <w:rFonts w:ascii="Times New Roman" w:hAnsi="Times New Roman" w:cs="Times New Roman"/>
          <w:szCs w:val="24"/>
        </w:rPr>
        <w:t>ROZHODNUTIE EURÓPSKEHO PARLAMENTU A RADY</w:t>
      </w:r>
      <w:bookmarkEnd w:id="7"/>
    </w:p>
    <w:p w14:paraId="5504788F" w14:textId="77777777" w:rsidR="00E74A98" w:rsidRDefault="00E74A98" w:rsidP="00E74A98">
      <w:pPr>
        <w:tabs>
          <w:tab w:val="left" w:pos="567"/>
          <w:tab w:val="left" w:pos="1134"/>
        </w:tabs>
        <w:jc w:val="center"/>
        <w:rPr>
          <w:b/>
          <w:szCs w:val="24"/>
        </w:rPr>
      </w:pPr>
      <w:r w:rsidRPr="00C64E94">
        <w:rPr>
          <w:b/>
          <w:szCs w:val="24"/>
        </w:rPr>
        <w:t xml:space="preserve">o mobilizácii Fondu solidarity Európskej únie na účely poskytnutia pomoci Španielsku v súvislosti s povodňami v regióne Valencia, ku ktorým došlo v októbri 2024, a Francúzsku v súvislosti so škodami spôsobenými cyklónom </w:t>
      </w:r>
      <w:proofErr w:type="spellStart"/>
      <w:r w:rsidRPr="00C64E94">
        <w:rPr>
          <w:b/>
          <w:szCs w:val="24"/>
        </w:rPr>
        <w:t>Chido</w:t>
      </w:r>
      <w:proofErr w:type="spellEnd"/>
      <w:r w:rsidRPr="00C64E94">
        <w:rPr>
          <w:b/>
          <w:szCs w:val="24"/>
        </w:rPr>
        <w:t xml:space="preserve"> na Mayotte v decembri 2024 a cyklónom </w:t>
      </w:r>
      <w:proofErr w:type="spellStart"/>
      <w:r w:rsidRPr="00C64E94">
        <w:rPr>
          <w:b/>
          <w:szCs w:val="24"/>
        </w:rPr>
        <w:t>Garance</w:t>
      </w:r>
      <w:proofErr w:type="spellEnd"/>
      <w:r w:rsidRPr="00C64E94">
        <w:rPr>
          <w:b/>
          <w:szCs w:val="24"/>
        </w:rPr>
        <w:t xml:space="preserve"> na Réunione vo februári 2025</w:t>
      </w:r>
    </w:p>
    <w:p w14:paraId="63AA49AE" w14:textId="77777777" w:rsidR="009A0511" w:rsidRDefault="009A0511" w:rsidP="00E74A98">
      <w:pPr>
        <w:tabs>
          <w:tab w:val="left" w:pos="567"/>
          <w:tab w:val="left" w:pos="1134"/>
        </w:tabs>
        <w:jc w:val="center"/>
        <w:rPr>
          <w:b/>
          <w:szCs w:val="24"/>
        </w:rPr>
      </w:pPr>
    </w:p>
    <w:p w14:paraId="400BD970" w14:textId="2A375007" w:rsidR="009A0511" w:rsidRPr="009A0511" w:rsidRDefault="009A0511" w:rsidP="009A0511">
      <w:pPr>
        <w:tabs>
          <w:tab w:val="left" w:pos="567"/>
          <w:tab w:val="left" w:pos="1134"/>
        </w:tabs>
        <w:rPr>
          <w:rFonts w:eastAsia="Calibri"/>
          <w:bCs/>
          <w:i/>
          <w:iCs/>
          <w:noProof/>
          <w:szCs w:val="24"/>
        </w:rPr>
      </w:pPr>
      <w:r w:rsidRPr="009A0511">
        <w:rPr>
          <w:rFonts w:eastAsia="Calibri"/>
          <w:bCs/>
          <w:i/>
          <w:iCs/>
          <w:noProof/>
          <w:szCs w:val="24"/>
        </w:rPr>
        <w:t xml:space="preserve">(Znenie tejto prílohy sa neuvádza, pretože zodpovedá konečnému aktu, rozhodnutiu </w:t>
      </w:r>
      <w:r w:rsidRPr="009A0511">
        <w:rPr>
          <w:rFonts w:eastAsia="Calibri"/>
          <w:bCs/>
          <w:i/>
          <w:iCs/>
          <w:noProof/>
          <w:szCs w:val="24"/>
          <w:rPrChange w:id="8" w:author="Unknown" w:date="2017-09-25T16:01:00Z">
            <w:rPr>
              <w:bCs/>
              <w:i/>
              <w:iCs/>
            </w:rPr>
          </w:rPrChange>
        </w:rPr>
        <w:t xml:space="preserve">(EÚ) </w:t>
      </w:r>
      <w:r>
        <w:rPr>
          <w:rFonts w:eastAsia="Calibri"/>
          <w:bCs/>
          <w:i/>
          <w:iCs/>
          <w:noProof/>
          <w:szCs w:val="24"/>
        </w:rPr>
        <w:t>2025/2403</w:t>
      </w:r>
      <w:r w:rsidRPr="009A0511">
        <w:rPr>
          <w:rFonts w:eastAsia="Calibri"/>
          <w:bCs/>
          <w:i/>
          <w:iCs/>
          <w:noProof/>
          <w:szCs w:val="24"/>
        </w:rPr>
        <w:t>.)</w:t>
      </w:r>
    </w:p>
    <w:p w14:paraId="21A16924" w14:textId="77777777" w:rsidR="009A0511" w:rsidRPr="009A0511" w:rsidRDefault="009A0511" w:rsidP="009A0511">
      <w:pPr>
        <w:tabs>
          <w:tab w:val="left" w:pos="567"/>
          <w:tab w:val="left" w:pos="1134"/>
        </w:tabs>
        <w:rPr>
          <w:rFonts w:eastAsia="Calibri"/>
          <w:bCs/>
          <w:noProof/>
          <w:szCs w:val="24"/>
        </w:rPr>
      </w:pPr>
    </w:p>
    <w:p w14:paraId="33153F10" w14:textId="77777777" w:rsidR="009A0511" w:rsidRPr="009A0511" w:rsidRDefault="009A0511" w:rsidP="009A0511">
      <w:pPr>
        <w:tabs>
          <w:tab w:val="left" w:pos="567"/>
          <w:tab w:val="left" w:pos="1134"/>
        </w:tabs>
        <w:rPr>
          <w:rFonts w:eastAsia="Calibri"/>
          <w:bCs/>
          <w:noProof/>
          <w:szCs w:val="24"/>
        </w:rPr>
      </w:pPr>
    </w:p>
    <w:sectPr w:rsidR="009A0511" w:rsidRPr="009A0511" w:rsidSect="00D2027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26ADC" w14:textId="77777777" w:rsidR="00FE50C5" w:rsidRPr="00D20279" w:rsidRDefault="00FE50C5">
      <w:r w:rsidRPr="00D20279">
        <w:separator/>
      </w:r>
    </w:p>
  </w:endnote>
  <w:endnote w:type="continuationSeparator" w:id="0">
    <w:p w14:paraId="3DD572DD" w14:textId="77777777" w:rsidR="00FE50C5" w:rsidRPr="00D20279" w:rsidRDefault="00FE50C5">
      <w:r w:rsidRPr="00D202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4ACA6" w14:textId="77777777" w:rsidR="00E74A98" w:rsidRPr="00D20279" w:rsidRDefault="00E74A98" w:rsidP="003E0D6D">
    <w:pPr>
      <w:pStyle w:val="EPFooter"/>
    </w:pPr>
    <w:r w:rsidRPr="00D20279">
      <w:t>PE</w:t>
    </w:r>
    <w:r w:rsidRPr="00D20279">
      <w:rPr>
        <w:rStyle w:val="HideTWBExt"/>
      </w:rPr>
      <w:t>&lt;</w:t>
    </w:r>
    <w:proofErr w:type="spellStart"/>
    <w:r w:rsidRPr="00D20279">
      <w:rPr>
        <w:rStyle w:val="HideTWBExt"/>
      </w:rPr>
      <w:t>NoPE</w:t>
    </w:r>
    <w:proofErr w:type="spellEnd"/>
    <w:r w:rsidRPr="00D20279">
      <w:rPr>
        <w:rStyle w:val="HideTWBExt"/>
      </w:rPr>
      <w:t>&gt;</w:t>
    </w:r>
    <w:r w:rsidRPr="00D20279">
      <w:t>778.223</w:t>
    </w:r>
    <w:r w:rsidRPr="00D20279">
      <w:rPr>
        <w:rStyle w:val="HideTWBExt"/>
      </w:rPr>
      <w:t>&lt;/</w:t>
    </w:r>
    <w:proofErr w:type="spellStart"/>
    <w:r w:rsidRPr="00D20279">
      <w:rPr>
        <w:rStyle w:val="HideTWBExt"/>
      </w:rPr>
      <w:t>NoPE</w:t>
    </w:r>
    <w:proofErr w:type="spellEnd"/>
    <w:r w:rsidRPr="00D20279">
      <w:rPr>
        <w:rStyle w:val="HideTWBExt"/>
      </w:rPr>
      <w:t>&gt;&lt;Version&gt;</w:t>
    </w:r>
    <w:r w:rsidRPr="00D20279">
      <w:t>v02-00</w:t>
    </w:r>
    <w:r w:rsidRPr="00D20279">
      <w:rPr>
        <w:rStyle w:val="HideTWBExt"/>
      </w:rPr>
      <w:t>&lt;/</w:t>
    </w:r>
    <w:proofErr w:type="spellStart"/>
    <w:r w:rsidRPr="00D20279">
      <w:rPr>
        <w:rStyle w:val="HideTWBExt"/>
      </w:rPr>
      <w:t>Version</w:t>
    </w:r>
    <w:proofErr w:type="spellEnd"/>
    <w:r w:rsidRPr="00D20279">
      <w:rPr>
        <w:rStyle w:val="HideTWBExt"/>
      </w:rPr>
      <w:t>&gt;</w:t>
    </w:r>
    <w:r w:rsidRPr="00D20279">
      <w:tab/>
    </w:r>
    <w:r w:rsidRPr="00D20279">
      <w:fldChar w:fldCharType="begin"/>
    </w:r>
    <w:r w:rsidRPr="00D20279">
      <w:instrText xml:space="preserve"> PAGE  \* MERGEFORMAT </w:instrText>
    </w:r>
    <w:r w:rsidRPr="00D20279">
      <w:fldChar w:fldCharType="separate"/>
    </w:r>
    <w:r w:rsidRPr="00D20279">
      <w:rPr>
        <w:noProof/>
      </w:rPr>
      <w:t>1</w:t>
    </w:r>
    <w:r w:rsidRPr="00D20279">
      <w:fldChar w:fldCharType="end"/>
    </w:r>
    <w:r w:rsidRPr="00D20279">
      <w:t>/</w:t>
    </w:r>
    <w:fldSimple w:instr=" NUMPAGES  \* MERGEFORMAT ">
      <w:r w:rsidRPr="00D20279">
        <w:rPr>
          <w:noProof/>
        </w:rPr>
        <w:t>2</w:t>
      </w:r>
    </w:fldSimple>
    <w:r w:rsidRPr="00D20279">
      <w:tab/>
    </w:r>
    <w:r w:rsidRPr="00D20279">
      <w:rPr>
        <w:rStyle w:val="HideTWBExt"/>
      </w:rPr>
      <w:t>&lt;PathFdR&gt;</w:t>
    </w:r>
    <w:r w:rsidRPr="00D20279">
      <w:t>RR\1331466SK.docx</w:t>
    </w:r>
    <w:r w:rsidRPr="00D20279">
      <w:rPr>
        <w:rStyle w:val="HideTWBExt"/>
      </w:rPr>
      <w:t>&lt;/</w:t>
    </w:r>
    <w:proofErr w:type="spellStart"/>
    <w:r w:rsidRPr="00D20279">
      <w:rPr>
        <w:rStyle w:val="HideTWBExt"/>
      </w:rPr>
      <w:t>PathFdR</w:t>
    </w:r>
    <w:proofErr w:type="spellEnd"/>
    <w:r w:rsidRPr="00D20279">
      <w:rPr>
        <w:rStyle w:val="HideTWBExt"/>
      </w:rPr>
      <w:t>&gt;</w:t>
    </w:r>
  </w:p>
  <w:p w14:paraId="5F401579" w14:textId="77777777" w:rsidR="00E74A98" w:rsidRPr="00D20279" w:rsidRDefault="00E74A98" w:rsidP="003E0D6D">
    <w:pPr>
      <w:pStyle w:val="EPFooter2"/>
    </w:pPr>
    <w:r w:rsidRPr="00D20279">
      <w:t>SK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786F8" w14:textId="77777777" w:rsidR="00E74A98" w:rsidRPr="00D20279" w:rsidRDefault="00E74A98" w:rsidP="003E0D6D">
    <w:pPr>
      <w:pStyle w:val="EPFooter"/>
    </w:pPr>
    <w:r w:rsidRPr="00D20279">
      <w:rPr>
        <w:rStyle w:val="HideTWBExt"/>
      </w:rPr>
      <w:t>&lt;PathFdR&gt;</w:t>
    </w:r>
    <w:r w:rsidRPr="00D20279">
      <w:t>RR\1331466SK.docx</w:t>
    </w:r>
    <w:r w:rsidRPr="00D20279">
      <w:rPr>
        <w:rStyle w:val="HideTWBExt"/>
      </w:rPr>
      <w:t>&lt;/</w:t>
    </w:r>
    <w:proofErr w:type="spellStart"/>
    <w:r w:rsidRPr="00D20279">
      <w:rPr>
        <w:rStyle w:val="HideTWBExt"/>
      </w:rPr>
      <w:t>PathFdR</w:t>
    </w:r>
    <w:proofErr w:type="spellEnd"/>
    <w:r w:rsidRPr="00D20279">
      <w:rPr>
        <w:rStyle w:val="HideTWBExt"/>
      </w:rPr>
      <w:t>&gt;</w:t>
    </w:r>
    <w:r w:rsidRPr="00D20279">
      <w:tab/>
    </w:r>
    <w:r w:rsidRPr="00D20279">
      <w:tab/>
      <w:t>PE</w:t>
    </w:r>
    <w:r w:rsidRPr="00D20279">
      <w:rPr>
        <w:rStyle w:val="HideTWBExt"/>
      </w:rPr>
      <w:t>&lt;</w:t>
    </w:r>
    <w:proofErr w:type="spellStart"/>
    <w:r w:rsidRPr="00D20279">
      <w:rPr>
        <w:rStyle w:val="HideTWBExt"/>
      </w:rPr>
      <w:t>NoPE</w:t>
    </w:r>
    <w:proofErr w:type="spellEnd"/>
    <w:r w:rsidRPr="00D20279">
      <w:rPr>
        <w:rStyle w:val="HideTWBExt"/>
      </w:rPr>
      <w:t>&gt;</w:t>
    </w:r>
    <w:r w:rsidRPr="00D20279">
      <w:t>778.223</w:t>
    </w:r>
    <w:r w:rsidRPr="00D20279">
      <w:rPr>
        <w:rStyle w:val="HideTWBExt"/>
      </w:rPr>
      <w:t>&lt;/</w:t>
    </w:r>
    <w:proofErr w:type="spellStart"/>
    <w:r w:rsidRPr="00D20279">
      <w:rPr>
        <w:rStyle w:val="HideTWBExt"/>
      </w:rPr>
      <w:t>NoPE</w:t>
    </w:r>
    <w:proofErr w:type="spellEnd"/>
    <w:r w:rsidRPr="00D20279">
      <w:rPr>
        <w:rStyle w:val="HideTWBExt"/>
      </w:rPr>
      <w:t>&gt;&lt;Version&gt;</w:t>
    </w:r>
    <w:r w:rsidRPr="00D20279">
      <w:t>v02-00</w:t>
    </w:r>
    <w:r w:rsidRPr="00D20279">
      <w:rPr>
        <w:rStyle w:val="HideTWBExt"/>
      </w:rPr>
      <w:t>&lt;/</w:t>
    </w:r>
    <w:proofErr w:type="spellStart"/>
    <w:r w:rsidRPr="00D20279">
      <w:rPr>
        <w:rStyle w:val="HideTWBExt"/>
      </w:rPr>
      <w:t>Version</w:t>
    </w:r>
    <w:proofErr w:type="spellEnd"/>
    <w:r w:rsidRPr="00D20279">
      <w:rPr>
        <w:rStyle w:val="HideTWBExt"/>
      </w:rPr>
      <w:t>&gt;</w:t>
    </w:r>
  </w:p>
  <w:p w14:paraId="52C1A9D7" w14:textId="77777777" w:rsidR="00E74A98" w:rsidRPr="00D20279" w:rsidRDefault="00E74A98" w:rsidP="003E0D6D">
    <w:pPr>
      <w:pStyle w:val="EPFooter2"/>
    </w:pPr>
    <w:r w:rsidRPr="00D20279">
      <w:t>SK</w:t>
    </w:r>
    <w:r w:rsidRPr="00D20279">
      <w:tab/>
    </w:r>
    <w:r w:rsidRPr="00D20279">
      <w:rPr>
        <w:b w:val="0"/>
        <w:i/>
        <w:color w:val="C0C0C0"/>
        <w:sz w:val="22"/>
      </w:rPr>
      <w:t>Zjednotení v rozmanitosti</w:t>
    </w:r>
    <w:r w:rsidRPr="00D20279">
      <w:tab/>
      <w:t>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300D" w14:textId="77777777" w:rsidR="00064002" w:rsidRPr="00D20279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E9FC3" w14:textId="77777777" w:rsidR="00064002" w:rsidRPr="00D20279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3AB55" w14:textId="77777777" w:rsidR="00064002" w:rsidRPr="00D202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327D5" w14:textId="77777777" w:rsidR="00FE50C5" w:rsidRPr="00D20279" w:rsidRDefault="00FE50C5">
      <w:r w:rsidRPr="00D20279">
        <w:separator/>
      </w:r>
    </w:p>
  </w:footnote>
  <w:footnote w:type="continuationSeparator" w:id="0">
    <w:p w14:paraId="5C8AD928" w14:textId="77777777" w:rsidR="00FE50C5" w:rsidRPr="00D20279" w:rsidRDefault="00FE50C5">
      <w:r w:rsidRPr="00D20279">
        <w:continuationSeparator/>
      </w:r>
    </w:p>
  </w:footnote>
  <w:footnote w:id="1">
    <w:p w14:paraId="35E68829" w14:textId="05ED8F6F" w:rsidR="00533429" w:rsidRPr="00692E0A" w:rsidRDefault="00533429" w:rsidP="00533429">
      <w:pPr>
        <w:pStyle w:val="FootnoteText"/>
        <w:keepLines w:val="0"/>
        <w:ind w:left="567" w:hanging="567"/>
        <w:rPr>
          <w:sz w:val="24"/>
          <w:szCs w:val="24"/>
          <w:lang w:val="sk-SK"/>
        </w:rPr>
      </w:pPr>
      <w:r w:rsidRPr="00692E0A">
        <w:rPr>
          <w:rStyle w:val="FootnoteReference"/>
          <w:sz w:val="24"/>
          <w:szCs w:val="24"/>
          <w:lang w:val="sk-SK"/>
        </w:rPr>
        <w:footnoteRef/>
      </w:r>
      <w:r w:rsidRPr="00692E0A">
        <w:rPr>
          <w:sz w:val="24"/>
          <w:szCs w:val="24"/>
          <w:lang w:val="sk-SK"/>
        </w:rPr>
        <w:t xml:space="preserve"> </w:t>
      </w:r>
      <w:r w:rsidRPr="00692E0A">
        <w:rPr>
          <w:sz w:val="24"/>
          <w:szCs w:val="24"/>
          <w:lang w:val="sk-SK"/>
        </w:rPr>
        <w:tab/>
        <w:t xml:space="preserve">Ú. v. EÚ L 311, 14.11.2002, s. 3, ELI: </w:t>
      </w:r>
      <w:hyperlink r:id="rId1" w:history="1">
        <w:r w:rsidRPr="00692E0A">
          <w:rPr>
            <w:rStyle w:val="Hyperlink"/>
            <w:sz w:val="24"/>
            <w:szCs w:val="24"/>
            <w:lang w:val="sk-SK"/>
          </w:rPr>
          <w:t>http://data.europa.eu/eli/reg/2002/2012/oj</w:t>
        </w:r>
      </w:hyperlink>
      <w:r w:rsidRPr="00692E0A">
        <w:rPr>
          <w:sz w:val="24"/>
          <w:szCs w:val="24"/>
          <w:lang w:val="sk-SK"/>
        </w:rPr>
        <w:t>.</w:t>
      </w:r>
    </w:p>
  </w:footnote>
  <w:footnote w:id="2">
    <w:p w14:paraId="24FE1AE0" w14:textId="41820DB8" w:rsidR="00533429" w:rsidRPr="00692E0A" w:rsidRDefault="00533429" w:rsidP="00533429">
      <w:pPr>
        <w:pStyle w:val="FootnoteText"/>
        <w:keepLines w:val="0"/>
        <w:ind w:left="567" w:hanging="567"/>
        <w:rPr>
          <w:sz w:val="24"/>
          <w:szCs w:val="24"/>
          <w:lang w:val="sk-SK"/>
        </w:rPr>
      </w:pPr>
      <w:r w:rsidRPr="00692E0A">
        <w:rPr>
          <w:rStyle w:val="FootnoteReference"/>
          <w:sz w:val="24"/>
          <w:szCs w:val="24"/>
          <w:lang w:val="sk-SK"/>
        </w:rPr>
        <w:footnoteRef/>
      </w:r>
      <w:r w:rsidRPr="00692E0A">
        <w:rPr>
          <w:sz w:val="24"/>
          <w:szCs w:val="24"/>
          <w:lang w:val="sk-SK"/>
        </w:rPr>
        <w:t xml:space="preserve"> </w:t>
      </w:r>
      <w:r w:rsidRPr="00692E0A">
        <w:rPr>
          <w:sz w:val="24"/>
          <w:szCs w:val="24"/>
          <w:lang w:val="sk-SK"/>
        </w:rPr>
        <w:tab/>
        <w:t xml:space="preserve">Ú. v. EÚ L 433 I, 22.12.2020, s. </w:t>
      </w:r>
      <w:r w:rsidRPr="00692E0A">
        <w:rPr>
          <w:sz w:val="24"/>
          <w:szCs w:val="24"/>
          <w:lang w:val="sk-SK"/>
        </w:rPr>
        <w:t xml:space="preserve">11, ELI: </w:t>
      </w:r>
      <w:hyperlink r:id="rId2" w:history="1">
        <w:r w:rsidRPr="00692E0A">
          <w:rPr>
            <w:rStyle w:val="Hyperlink"/>
            <w:sz w:val="24"/>
            <w:szCs w:val="24"/>
            <w:lang w:val="sk-SK"/>
          </w:rPr>
          <w:t>http://data.europa.eu/eli/reg/2020/2093/oj</w:t>
        </w:r>
      </w:hyperlink>
      <w:r w:rsidRPr="00692E0A">
        <w:rPr>
          <w:sz w:val="24"/>
          <w:szCs w:val="24"/>
          <w:lang w:val="sk-SK"/>
        </w:rPr>
        <w:t>.</w:t>
      </w:r>
    </w:p>
  </w:footnote>
  <w:footnote w:id="3">
    <w:p w14:paraId="31DB7D9D" w14:textId="11B0072D" w:rsidR="00533429" w:rsidRPr="00692E0A" w:rsidRDefault="00533429" w:rsidP="00533429">
      <w:pPr>
        <w:pStyle w:val="FootnoteText"/>
        <w:keepLines w:val="0"/>
        <w:ind w:left="567" w:hanging="567"/>
        <w:rPr>
          <w:sz w:val="24"/>
          <w:szCs w:val="24"/>
          <w:lang w:val="sk-SK"/>
        </w:rPr>
      </w:pPr>
      <w:r w:rsidRPr="00692E0A">
        <w:rPr>
          <w:rStyle w:val="FootnoteReference"/>
          <w:sz w:val="24"/>
          <w:szCs w:val="24"/>
          <w:lang w:val="sk-SK"/>
        </w:rPr>
        <w:footnoteRef/>
      </w:r>
      <w:r w:rsidRPr="00692E0A">
        <w:rPr>
          <w:sz w:val="24"/>
          <w:szCs w:val="24"/>
          <w:lang w:val="sk-SK"/>
        </w:rPr>
        <w:t xml:space="preserve"> </w:t>
      </w:r>
      <w:r w:rsidRPr="00692E0A">
        <w:rPr>
          <w:sz w:val="24"/>
          <w:szCs w:val="24"/>
          <w:lang w:val="sk-SK"/>
        </w:rPr>
        <w:tab/>
        <w:t xml:space="preserve">Ú. v. EÚ L 433 I, 22.12.2020, s. </w:t>
      </w:r>
      <w:r w:rsidRPr="00692E0A">
        <w:rPr>
          <w:sz w:val="24"/>
          <w:szCs w:val="24"/>
          <w:lang w:val="sk-SK"/>
        </w:rPr>
        <w:t xml:space="preserve">28, ELI: </w:t>
      </w:r>
      <w:hyperlink r:id="rId3" w:history="1">
        <w:r w:rsidRPr="00692E0A">
          <w:rPr>
            <w:rStyle w:val="Hyperlink"/>
            <w:sz w:val="24"/>
            <w:szCs w:val="24"/>
            <w:lang w:val="sk-SK"/>
          </w:rPr>
          <w:t>http://data.europa.eu/eli/agree_interinstit/2020/1222/oj</w:t>
        </w:r>
      </w:hyperlink>
      <w:r w:rsidRPr="00692E0A">
        <w:rPr>
          <w:sz w:val="24"/>
          <w:szCs w:val="24"/>
          <w:lang w:val="sk-SK"/>
        </w:rPr>
        <w:t>.</w:t>
      </w:r>
    </w:p>
  </w:footnote>
  <w:footnote w:id="4">
    <w:p w14:paraId="080C3481" w14:textId="78249BFA" w:rsidR="00533429" w:rsidRPr="00692E0A" w:rsidRDefault="00533429" w:rsidP="00533429">
      <w:pPr>
        <w:pStyle w:val="FootnoteText"/>
        <w:keepLines w:val="0"/>
        <w:ind w:left="567" w:hanging="567"/>
        <w:rPr>
          <w:sz w:val="24"/>
          <w:szCs w:val="24"/>
          <w:lang w:val="sk-SK"/>
        </w:rPr>
      </w:pPr>
      <w:r w:rsidRPr="00692E0A">
        <w:rPr>
          <w:rStyle w:val="FootnoteReference"/>
          <w:sz w:val="24"/>
          <w:szCs w:val="24"/>
          <w:lang w:val="sk-SK"/>
        </w:rPr>
        <w:footnoteRef/>
      </w:r>
      <w:r w:rsidRPr="00692E0A">
        <w:rPr>
          <w:sz w:val="24"/>
          <w:szCs w:val="24"/>
          <w:lang w:val="sk-SK"/>
        </w:rPr>
        <w:t xml:space="preserve"> </w:t>
      </w:r>
      <w:r w:rsidRPr="00692E0A">
        <w:rPr>
          <w:sz w:val="24"/>
          <w:szCs w:val="24"/>
          <w:lang w:val="sk-SK"/>
        </w:rPr>
        <w:tab/>
        <w:t xml:space="preserve">Ú. v. EÚ L 231, 30.6.2021, s. </w:t>
      </w:r>
      <w:r w:rsidRPr="00692E0A">
        <w:rPr>
          <w:sz w:val="24"/>
          <w:szCs w:val="24"/>
          <w:lang w:val="sk-SK"/>
        </w:rPr>
        <w:t xml:space="preserve">60, ELI: </w:t>
      </w:r>
      <w:hyperlink r:id="rId4" w:history="1">
        <w:r w:rsidRPr="00692E0A">
          <w:rPr>
            <w:rStyle w:val="Hyperlink"/>
            <w:sz w:val="24"/>
            <w:szCs w:val="24"/>
            <w:lang w:val="sk-SK"/>
          </w:rPr>
          <w:t>http://data.europa.eu/eli/reg/2021/1058/oj</w:t>
        </w:r>
      </w:hyperlink>
      <w:r w:rsidRPr="00692E0A">
        <w:rPr>
          <w:sz w:val="24"/>
          <w:szCs w:val="24"/>
          <w:lang w:val="sk-SK"/>
        </w:rPr>
        <w:t>.</w:t>
      </w:r>
    </w:p>
  </w:footnote>
  <w:footnote w:id="5">
    <w:p w14:paraId="7DAFCDDE" w14:textId="5EA07246" w:rsidR="00533429" w:rsidRPr="00692E0A" w:rsidRDefault="00533429" w:rsidP="00533429">
      <w:pPr>
        <w:pStyle w:val="FootnoteText"/>
        <w:keepLines w:val="0"/>
        <w:ind w:left="567" w:hanging="567"/>
        <w:rPr>
          <w:sz w:val="24"/>
          <w:szCs w:val="24"/>
          <w:lang w:val="sk-SK"/>
        </w:rPr>
      </w:pPr>
      <w:r w:rsidRPr="00692E0A">
        <w:rPr>
          <w:rStyle w:val="FootnoteReference"/>
          <w:sz w:val="24"/>
          <w:szCs w:val="24"/>
          <w:lang w:val="sk-SK"/>
        </w:rPr>
        <w:footnoteRef/>
      </w:r>
      <w:r w:rsidRPr="00692E0A">
        <w:rPr>
          <w:sz w:val="24"/>
          <w:szCs w:val="24"/>
          <w:lang w:val="sk-SK"/>
        </w:rPr>
        <w:t xml:space="preserve"> </w:t>
      </w:r>
      <w:r w:rsidRPr="00692E0A">
        <w:rPr>
          <w:sz w:val="24"/>
          <w:szCs w:val="24"/>
          <w:lang w:val="sk-SK"/>
        </w:rPr>
        <w:tab/>
        <w:t xml:space="preserve">Ú. v. EÚ L 231, 30.6.2021, s. </w:t>
      </w:r>
      <w:r w:rsidRPr="00692E0A">
        <w:rPr>
          <w:sz w:val="24"/>
          <w:szCs w:val="24"/>
          <w:lang w:val="sk-SK"/>
        </w:rPr>
        <w:t xml:space="preserve">21, ELI: </w:t>
      </w:r>
      <w:hyperlink r:id="rId5" w:history="1">
        <w:r w:rsidRPr="00692E0A">
          <w:rPr>
            <w:rStyle w:val="Hyperlink"/>
            <w:sz w:val="24"/>
            <w:szCs w:val="24"/>
            <w:lang w:val="sk-SK"/>
          </w:rPr>
          <w:t>http://data.europa.eu/eli/reg/2021/1057/oj</w:t>
        </w:r>
      </w:hyperlink>
      <w:r w:rsidRPr="00692E0A">
        <w:rPr>
          <w:sz w:val="24"/>
          <w:szCs w:val="24"/>
          <w:lang w:val="sk-SK"/>
        </w:rPr>
        <w:t>.</w:t>
      </w:r>
    </w:p>
  </w:footnote>
  <w:footnote w:id="6">
    <w:p w14:paraId="2B9DE0B6" w14:textId="6D799EE6" w:rsidR="00533429" w:rsidRPr="00692E0A" w:rsidRDefault="00533429" w:rsidP="00533429">
      <w:pPr>
        <w:pStyle w:val="FootnoteText"/>
        <w:keepLines w:val="0"/>
        <w:ind w:left="567" w:hanging="567"/>
        <w:rPr>
          <w:sz w:val="24"/>
          <w:szCs w:val="24"/>
          <w:lang w:val="sk-SK"/>
        </w:rPr>
      </w:pPr>
      <w:r w:rsidRPr="00692E0A">
        <w:rPr>
          <w:rStyle w:val="FootnoteReference"/>
          <w:sz w:val="24"/>
          <w:szCs w:val="24"/>
          <w:lang w:val="sk-SK"/>
        </w:rPr>
        <w:footnoteRef/>
      </w:r>
      <w:r w:rsidRPr="00692E0A">
        <w:rPr>
          <w:sz w:val="24"/>
          <w:szCs w:val="24"/>
          <w:lang w:val="sk-SK"/>
        </w:rPr>
        <w:t xml:space="preserve"> </w:t>
      </w:r>
      <w:r w:rsidRPr="00692E0A">
        <w:rPr>
          <w:sz w:val="24"/>
          <w:szCs w:val="24"/>
          <w:lang w:val="sk-SK"/>
        </w:rPr>
        <w:tab/>
        <w:t xml:space="preserve">Ú. v. EÚ L 435, 6.12.2021, s. </w:t>
      </w:r>
      <w:r w:rsidRPr="00692E0A">
        <w:rPr>
          <w:sz w:val="24"/>
          <w:szCs w:val="24"/>
          <w:lang w:val="sk-SK"/>
        </w:rPr>
        <w:t xml:space="preserve">1, ELI: </w:t>
      </w:r>
      <w:hyperlink r:id="rId6" w:history="1">
        <w:r w:rsidRPr="00692E0A">
          <w:rPr>
            <w:rStyle w:val="Hyperlink"/>
            <w:sz w:val="24"/>
            <w:szCs w:val="24"/>
            <w:lang w:val="sk-SK"/>
          </w:rPr>
          <w:t>http://data.europa.eu/eli/reg/2021/2115/oj</w:t>
        </w:r>
      </w:hyperlink>
      <w:r w:rsidRPr="00692E0A">
        <w:rPr>
          <w:rStyle w:val="Hyperlink"/>
          <w:sz w:val="24"/>
          <w:szCs w:val="24"/>
          <w:lang w:val="sk-SK"/>
        </w:rPr>
        <w:t>.</w:t>
      </w:r>
      <w:r w:rsidRPr="00692E0A">
        <w:rPr>
          <w:sz w:val="24"/>
          <w:szCs w:val="24"/>
          <w:lang w:val="sk-SK"/>
        </w:rPr>
        <w:t xml:space="preserve"> </w:t>
      </w:r>
    </w:p>
  </w:footnote>
  <w:footnote w:id="7">
    <w:p w14:paraId="4828C2DE" w14:textId="14A32DF0" w:rsidR="00533429" w:rsidRPr="00692E0A" w:rsidRDefault="00533429" w:rsidP="00533429">
      <w:pPr>
        <w:pStyle w:val="FootnoteText"/>
        <w:keepLines w:val="0"/>
        <w:ind w:left="567" w:hanging="567"/>
        <w:rPr>
          <w:sz w:val="24"/>
          <w:szCs w:val="24"/>
          <w:lang w:val="sk-SK"/>
        </w:rPr>
      </w:pPr>
      <w:r w:rsidRPr="00692E0A">
        <w:rPr>
          <w:rStyle w:val="FootnoteReference"/>
          <w:sz w:val="24"/>
          <w:szCs w:val="24"/>
          <w:lang w:val="sk-SK"/>
        </w:rPr>
        <w:footnoteRef/>
      </w:r>
      <w:r w:rsidRPr="00692E0A">
        <w:rPr>
          <w:sz w:val="24"/>
          <w:szCs w:val="24"/>
          <w:lang w:val="sk-SK"/>
        </w:rPr>
        <w:t xml:space="preserve"> </w:t>
      </w:r>
      <w:r w:rsidRPr="00692E0A">
        <w:rPr>
          <w:sz w:val="24"/>
          <w:szCs w:val="24"/>
          <w:lang w:val="sk-SK"/>
        </w:rPr>
        <w:tab/>
        <w:t>Prijaté texty, P10_TA(2024)0059.</w:t>
      </w:r>
    </w:p>
  </w:footnote>
  <w:footnote w:id="8">
    <w:p w14:paraId="702CB8BB" w14:textId="31B98CEB" w:rsidR="00533429" w:rsidRPr="00692E0A" w:rsidRDefault="00533429" w:rsidP="00533429">
      <w:pPr>
        <w:pStyle w:val="FootnoteText"/>
        <w:keepLines w:val="0"/>
        <w:ind w:left="567" w:hanging="567"/>
        <w:rPr>
          <w:sz w:val="24"/>
          <w:szCs w:val="24"/>
          <w:lang w:val="sk-SK"/>
        </w:rPr>
      </w:pPr>
      <w:r w:rsidRPr="00692E0A">
        <w:rPr>
          <w:rStyle w:val="FootnoteReference"/>
          <w:sz w:val="24"/>
          <w:szCs w:val="24"/>
          <w:lang w:val="sk-SK"/>
        </w:rPr>
        <w:footnoteRef/>
      </w:r>
      <w:r w:rsidRPr="00692E0A">
        <w:rPr>
          <w:sz w:val="24"/>
          <w:szCs w:val="24"/>
          <w:lang w:val="sk-SK"/>
        </w:rPr>
        <w:t xml:space="preserve"> </w:t>
      </w:r>
      <w:r w:rsidRPr="00692E0A">
        <w:rPr>
          <w:sz w:val="24"/>
          <w:szCs w:val="24"/>
          <w:lang w:val="sk-SK"/>
        </w:rPr>
        <w:tab/>
        <w:t>Prijaté texty, P10_TA(2025)0090.</w:t>
      </w:r>
    </w:p>
  </w:footnote>
  <w:footnote w:id="9">
    <w:p w14:paraId="5B48E627" w14:textId="73ED619D" w:rsidR="00533429" w:rsidRPr="00692E0A" w:rsidRDefault="00533429" w:rsidP="00533429">
      <w:pPr>
        <w:pStyle w:val="FootnoteText"/>
        <w:keepLines w:val="0"/>
        <w:ind w:left="567" w:hanging="567"/>
        <w:rPr>
          <w:sz w:val="24"/>
          <w:szCs w:val="24"/>
          <w:lang w:val="sk-SK"/>
        </w:rPr>
      </w:pPr>
      <w:r w:rsidRPr="00692E0A">
        <w:rPr>
          <w:rStyle w:val="FootnoteReference"/>
          <w:sz w:val="24"/>
          <w:szCs w:val="24"/>
          <w:lang w:val="sk-SK"/>
        </w:rPr>
        <w:footnoteRef/>
      </w:r>
      <w:r w:rsidRPr="00692E0A">
        <w:rPr>
          <w:sz w:val="24"/>
          <w:szCs w:val="24"/>
          <w:lang w:val="sk-SK"/>
        </w:rPr>
        <w:t xml:space="preserve"> </w:t>
      </w:r>
      <w:r w:rsidRPr="00692E0A">
        <w:rPr>
          <w:sz w:val="24"/>
          <w:szCs w:val="24"/>
          <w:lang w:val="sk-SK"/>
        </w:rPr>
        <w:tab/>
      </w:r>
      <w:hyperlink r:id="rId7" w:history="1">
        <w:r w:rsidRPr="00692E0A">
          <w:rPr>
            <w:rStyle w:val="Hyperlink"/>
            <w:sz w:val="24"/>
            <w:szCs w:val="24"/>
            <w:lang w:val="sk-SK"/>
          </w:rPr>
          <w:t>https://www.eea.europa.eu/publications/european-climate-risk-assessment</w:t>
        </w:r>
      </w:hyperlink>
      <w:r w:rsidRPr="00692E0A">
        <w:rPr>
          <w:rStyle w:val="Hyperlink"/>
          <w:sz w:val="24"/>
          <w:szCs w:val="24"/>
          <w:lang w:val="sk-SK"/>
        </w:rPr>
        <w:t>.</w:t>
      </w:r>
      <w:r w:rsidRPr="00692E0A">
        <w:rPr>
          <w:sz w:val="24"/>
          <w:szCs w:val="24"/>
          <w:lang w:val="sk-SK"/>
        </w:rPr>
        <w:t xml:space="preserve"> </w:t>
      </w:r>
    </w:p>
  </w:footnote>
  <w:footnote w:id="10">
    <w:p w14:paraId="193326B3" w14:textId="792565FF" w:rsidR="00533429" w:rsidRPr="00C64E94" w:rsidRDefault="00533429" w:rsidP="00533429">
      <w:pPr>
        <w:pStyle w:val="FootnoteText"/>
        <w:keepLines w:val="0"/>
        <w:ind w:left="567" w:hanging="567"/>
        <w:rPr>
          <w:sz w:val="24"/>
          <w:szCs w:val="24"/>
          <w:lang w:val="sk-SK"/>
        </w:rPr>
      </w:pPr>
      <w:r w:rsidRPr="00692E0A">
        <w:rPr>
          <w:rStyle w:val="FootnoteReference"/>
          <w:sz w:val="24"/>
          <w:szCs w:val="24"/>
          <w:lang w:val="en-GB"/>
        </w:rPr>
        <w:footnoteRef/>
      </w:r>
      <w:r w:rsidRPr="00C64E94">
        <w:rPr>
          <w:sz w:val="24"/>
          <w:szCs w:val="24"/>
          <w:lang w:val="sk-SK"/>
        </w:rPr>
        <w:t xml:space="preserve"> </w:t>
      </w:r>
      <w:r w:rsidRPr="00C64E94">
        <w:rPr>
          <w:sz w:val="24"/>
          <w:szCs w:val="24"/>
          <w:lang w:val="sk-SK"/>
        </w:rPr>
        <w:tab/>
        <w:t>Nariadenie Európskeho parlamentu a Rady (EÚ) 2021/241 z 12. februára 2021, ktorým sa zriaďuje Mechanizmus na podporu obnovy a odolnosti</w:t>
      </w:r>
      <w:r w:rsidRPr="00692E0A">
        <w:rPr>
          <w:sz w:val="24"/>
          <w:szCs w:val="24"/>
          <w:lang w:val="sk-SK"/>
        </w:rPr>
        <w:t xml:space="preserve"> </w:t>
      </w:r>
      <w:r w:rsidRPr="00C64E94">
        <w:rPr>
          <w:sz w:val="24"/>
          <w:szCs w:val="24"/>
          <w:lang w:val="sk-SK"/>
        </w:rPr>
        <w:t>(</w:t>
      </w:r>
      <w:r w:rsidRPr="00692E0A">
        <w:rPr>
          <w:sz w:val="24"/>
          <w:szCs w:val="24"/>
          <w:lang w:val="sk-SK"/>
        </w:rPr>
        <w:t xml:space="preserve">Ú. v. EÚ </w:t>
      </w:r>
      <w:r w:rsidRPr="00C64E94">
        <w:rPr>
          <w:sz w:val="24"/>
          <w:szCs w:val="24"/>
          <w:lang w:val="sk-SK"/>
        </w:rPr>
        <w:t xml:space="preserve">L 57, 18.2.2021, s. </w:t>
      </w:r>
      <w:r w:rsidRPr="00C64E94">
        <w:rPr>
          <w:sz w:val="24"/>
          <w:szCs w:val="24"/>
          <w:lang w:val="sk-SK"/>
        </w:rPr>
        <w:t xml:space="preserve">17, </w:t>
      </w:r>
      <w:r w:rsidRPr="00C64E94">
        <w:rPr>
          <w:color w:val="333333"/>
          <w:sz w:val="24"/>
          <w:szCs w:val="24"/>
          <w:shd w:val="clear" w:color="auto" w:fill="FFFFFF"/>
          <w:lang w:val="sk-SK"/>
        </w:rPr>
        <w:t>ELI: </w:t>
      </w:r>
      <w:hyperlink r:id="rId8" w:tooltip="Gives access to this document through its ELI URI." w:history="1">
        <w:r w:rsidRPr="00C64E94">
          <w:rPr>
            <w:rStyle w:val="Hyperlink"/>
            <w:color w:val="23527C"/>
            <w:sz w:val="24"/>
            <w:szCs w:val="24"/>
            <w:shd w:val="clear" w:color="auto" w:fill="FFFFFF"/>
            <w:lang w:val="sk-SK"/>
          </w:rPr>
          <w:t>http://data.europa.eu/eli/reg/2021/241/oj</w:t>
        </w:r>
      </w:hyperlink>
      <w:r w:rsidRPr="00C64E94">
        <w:rPr>
          <w:sz w:val="24"/>
          <w:szCs w:val="24"/>
          <w:lang w:val="sk-SK"/>
        </w:rPr>
        <w:t>).</w:t>
      </w:r>
    </w:p>
  </w:footnote>
  <w:footnote w:id="11">
    <w:p w14:paraId="4639178F" w14:textId="2EA74426" w:rsidR="00533429" w:rsidRPr="00692E0A" w:rsidRDefault="00533429" w:rsidP="00533429">
      <w:pPr>
        <w:pStyle w:val="FootnoteText"/>
        <w:keepLines w:val="0"/>
        <w:ind w:left="567" w:hanging="567"/>
        <w:rPr>
          <w:sz w:val="24"/>
          <w:szCs w:val="24"/>
          <w:lang w:val="fi-FI"/>
        </w:rPr>
      </w:pPr>
      <w:r w:rsidRPr="00692E0A">
        <w:rPr>
          <w:rStyle w:val="FootnoteReference"/>
          <w:sz w:val="24"/>
          <w:szCs w:val="24"/>
          <w:lang w:val="en-GB"/>
        </w:rPr>
        <w:footnoteRef/>
      </w:r>
      <w:r w:rsidRPr="00692E0A">
        <w:rPr>
          <w:sz w:val="24"/>
          <w:szCs w:val="24"/>
          <w:lang w:val="fi-FI"/>
        </w:rPr>
        <w:t xml:space="preserve"> </w:t>
      </w:r>
      <w:r w:rsidRPr="00692E0A">
        <w:rPr>
          <w:sz w:val="24"/>
          <w:szCs w:val="24"/>
          <w:lang w:val="fi-FI"/>
        </w:rPr>
        <w:tab/>
      </w:r>
      <w:r w:rsidRPr="00692E0A">
        <w:rPr>
          <w:sz w:val="24"/>
          <w:szCs w:val="24"/>
          <w:lang w:val="sk-SK"/>
        </w:rPr>
        <w:t xml:space="preserve">Ú. v. </w:t>
      </w:r>
      <w:r w:rsidRPr="00692E0A">
        <w:rPr>
          <w:sz w:val="24"/>
          <w:szCs w:val="24"/>
          <w:lang w:val="sk-SK"/>
        </w:rPr>
        <w:t xml:space="preserve">EÚ </w:t>
      </w:r>
      <w:r w:rsidRPr="00692E0A">
        <w:rPr>
          <w:sz w:val="24"/>
          <w:szCs w:val="24"/>
          <w:lang w:val="fi-FI"/>
        </w:rPr>
        <w:t xml:space="preserve">L, 2024/3236, 23.12.2024, ELI: </w:t>
      </w:r>
      <w:hyperlink r:id="rId9" w:history="1">
        <w:r w:rsidRPr="00692E0A">
          <w:rPr>
            <w:rStyle w:val="Hyperlink"/>
            <w:sz w:val="24"/>
            <w:szCs w:val="24"/>
            <w:shd w:val="clear" w:color="auto" w:fill="FFFFFF"/>
            <w:lang w:val="fi-FI"/>
          </w:rPr>
          <w:t>http://data.europa.eu/eli/reg/2024/3236/oj</w:t>
        </w:r>
      </w:hyperlink>
      <w:r w:rsidRPr="00692E0A">
        <w:rPr>
          <w:sz w:val="24"/>
          <w:szCs w:val="24"/>
          <w:lang w:val="fi-FI"/>
        </w:rPr>
        <w:t xml:space="preserve">. </w:t>
      </w:r>
    </w:p>
  </w:footnote>
  <w:footnote w:id="12">
    <w:p w14:paraId="3F2FB9DB" w14:textId="2C07B848" w:rsidR="00533429" w:rsidRPr="00692E0A" w:rsidRDefault="00533429" w:rsidP="00533429">
      <w:pPr>
        <w:pStyle w:val="FootnoteText"/>
        <w:keepLines w:val="0"/>
        <w:ind w:left="567" w:hanging="567"/>
        <w:rPr>
          <w:sz w:val="24"/>
          <w:szCs w:val="24"/>
          <w:lang w:val="fi-FI"/>
        </w:rPr>
      </w:pPr>
      <w:r w:rsidRPr="00692E0A">
        <w:rPr>
          <w:rStyle w:val="FootnoteReference"/>
          <w:sz w:val="24"/>
          <w:szCs w:val="24"/>
          <w:lang w:val="en-GB"/>
        </w:rPr>
        <w:footnoteRef/>
      </w:r>
      <w:r w:rsidRPr="00692E0A">
        <w:rPr>
          <w:sz w:val="24"/>
          <w:szCs w:val="24"/>
          <w:lang w:val="fi-FI"/>
        </w:rPr>
        <w:t xml:space="preserve"> </w:t>
      </w:r>
      <w:r w:rsidRPr="00692E0A">
        <w:rPr>
          <w:sz w:val="24"/>
          <w:szCs w:val="24"/>
          <w:lang w:val="fi-FI"/>
        </w:rPr>
        <w:tab/>
      </w:r>
      <w:r w:rsidRPr="00692E0A">
        <w:rPr>
          <w:sz w:val="24"/>
          <w:szCs w:val="24"/>
          <w:lang w:val="sk-SK"/>
        </w:rPr>
        <w:t xml:space="preserve">Ú. v. </w:t>
      </w:r>
      <w:r w:rsidRPr="00692E0A">
        <w:rPr>
          <w:sz w:val="24"/>
          <w:szCs w:val="24"/>
          <w:lang w:val="sk-SK"/>
        </w:rPr>
        <w:t xml:space="preserve">EÚ </w:t>
      </w:r>
      <w:r w:rsidRPr="00692E0A">
        <w:rPr>
          <w:sz w:val="24"/>
          <w:szCs w:val="24"/>
          <w:lang w:val="fi-FI"/>
        </w:rPr>
        <w:t xml:space="preserve">L, 2024/3242, 23.12.2024, ELI: </w:t>
      </w:r>
      <w:hyperlink r:id="rId10" w:history="1">
        <w:r w:rsidRPr="00692E0A">
          <w:rPr>
            <w:rStyle w:val="Hyperlink"/>
            <w:sz w:val="24"/>
            <w:szCs w:val="24"/>
            <w:shd w:val="clear" w:color="auto" w:fill="FFFFFF"/>
            <w:lang w:val="fi-FI"/>
          </w:rPr>
          <w:t>http://data.europa.eu/eli/reg/2024/3242/oj</w:t>
        </w:r>
      </w:hyperlink>
      <w:r w:rsidRPr="00692E0A">
        <w:rPr>
          <w:sz w:val="24"/>
          <w:szCs w:val="24"/>
          <w:lang w:val="fi-FI"/>
        </w:rPr>
        <w:t xml:space="preserve">. </w:t>
      </w:r>
    </w:p>
  </w:footnote>
  <w:footnote w:id="13">
    <w:p w14:paraId="508E47D1" w14:textId="5FE941F9" w:rsidR="00692E0A" w:rsidRPr="00C64E94" w:rsidRDefault="00692E0A" w:rsidP="00692E0A">
      <w:pPr>
        <w:pStyle w:val="FootnoteText"/>
        <w:keepLines w:val="0"/>
        <w:ind w:left="567" w:hanging="567"/>
        <w:rPr>
          <w:sz w:val="24"/>
          <w:szCs w:val="24"/>
          <w:lang w:val="fi-FI"/>
        </w:rPr>
      </w:pPr>
      <w:r w:rsidRPr="00692E0A">
        <w:rPr>
          <w:rStyle w:val="FootnoteReference"/>
          <w:sz w:val="24"/>
          <w:szCs w:val="24"/>
          <w:lang w:val="en-GB"/>
        </w:rPr>
        <w:footnoteRef/>
      </w:r>
      <w:r w:rsidRPr="00C64E94">
        <w:rPr>
          <w:sz w:val="24"/>
          <w:szCs w:val="24"/>
          <w:lang w:val="fi-FI"/>
        </w:rPr>
        <w:t xml:space="preserve"> </w:t>
      </w:r>
      <w:r w:rsidRPr="00C64E94">
        <w:rPr>
          <w:sz w:val="24"/>
          <w:szCs w:val="24"/>
          <w:lang w:val="fi-FI"/>
        </w:rPr>
        <w:tab/>
      </w:r>
      <w:r w:rsidRPr="00692E0A">
        <w:rPr>
          <w:sz w:val="24"/>
          <w:szCs w:val="24"/>
          <w:lang w:val="sk-SK"/>
        </w:rPr>
        <w:t>Prijaté texty</w:t>
      </w:r>
      <w:r w:rsidRPr="00C64E94">
        <w:rPr>
          <w:sz w:val="24"/>
          <w:szCs w:val="24"/>
          <w:lang w:val="fi-FI"/>
        </w:rPr>
        <w:t>, P10_TA(2025)0090.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07676" w14:textId="77777777" w:rsidR="00064002" w:rsidRPr="00D202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4A55C" w14:textId="77777777" w:rsidR="00064002" w:rsidRPr="00D202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002B5" w14:textId="77777777" w:rsidR="00064002" w:rsidRPr="00D202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75447418">
    <w:abstractNumId w:val="9"/>
  </w:num>
  <w:num w:numId="2" w16cid:durableId="57411501">
    <w:abstractNumId w:val="9"/>
  </w:num>
  <w:num w:numId="3" w16cid:durableId="937251842">
    <w:abstractNumId w:val="7"/>
  </w:num>
  <w:num w:numId="4" w16cid:durableId="1171063406">
    <w:abstractNumId w:val="7"/>
  </w:num>
  <w:num w:numId="5" w16cid:durableId="1535463575">
    <w:abstractNumId w:val="6"/>
  </w:num>
  <w:num w:numId="6" w16cid:durableId="1319185387">
    <w:abstractNumId w:val="6"/>
  </w:num>
  <w:num w:numId="7" w16cid:durableId="1075201961">
    <w:abstractNumId w:val="5"/>
  </w:num>
  <w:num w:numId="8" w16cid:durableId="831406931">
    <w:abstractNumId w:val="5"/>
  </w:num>
  <w:num w:numId="9" w16cid:durableId="1300963195">
    <w:abstractNumId w:val="4"/>
  </w:num>
  <w:num w:numId="10" w16cid:durableId="515004977">
    <w:abstractNumId w:val="4"/>
  </w:num>
  <w:num w:numId="11" w16cid:durableId="552233392">
    <w:abstractNumId w:val="8"/>
  </w:num>
  <w:num w:numId="12" w16cid:durableId="383023566">
    <w:abstractNumId w:val="8"/>
  </w:num>
  <w:num w:numId="13" w16cid:durableId="706295456">
    <w:abstractNumId w:val="3"/>
  </w:num>
  <w:num w:numId="14" w16cid:durableId="2072772905">
    <w:abstractNumId w:val="3"/>
  </w:num>
  <w:num w:numId="15" w16cid:durableId="1199901181">
    <w:abstractNumId w:val="2"/>
  </w:num>
  <w:num w:numId="16" w16cid:durableId="1979219378">
    <w:abstractNumId w:val="2"/>
  </w:num>
  <w:num w:numId="17" w16cid:durableId="1140147571">
    <w:abstractNumId w:val="1"/>
  </w:num>
  <w:num w:numId="18" w16cid:durableId="143283059">
    <w:abstractNumId w:val="1"/>
  </w:num>
  <w:num w:numId="19" w16cid:durableId="1279873583">
    <w:abstractNumId w:val="0"/>
  </w:num>
  <w:num w:numId="20" w16cid:durableId="1443377334">
    <w:abstractNumId w:val="0"/>
  </w:num>
  <w:num w:numId="21" w16cid:durableId="110781438">
    <w:abstractNumId w:val="9"/>
  </w:num>
  <w:num w:numId="22" w16cid:durableId="1825120833">
    <w:abstractNumId w:val="7"/>
  </w:num>
  <w:num w:numId="23" w16cid:durableId="853422429">
    <w:abstractNumId w:val="6"/>
  </w:num>
  <w:num w:numId="24" w16cid:durableId="279266876">
    <w:abstractNumId w:val="5"/>
  </w:num>
  <w:num w:numId="25" w16cid:durableId="200747962">
    <w:abstractNumId w:val="4"/>
  </w:num>
  <w:num w:numId="26" w16cid:durableId="758062527">
    <w:abstractNumId w:val="8"/>
  </w:num>
  <w:num w:numId="27" w16cid:durableId="1158115398">
    <w:abstractNumId w:val="3"/>
  </w:num>
  <w:num w:numId="28" w16cid:durableId="1845241016">
    <w:abstractNumId w:val="2"/>
  </w:num>
  <w:num w:numId="29" w16cid:durableId="2018341987">
    <w:abstractNumId w:val="1"/>
  </w:num>
  <w:num w:numId="30" w16cid:durableId="1937057728">
    <w:abstractNumId w:val="0"/>
  </w:num>
  <w:num w:numId="31" w16cid:durableId="1370565728">
    <w:abstractNumId w:val="9"/>
  </w:num>
  <w:num w:numId="32" w16cid:durableId="15935149">
    <w:abstractNumId w:val="7"/>
  </w:num>
  <w:num w:numId="33" w16cid:durableId="1794714599">
    <w:abstractNumId w:val="6"/>
  </w:num>
  <w:num w:numId="34" w16cid:durableId="1610509395">
    <w:abstractNumId w:val="5"/>
  </w:num>
  <w:num w:numId="35" w16cid:durableId="1698850080">
    <w:abstractNumId w:val="4"/>
  </w:num>
  <w:num w:numId="36" w16cid:durableId="1475105665">
    <w:abstractNumId w:val="8"/>
  </w:num>
  <w:num w:numId="37" w16cid:durableId="1139762203">
    <w:abstractNumId w:val="3"/>
  </w:num>
  <w:num w:numId="38" w16cid:durableId="617444442">
    <w:abstractNumId w:val="2"/>
  </w:num>
  <w:num w:numId="39" w16cid:durableId="578363794">
    <w:abstractNumId w:val="1"/>
  </w:num>
  <w:num w:numId="40" w16cid:durableId="1508254701">
    <w:abstractNumId w:val="0"/>
  </w:num>
  <w:num w:numId="41" w16cid:durableId="940989910">
    <w:abstractNumId w:val="10"/>
  </w:num>
  <w:num w:numId="42" w16cid:durableId="981302079">
    <w:abstractNumId w:val="10"/>
  </w:num>
  <w:num w:numId="43" w16cid:durableId="1071192133">
    <w:abstractNumId w:val="10"/>
  </w:num>
  <w:num w:numId="44" w16cid:durableId="12545867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5/2025"/>
    <w:docVar w:name="dvlangue" w:val="SK"/>
    <w:docVar w:name="dvnumam" w:val="0"/>
    <w:docVar w:name="dvpe" w:val="778.223"/>
    <w:docVar w:name="dvrapporteur" w:val="Spravodajkyňa: "/>
    <w:docVar w:name="dvtitre" w:val="Uznesenie Európskeho parlamentu z xx. novembra 2025 o návrhu rozhodnutia Európskeho parlamentu a Rady o mobilizácii Fondu solidarity Európskej únie na účely poskytnutia pomoci Španielsku v súvislosti s povodňami v regióne Valencia, ku ktorým došlo v októbri 2024, a Francúzsku v súvislosti so škodami spôsobenými cyklónom Chido na Mayotte v decembri 2024 a cyklónom Garance na Réunione vo februári 2025(COM(2025)0855 – C10-0239/2025 – 2025/0318(BUD))"/>
  </w:docVars>
  <w:rsids>
    <w:rsidRoot w:val="00FE50C5"/>
    <w:rsid w:val="00002272"/>
    <w:rsid w:val="00064002"/>
    <w:rsid w:val="000677B9"/>
    <w:rsid w:val="000831BA"/>
    <w:rsid w:val="000A42CC"/>
    <w:rsid w:val="000C233F"/>
    <w:rsid w:val="000E7DD9"/>
    <w:rsid w:val="0010095E"/>
    <w:rsid w:val="00125B37"/>
    <w:rsid w:val="00187494"/>
    <w:rsid w:val="001F32AE"/>
    <w:rsid w:val="001F3DE5"/>
    <w:rsid w:val="00230C32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3429"/>
    <w:rsid w:val="00545827"/>
    <w:rsid w:val="00560270"/>
    <w:rsid w:val="005C2568"/>
    <w:rsid w:val="005C77AB"/>
    <w:rsid w:val="005F1B17"/>
    <w:rsid w:val="006037C0"/>
    <w:rsid w:val="006631B6"/>
    <w:rsid w:val="00666784"/>
    <w:rsid w:val="00680577"/>
    <w:rsid w:val="00692E0A"/>
    <w:rsid w:val="006E361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7F7"/>
    <w:rsid w:val="008C2AC6"/>
    <w:rsid w:val="00914F4F"/>
    <w:rsid w:val="00930C23"/>
    <w:rsid w:val="0093193B"/>
    <w:rsid w:val="009509D8"/>
    <w:rsid w:val="00950B64"/>
    <w:rsid w:val="00981893"/>
    <w:rsid w:val="009A0511"/>
    <w:rsid w:val="009F1DA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A4FB8"/>
    <w:rsid w:val="00BD48FE"/>
    <w:rsid w:val="00BD7BD8"/>
    <w:rsid w:val="00BE6ADC"/>
    <w:rsid w:val="00C05BFE"/>
    <w:rsid w:val="00C23CD4"/>
    <w:rsid w:val="00C61C0C"/>
    <w:rsid w:val="00C64E94"/>
    <w:rsid w:val="00C93715"/>
    <w:rsid w:val="00C941CB"/>
    <w:rsid w:val="00CC2357"/>
    <w:rsid w:val="00CF071A"/>
    <w:rsid w:val="00D058B8"/>
    <w:rsid w:val="00D20279"/>
    <w:rsid w:val="00D56C11"/>
    <w:rsid w:val="00D6783B"/>
    <w:rsid w:val="00D834A0"/>
    <w:rsid w:val="00D872DF"/>
    <w:rsid w:val="00D91E21"/>
    <w:rsid w:val="00DA7FCD"/>
    <w:rsid w:val="00E365E1"/>
    <w:rsid w:val="00E74A98"/>
    <w:rsid w:val="00E820A4"/>
    <w:rsid w:val="00EB006A"/>
    <w:rsid w:val="00EB42F0"/>
    <w:rsid w:val="00EB4772"/>
    <w:rsid w:val="00ED169E"/>
    <w:rsid w:val="00ED4235"/>
    <w:rsid w:val="00F04346"/>
    <w:rsid w:val="00F075DC"/>
    <w:rsid w:val="00F149E9"/>
    <w:rsid w:val="00F5134D"/>
    <w:rsid w:val="00F5774C"/>
    <w:rsid w:val="00F74202"/>
    <w:rsid w:val="00F87713"/>
    <w:rsid w:val="00FB4360"/>
    <w:rsid w:val="00FD0C70"/>
    <w:rsid w:val="00FE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7F6AA5"/>
  <w15:chartTrackingRefBased/>
  <w15:docId w15:val="{0C21EC9D-E520-4F79-AF7D-941040265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74A9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E74A9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E74A9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74A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74A98"/>
    <w:rPr>
      <w:sz w:val="24"/>
      <w:lang w:val="sk-SK"/>
    </w:rPr>
  </w:style>
  <w:style w:type="paragraph" w:customStyle="1" w:styleId="EPFooter">
    <w:name w:val="EPFooter"/>
    <w:basedOn w:val="Normal"/>
    <w:rsid w:val="00E74A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74A98"/>
    <w:pPr>
      <w:spacing w:before="480" w:after="240"/>
    </w:pPr>
  </w:style>
  <w:style w:type="paragraph" w:customStyle="1" w:styleId="Point0">
    <w:name w:val="Point 0"/>
    <w:basedOn w:val="Normal"/>
    <w:rsid w:val="00E74A98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sk-SK" w:bidi="sk-SK"/>
    </w:rPr>
  </w:style>
  <w:style w:type="paragraph" w:customStyle="1" w:styleId="Formuledadoption">
    <w:name w:val="Formule d'adoption"/>
    <w:basedOn w:val="Normal"/>
    <w:next w:val="Titrearticle"/>
    <w:rsid w:val="00E74A98"/>
    <w:pPr>
      <w:keepNext/>
      <w:widowControl/>
      <w:spacing w:before="120" w:after="120" w:line="360" w:lineRule="auto"/>
    </w:pPr>
    <w:rPr>
      <w:rFonts w:eastAsiaTheme="minorHAnsi"/>
      <w:szCs w:val="22"/>
      <w:lang w:eastAsia="sk-SK" w:bidi="sk-SK"/>
    </w:rPr>
  </w:style>
  <w:style w:type="paragraph" w:customStyle="1" w:styleId="Institutionquiagit">
    <w:name w:val="Institution qui agit"/>
    <w:basedOn w:val="Normal"/>
    <w:next w:val="Normal"/>
    <w:rsid w:val="00E74A98"/>
    <w:pPr>
      <w:keepNext/>
      <w:widowControl/>
      <w:spacing w:before="600" w:after="120" w:line="360" w:lineRule="auto"/>
    </w:pPr>
    <w:rPr>
      <w:rFonts w:eastAsiaTheme="minorHAnsi"/>
      <w:szCs w:val="22"/>
      <w:lang w:eastAsia="sk-SK" w:bidi="sk-SK"/>
    </w:rPr>
  </w:style>
  <w:style w:type="paragraph" w:customStyle="1" w:styleId="Titrearticle">
    <w:name w:val="Titre article"/>
    <w:basedOn w:val="Normal"/>
    <w:next w:val="Normal"/>
    <w:rsid w:val="00E74A98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sk-SK" w:bidi="sk-SK"/>
    </w:rPr>
  </w:style>
  <w:style w:type="paragraph" w:styleId="Footer">
    <w:name w:val="footer"/>
    <w:basedOn w:val="Normal"/>
    <w:link w:val="FooterChar"/>
    <w:rsid w:val="005C77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C77AB"/>
    <w:rPr>
      <w:sz w:val="24"/>
      <w:lang w:val="sk-SK"/>
    </w:rPr>
  </w:style>
  <w:style w:type="paragraph" w:styleId="Revision">
    <w:name w:val="Revision"/>
    <w:hidden/>
    <w:uiPriority w:val="99"/>
    <w:semiHidden/>
    <w:rsid w:val="00533429"/>
    <w:rPr>
      <w:sz w:val="24"/>
      <w:lang w:val="sk-SK"/>
    </w:rPr>
  </w:style>
  <w:style w:type="character" w:styleId="Hyperlink">
    <w:name w:val="Hyperlink"/>
    <w:basedOn w:val="DefaultParagraphFont"/>
    <w:uiPriority w:val="99"/>
    <w:rsid w:val="00533429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D678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D678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6783B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rsid w:val="00D678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783B"/>
    <w:rPr>
      <w:b/>
      <w:bCs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9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/2021/241/oj" TargetMode="External"/><Relationship Id="rId3" Type="http://schemas.openxmlformats.org/officeDocument/2006/relationships/hyperlink" Target="http://data.europa.eu/eli/agree_interinstit/2020/1222/oj" TargetMode="External"/><Relationship Id="rId7" Type="http://schemas.openxmlformats.org/officeDocument/2006/relationships/hyperlink" Target="https://www.eea.europa.eu/publications/european-climate-risk-assessment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02/2012/oj" TargetMode="External"/><Relationship Id="rId6" Type="http://schemas.openxmlformats.org/officeDocument/2006/relationships/hyperlink" Target="http://data.europa.eu/eli/reg/2021/2115/oj" TargetMode="External"/><Relationship Id="rId5" Type="http://schemas.openxmlformats.org/officeDocument/2006/relationships/hyperlink" Target="http://data.europa.eu/eli/reg/2021/1057/oj" TargetMode="External"/><Relationship Id="rId10" Type="http://schemas.openxmlformats.org/officeDocument/2006/relationships/hyperlink" Target="http://data.europa.eu/eli/reg/2024/3242/oj" TargetMode="External"/><Relationship Id="rId4" Type="http://schemas.openxmlformats.org/officeDocument/2006/relationships/hyperlink" Target="http://data.europa.eu/eli/reg/2021/1058/oj" TargetMode="External"/><Relationship Id="rId9" Type="http://schemas.openxmlformats.org/officeDocument/2006/relationships/hyperlink" Target="http://data.europa.eu/eli/reg/2024/323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1691</Words>
  <Characters>10261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2026-01-09T08:20:00Z</dcterms:created>
  <dcterms:modified xsi:type="dcterms:W3CDTF">2026-01-09T08:20:00Z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P10_TA(2025)0274_</vt:lpwstr>
  </property>
  <property fmtid="{D5CDD505-2E9C-101B-9397-08002B2CF9AE}" pid="4" name="&lt;Type&gt;">
    <vt:lpwstr>RR</vt:lpwstr>
  </property>
</Properties>
</file>