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1B09" w14:paraId="78F0D758" w14:textId="77777777" w:rsidTr="0010095E">
        <w:trPr>
          <w:trHeight w:hRule="exact" w:val="1418"/>
        </w:trPr>
        <w:tc>
          <w:tcPr>
            <w:tcW w:w="6804" w:type="dxa"/>
            <w:shd w:val="clear" w:color="auto" w:fill="auto"/>
            <w:vAlign w:val="center"/>
          </w:tcPr>
          <w:p w14:paraId="2C12B72A" w14:textId="77777777" w:rsidR="00751A4A" w:rsidRPr="00801B09" w:rsidRDefault="00B73736" w:rsidP="0010095E">
            <w:pPr>
              <w:pStyle w:val="EPName"/>
            </w:pPr>
            <w:r w:rsidRPr="00801B09">
              <w:t>Europaparlamentet</w:t>
            </w:r>
          </w:p>
          <w:p w14:paraId="6509820C" w14:textId="77777777" w:rsidR="00751A4A" w:rsidRPr="00801B09" w:rsidRDefault="005F1B17" w:rsidP="005F1B17">
            <w:pPr>
              <w:pStyle w:val="EPTerm"/>
              <w:rPr>
                <w:rStyle w:val="HideTWBExt"/>
                <w:noProof w:val="0"/>
                <w:vanish w:val="0"/>
                <w:color w:val="auto"/>
              </w:rPr>
            </w:pPr>
            <w:r w:rsidRPr="00801B09">
              <w:t>2024</w:t>
            </w:r>
            <w:r w:rsidR="00817416" w:rsidRPr="00801B09">
              <w:t>-202</w:t>
            </w:r>
            <w:r w:rsidRPr="00801B09">
              <w:t>9</w:t>
            </w:r>
          </w:p>
        </w:tc>
        <w:tc>
          <w:tcPr>
            <w:tcW w:w="2268" w:type="dxa"/>
            <w:shd w:val="clear" w:color="auto" w:fill="auto"/>
          </w:tcPr>
          <w:p w14:paraId="38CF049D" w14:textId="77777777" w:rsidR="00751A4A" w:rsidRPr="00801B09" w:rsidRDefault="00187494" w:rsidP="0010095E">
            <w:pPr>
              <w:pStyle w:val="EPLogo"/>
            </w:pPr>
            <w:r w:rsidRPr="00801B09">
              <w:rPr>
                <w:noProof/>
                <w:lang w:eastAsia="ja-JP"/>
              </w:rPr>
              <w:drawing>
                <wp:inline distT="0" distB="0" distL="0" distR="0" wp14:anchorId="7E99A9AD" wp14:editId="680F59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8242C7" w14:textId="77777777" w:rsidR="00D058B8" w:rsidRPr="00801B09" w:rsidRDefault="00D058B8" w:rsidP="004C5D52">
      <w:pPr>
        <w:pStyle w:val="LineTop"/>
      </w:pPr>
    </w:p>
    <w:p w14:paraId="0248B738" w14:textId="77777777" w:rsidR="00680577" w:rsidRPr="00801B09" w:rsidRDefault="00B73736" w:rsidP="00680577">
      <w:pPr>
        <w:pStyle w:val="EPBodyTA1"/>
      </w:pPr>
      <w:r w:rsidRPr="00801B09">
        <w:t>ANTAGNA TEXTER</w:t>
      </w:r>
    </w:p>
    <w:p w14:paraId="3AA99A8A" w14:textId="77777777" w:rsidR="00D058B8" w:rsidRPr="00801B09" w:rsidRDefault="00D058B8" w:rsidP="00D058B8">
      <w:pPr>
        <w:pStyle w:val="LineBottom"/>
      </w:pPr>
    </w:p>
    <w:p w14:paraId="179A66A5" w14:textId="0BA68801" w:rsidR="00B73736" w:rsidRPr="00801B09" w:rsidRDefault="00B73736" w:rsidP="00B73736">
      <w:pPr>
        <w:pStyle w:val="ATHeading1"/>
      </w:pPr>
      <w:bookmarkStart w:id="0" w:name="TANumber"/>
      <w:r w:rsidRPr="00801B09">
        <w:t>P10_TA(2025)0</w:t>
      </w:r>
      <w:bookmarkEnd w:id="0"/>
      <w:r w:rsidR="00CB26BD">
        <w:t>274</w:t>
      </w:r>
    </w:p>
    <w:p w14:paraId="19608F80" w14:textId="77777777" w:rsidR="00B73736" w:rsidRPr="00801B09" w:rsidRDefault="00B73736" w:rsidP="00B73736">
      <w:pPr>
        <w:pStyle w:val="ATHeading2"/>
      </w:pPr>
      <w:bookmarkStart w:id="1" w:name="title"/>
      <w:r w:rsidRPr="00801B09">
        <w:t>Ianspråktagande av Europeiska unionens solidaritetsfond: stöd till Spanien och Frankrike med anledning av naturkatastrofer 2024 och 2025</w:t>
      </w:r>
      <w:bookmarkEnd w:id="1"/>
    </w:p>
    <w:p w14:paraId="286DE6E3" w14:textId="77777777" w:rsidR="00B73736" w:rsidRPr="00801B09" w:rsidRDefault="00B73736" w:rsidP="00B73736">
      <w:pPr>
        <w:rPr>
          <w:i/>
          <w:vanish/>
        </w:rPr>
      </w:pPr>
      <w:r w:rsidRPr="00801B09">
        <w:rPr>
          <w:i/>
        </w:rPr>
        <w:fldChar w:fldCharType="begin"/>
      </w:r>
      <w:r w:rsidRPr="00801B09">
        <w:rPr>
          <w:i/>
        </w:rPr>
        <w:instrText xml:space="preserve"> TC"(</w:instrText>
      </w:r>
      <w:bookmarkStart w:id="2" w:name="DocNumber"/>
      <w:r w:rsidRPr="00801B09">
        <w:rPr>
          <w:i/>
        </w:rPr>
        <w:instrText>A10-0215/2025</w:instrText>
      </w:r>
      <w:bookmarkEnd w:id="2"/>
      <w:r w:rsidRPr="00801B09">
        <w:rPr>
          <w:i/>
        </w:rPr>
        <w:instrText xml:space="preserve"> - Föredragande: Sandra Gómez López)"\l3 \n&gt; \* MERGEFORMAT </w:instrText>
      </w:r>
      <w:r w:rsidRPr="00801B09">
        <w:rPr>
          <w:i/>
        </w:rPr>
        <w:fldChar w:fldCharType="end"/>
      </w:r>
    </w:p>
    <w:p w14:paraId="1B3F4D96" w14:textId="77777777" w:rsidR="00B73736" w:rsidRPr="00801B09" w:rsidRDefault="00B73736" w:rsidP="00B73736">
      <w:pPr>
        <w:rPr>
          <w:vanish/>
        </w:rPr>
      </w:pPr>
      <w:bookmarkStart w:id="3" w:name="Commission"/>
      <w:r w:rsidRPr="00801B09">
        <w:rPr>
          <w:vanish/>
        </w:rPr>
        <w:t>Budgetutskottet</w:t>
      </w:r>
      <w:bookmarkEnd w:id="3"/>
    </w:p>
    <w:p w14:paraId="66903308" w14:textId="77777777" w:rsidR="00B73736" w:rsidRPr="00801B09" w:rsidRDefault="00B73736" w:rsidP="00B73736">
      <w:pPr>
        <w:rPr>
          <w:vanish/>
        </w:rPr>
      </w:pPr>
      <w:bookmarkStart w:id="4" w:name="PE"/>
      <w:r w:rsidRPr="00801B09">
        <w:rPr>
          <w:vanish/>
        </w:rPr>
        <w:t>PE778.223</w:t>
      </w:r>
      <w:bookmarkEnd w:id="4"/>
    </w:p>
    <w:p w14:paraId="450294F2" w14:textId="4919A41F" w:rsidR="00B73736" w:rsidRPr="00801B09" w:rsidRDefault="00B73736" w:rsidP="00B73736">
      <w:pPr>
        <w:pStyle w:val="ATHeading3"/>
      </w:pPr>
      <w:bookmarkStart w:id="5" w:name="Sujet"/>
      <w:r w:rsidRPr="00801B09">
        <w:t xml:space="preserve">Europaparlamentets resolution av den </w:t>
      </w:r>
      <w:r w:rsidR="00777F77">
        <w:t>13</w:t>
      </w:r>
      <w:r w:rsidR="00777F77" w:rsidRPr="00801B09">
        <w:t xml:space="preserve"> </w:t>
      </w:r>
      <w:r w:rsidR="00777F77">
        <w:t>november</w:t>
      </w:r>
      <w:r w:rsidR="00777F77" w:rsidRPr="00801B09">
        <w:t xml:space="preserve"> </w:t>
      </w:r>
      <w:r w:rsidRPr="00801B09">
        <w:t xml:space="preserve">2025 om förslaget till Europaparlamentets och rådets beslut om ianspråktagande av Europeiska unionens solidaritetsfond för att ge stöd till Spanien med anledning av översvämningarna i Valenciaregionen i Spanien i oktober 2024 och till Frankrike med anledning av de skador som cyklonen </w:t>
      </w:r>
      <w:proofErr w:type="spellStart"/>
      <w:r w:rsidRPr="00801B09">
        <w:t>Chido</w:t>
      </w:r>
      <w:proofErr w:type="spellEnd"/>
      <w:r w:rsidRPr="00801B09">
        <w:t xml:space="preserve"> orsakade på Mayotte i december 2024 och som cyklonen </w:t>
      </w:r>
      <w:proofErr w:type="spellStart"/>
      <w:r w:rsidRPr="00801B09">
        <w:t>Garance</w:t>
      </w:r>
      <w:proofErr w:type="spellEnd"/>
      <w:r w:rsidRPr="00801B09">
        <w:t xml:space="preserve"> orsakade på Réunion i februari 2025</w:t>
      </w:r>
      <w:bookmarkEnd w:id="5"/>
      <w:r w:rsidRPr="00801B09">
        <w:t xml:space="preserve"> </w:t>
      </w:r>
      <w:bookmarkStart w:id="6" w:name="References"/>
      <w:r w:rsidRPr="00801B09">
        <w:t>(COM(2025)0855 – C10-0239/2025 – 2025/0318(BUD))</w:t>
      </w:r>
      <w:bookmarkEnd w:id="6"/>
    </w:p>
    <w:p w14:paraId="5D9B23EC" w14:textId="77777777" w:rsidR="007137EA" w:rsidRPr="00801B09" w:rsidRDefault="007137EA" w:rsidP="007137EA">
      <w:pPr>
        <w:pStyle w:val="EPComma"/>
        <w:rPr>
          <w:noProof/>
        </w:rPr>
      </w:pPr>
      <w:r w:rsidRPr="00801B09">
        <w:rPr>
          <w:i/>
        </w:rPr>
        <w:t>Europaparlamentet utfärdar denna resolution</w:t>
      </w:r>
    </w:p>
    <w:p w14:paraId="23BE0BA6" w14:textId="77777777" w:rsidR="007137EA" w:rsidRPr="00801B09" w:rsidRDefault="007137EA" w:rsidP="007137EA">
      <w:pPr>
        <w:pStyle w:val="NormalHanging12a"/>
        <w:rPr>
          <w:noProof/>
        </w:rPr>
      </w:pPr>
      <w:r w:rsidRPr="00801B09">
        <w:t>–</w:t>
      </w:r>
      <w:r w:rsidRPr="00801B09">
        <w:tab/>
        <w:t>med beaktande av kommissionens förslag till Europaparlamentet och rådet (COM(2025)0855 – C10</w:t>
      </w:r>
      <w:r w:rsidRPr="00801B09">
        <w:noBreakHyphen/>
        <w:t>0239/2025),</w:t>
      </w:r>
    </w:p>
    <w:p w14:paraId="4CD19CE5" w14:textId="77777777" w:rsidR="007137EA" w:rsidRPr="00801B09" w:rsidRDefault="007137EA" w:rsidP="007137EA">
      <w:pPr>
        <w:pStyle w:val="NormalHanging12a"/>
        <w:rPr>
          <w:noProof/>
        </w:rPr>
      </w:pPr>
      <w:r w:rsidRPr="00801B09">
        <w:t>–</w:t>
      </w:r>
      <w:r w:rsidRPr="00801B09">
        <w:tab/>
        <w:t>med beaktande av rådets förordning (EG) nr 2012/2002 av den 11 november 2002 om inrättande av Europeiska unionens solidaritetsfond</w:t>
      </w:r>
      <w:r w:rsidRPr="00801B09">
        <w:rPr>
          <w:noProof/>
          <w:vertAlign w:val="superscript"/>
        </w:rPr>
        <w:footnoteReference w:id="1"/>
      </w:r>
      <w:r w:rsidRPr="00801B09">
        <w:t>,</w:t>
      </w:r>
    </w:p>
    <w:p w14:paraId="207CE2DF" w14:textId="77777777" w:rsidR="007137EA" w:rsidRPr="00801B09" w:rsidRDefault="007137EA" w:rsidP="007137EA">
      <w:pPr>
        <w:pStyle w:val="NormalHanging12a"/>
        <w:rPr>
          <w:noProof/>
        </w:rPr>
      </w:pPr>
      <w:r w:rsidRPr="00801B09">
        <w:t>–</w:t>
      </w:r>
      <w:r w:rsidRPr="00801B09">
        <w:tab/>
        <w:t>med beaktande av rådets förordning (EU, Euratom) 2020/2093 av den 17 december 2020 om den fleråriga budgetramen för 2021–2027</w:t>
      </w:r>
      <w:r w:rsidRPr="00801B09">
        <w:rPr>
          <w:noProof/>
          <w:vertAlign w:val="superscript"/>
        </w:rPr>
        <w:footnoteReference w:id="2"/>
      </w:r>
      <w:r w:rsidRPr="00801B09">
        <w:t>, särskilt artikel 9,</w:t>
      </w:r>
    </w:p>
    <w:p w14:paraId="72184B24" w14:textId="77777777" w:rsidR="007137EA" w:rsidRPr="00801B09" w:rsidRDefault="007137EA" w:rsidP="007137EA">
      <w:pPr>
        <w:pStyle w:val="NormalHanging12a"/>
        <w:rPr>
          <w:noProof/>
        </w:rPr>
      </w:pPr>
      <w:r w:rsidRPr="00801B09">
        <w:t>–</w:t>
      </w:r>
      <w:r w:rsidRPr="00801B09">
        <w:tab/>
        <w:t>med beaktande av det interinstitutionella avtalet av den 16 december 2020 mellan Europaparlamentet, Europeiska unionens råd och Europeiska kommissionen om budgetdisciplin, samarbete i budgetfrågor och sund ekonomisk förvaltning, inbegripet bestämmelser som rör klimat, biologisk mångfald och jämställdhetsintegrering, samt om nya egna medel, inbegripet en färdplan för införandet av nya egna medel</w:t>
      </w:r>
      <w:r w:rsidRPr="00801B09">
        <w:rPr>
          <w:noProof/>
          <w:vertAlign w:val="superscript"/>
        </w:rPr>
        <w:footnoteReference w:id="3"/>
      </w:r>
      <w:r w:rsidRPr="00801B09">
        <w:t>, särskilt punkt 10,</w:t>
      </w:r>
    </w:p>
    <w:p w14:paraId="2907A4E2" w14:textId="77777777" w:rsidR="007137EA" w:rsidRPr="00801B09" w:rsidRDefault="007137EA" w:rsidP="007137EA">
      <w:pPr>
        <w:pStyle w:val="NormalHanging12a"/>
        <w:rPr>
          <w:noProof/>
        </w:rPr>
      </w:pPr>
      <w:r w:rsidRPr="00801B09">
        <w:t>–</w:t>
      </w:r>
      <w:r w:rsidRPr="00801B09">
        <w:tab/>
        <w:t xml:space="preserve">med beaktande av Europaparlamentets och rådets förordning (EU) 2021/1058 av den 24 juni 2021 om Europeiska regionala utvecklingsfonden och </w:t>
      </w:r>
      <w:r w:rsidRPr="00801B09">
        <w:lastRenderedPageBreak/>
        <w:t>Sammanhållningsfonden</w:t>
      </w:r>
      <w:r w:rsidRPr="00801B09">
        <w:rPr>
          <w:noProof/>
          <w:vertAlign w:val="superscript"/>
        </w:rPr>
        <w:footnoteReference w:id="4"/>
      </w:r>
      <w:r w:rsidRPr="00801B09">
        <w:t xml:space="preserve">, </w:t>
      </w:r>
    </w:p>
    <w:p w14:paraId="254D2EDF" w14:textId="77777777" w:rsidR="007137EA" w:rsidRPr="00801B09" w:rsidRDefault="007137EA" w:rsidP="007137EA">
      <w:pPr>
        <w:pStyle w:val="NormalHanging12a"/>
        <w:rPr>
          <w:noProof/>
        </w:rPr>
      </w:pPr>
      <w:r w:rsidRPr="00801B09">
        <w:t>–</w:t>
      </w:r>
      <w:r w:rsidRPr="00801B09">
        <w:tab/>
        <w:t>med beaktande av Europaparlamentets och rådets förordning (EU) 2021/1057 av den 24 juni 2021 om inrättande av Europeiska socialfonden+ (ESF+)</w:t>
      </w:r>
      <w:r w:rsidRPr="00801B09">
        <w:rPr>
          <w:noProof/>
          <w:vertAlign w:val="superscript"/>
        </w:rPr>
        <w:footnoteReference w:id="5"/>
      </w:r>
      <w:r w:rsidRPr="00801B09">
        <w:t xml:space="preserve">, </w:t>
      </w:r>
    </w:p>
    <w:p w14:paraId="1D0BE067" w14:textId="77777777" w:rsidR="007137EA" w:rsidRPr="00801B09" w:rsidRDefault="007137EA" w:rsidP="007137EA">
      <w:pPr>
        <w:pStyle w:val="NormalHanging12a"/>
        <w:rPr>
          <w:noProof/>
        </w:rPr>
      </w:pPr>
      <w:r w:rsidRPr="00801B09">
        <w:t>–</w:t>
      </w:r>
      <w:r w:rsidRPr="00801B09">
        <w:tab/>
        <w:t>med beaktande av Europaparlamentets och rådets förordning (EU) 2021/2115 av den 2 december 2021 om fastställande av regler om stöd för de strategiska planer som ska upprättas av medlemsstaterna inom ramen för den gemensamma jordbrukspolitiken (strategiska GJP-planer) och finansieras av Europeiska garantifonden för jordbruket (EGFJ) och Europeiska jordbruksfonden för landsbygdsutveckling (</w:t>
      </w:r>
      <w:proofErr w:type="spellStart"/>
      <w:r w:rsidRPr="00801B09">
        <w:t>Ejflu</w:t>
      </w:r>
      <w:proofErr w:type="spellEnd"/>
      <w:r w:rsidRPr="00801B09">
        <w:t>), och om upphävande av förordningarna (EU) nr 1305/2013 och (EU) nr 1307/2013</w:t>
      </w:r>
      <w:r w:rsidRPr="00801B09">
        <w:rPr>
          <w:noProof/>
          <w:vertAlign w:val="superscript"/>
        </w:rPr>
        <w:footnoteReference w:id="6"/>
      </w:r>
      <w:r w:rsidRPr="00801B09">
        <w:t xml:space="preserve">, </w:t>
      </w:r>
    </w:p>
    <w:p w14:paraId="6BAC9C84" w14:textId="77777777" w:rsidR="007137EA" w:rsidRPr="00801B09" w:rsidRDefault="007137EA" w:rsidP="007137EA">
      <w:pPr>
        <w:pStyle w:val="NormalHanging12a"/>
        <w:keepNext/>
        <w:keepLines/>
        <w:widowControl/>
        <w:rPr>
          <w:noProof/>
        </w:rPr>
      </w:pPr>
      <w:r w:rsidRPr="00801B09">
        <w:t>–</w:t>
      </w:r>
      <w:r w:rsidRPr="00801B09">
        <w:tab/>
        <w:t>med beaktande av betänkandet från utskottet för sysselsättning och sociala frågor och utskottet för regional utveckling (A10–0031/2024) inom ramen för lagstiftningsförfarandet för antagande av Europaparlamentets och rådets förordning (EU) 2024/3236 av den 19 december 2024 om ändring av förordningarna (EU) 2021/1057 och (EU) 2021/1058 vad gäller regionalt krisstöd för återuppbyggnad (</w:t>
      </w:r>
      <w:proofErr w:type="spellStart"/>
      <w:r w:rsidRPr="00801B09">
        <w:t>Restore</w:t>
      </w:r>
      <w:proofErr w:type="spellEnd"/>
      <w:r w:rsidRPr="00801B09">
        <w:t>)</w:t>
      </w:r>
      <w:r w:rsidRPr="00801B09">
        <w:rPr>
          <w:noProof/>
          <w:vertAlign w:val="superscript"/>
        </w:rPr>
        <w:footnoteReference w:id="7"/>
      </w:r>
      <w:r w:rsidRPr="00801B09">
        <w:t xml:space="preserve">, särskilt budgetutskottets budgetbedömning som bifogas det betänkandet, </w:t>
      </w:r>
    </w:p>
    <w:p w14:paraId="57FD70A2" w14:textId="77777777" w:rsidR="007137EA" w:rsidRPr="00801B09" w:rsidRDefault="007137EA" w:rsidP="007137EA">
      <w:pPr>
        <w:pStyle w:val="NormalHanging12a"/>
        <w:rPr>
          <w:noProof/>
        </w:rPr>
      </w:pPr>
      <w:r w:rsidRPr="00801B09">
        <w:t>–</w:t>
      </w:r>
      <w:r w:rsidRPr="00801B09">
        <w:tab/>
        <w:t>med beaktande av parlamentets resolution av den 7 maj 2025 om en uppdaterad långtidsbudget för unionen i en värld i förändring</w:t>
      </w:r>
      <w:r w:rsidRPr="00801B09">
        <w:rPr>
          <w:noProof/>
          <w:vertAlign w:val="superscript"/>
        </w:rPr>
        <w:footnoteReference w:id="8"/>
      </w:r>
      <w:r w:rsidRPr="00801B09">
        <w:t xml:space="preserve">, </w:t>
      </w:r>
    </w:p>
    <w:p w14:paraId="30D6DA48" w14:textId="77777777" w:rsidR="007137EA" w:rsidRPr="00801B09" w:rsidRDefault="007137EA" w:rsidP="007137EA">
      <w:pPr>
        <w:pStyle w:val="NormalHanging12a"/>
        <w:rPr>
          <w:noProof/>
        </w:rPr>
      </w:pPr>
      <w:r w:rsidRPr="00801B09">
        <w:t>–</w:t>
      </w:r>
      <w:r w:rsidRPr="00801B09">
        <w:tab/>
        <w:t>med beaktande av Europeiska miljöbyråns rapport nr 1/2024 om den europeisk klimatriskbedömningen (</w:t>
      </w:r>
      <w:proofErr w:type="spellStart"/>
      <w:r w:rsidRPr="00801B09">
        <w:t>Eucra</w:t>
      </w:r>
      <w:proofErr w:type="spellEnd"/>
      <w:r w:rsidRPr="00801B09">
        <w:t>)</w:t>
      </w:r>
      <w:r w:rsidRPr="00801B09">
        <w:rPr>
          <w:noProof/>
          <w:vertAlign w:val="superscript"/>
        </w:rPr>
        <w:footnoteReference w:id="9"/>
      </w:r>
      <w:r w:rsidRPr="00801B09">
        <w:t>,</w:t>
      </w:r>
    </w:p>
    <w:p w14:paraId="3D80D76B" w14:textId="77777777" w:rsidR="007137EA" w:rsidRPr="00801B09" w:rsidRDefault="007137EA" w:rsidP="007137EA">
      <w:pPr>
        <w:pStyle w:val="NormalHanging12a"/>
        <w:rPr>
          <w:noProof/>
        </w:rPr>
      </w:pPr>
      <w:r w:rsidRPr="00801B09">
        <w:t>–</w:t>
      </w:r>
      <w:r w:rsidRPr="00801B09">
        <w:tab/>
        <w:t>med beaktande av betänkandet från budgetutskottet (A10-0215/2025), och av följande skäl:</w:t>
      </w:r>
    </w:p>
    <w:p w14:paraId="12D506DB" w14:textId="3A08A6E7" w:rsidR="007137EA" w:rsidRPr="00801B09" w:rsidRDefault="007137EA" w:rsidP="007137EA">
      <w:pPr>
        <w:pStyle w:val="NormalHanging12a"/>
        <w:rPr>
          <w:noProof/>
        </w:rPr>
      </w:pPr>
      <w:r w:rsidRPr="00801B09">
        <w:t>A.</w:t>
      </w:r>
      <w:r w:rsidRPr="00801B09">
        <w:tab/>
        <w:t>Mellan den 28 oktober och den 4 november 2024 drabbades hela Valencia</w:t>
      </w:r>
      <w:r w:rsidR="008C0400">
        <w:t>regionen i Spanien</w:t>
      </w:r>
      <w:r w:rsidRPr="00801B09">
        <w:t xml:space="preserve"> av en storm som orsakade kraftiga regn, vilket ledde till allvarliga översvämningar med totala direkta skador </w:t>
      </w:r>
      <w:r w:rsidR="008C0400">
        <w:t xml:space="preserve">som uppgick till </w:t>
      </w:r>
      <w:r w:rsidRPr="00801B09">
        <w:t>18,08 miljarder EUR, enligt kommissionens uppskattningar. Ovädret drabbade 845 000 personer från 84 kommuner, 170 utbildningsanstalter, över 50 hälso- och sjukvårdsinstitutioner och offentlig infrastruktur</w:t>
      </w:r>
      <w:r w:rsidR="008C0400">
        <w:t>, medan ö</w:t>
      </w:r>
      <w:r w:rsidRPr="00801B09">
        <w:t>versvämningarna orsakade minst 229 dödsfall.</w:t>
      </w:r>
    </w:p>
    <w:p w14:paraId="1174B104" w14:textId="550CDDCE" w:rsidR="007137EA" w:rsidRPr="00801B09" w:rsidRDefault="007137EA" w:rsidP="007137EA">
      <w:pPr>
        <w:pStyle w:val="NormalHanging12a"/>
        <w:rPr>
          <w:bCs/>
          <w:iCs/>
          <w:noProof/>
        </w:rPr>
      </w:pPr>
      <w:r w:rsidRPr="00801B09">
        <w:t>B.</w:t>
      </w:r>
      <w:r w:rsidRPr="00801B09">
        <w:tab/>
        <w:t>De enorma effekterna av stormarna och översvämningarna på regione</w:t>
      </w:r>
      <w:r w:rsidR="008C0400">
        <w:t>ns</w:t>
      </w:r>
      <w:r w:rsidRPr="00801B09">
        <w:t xml:space="preserve"> ekonomi uppskattas till 18 miljarder EUR, vilket påverkar 63 industriområden, 64 000 företag (varav 99,6 % är små och medelstora företag) och 250 000 arbetstagare, och har föranlett 243 388 ersättningsanspråk, </w:t>
      </w:r>
      <w:r w:rsidR="008C0400">
        <w:t>enligt vad som framgår av</w:t>
      </w:r>
      <w:r w:rsidRPr="00801B09">
        <w:t xml:space="preserve"> de studier som lagts fram av Valencias regionala regering och Valencias näringslivsförbund.</w:t>
      </w:r>
    </w:p>
    <w:p w14:paraId="44B7956F" w14:textId="1F9E26E7" w:rsidR="007137EA" w:rsidRPr="00801B09" w:rsidRDefault="007137EA" w:rsidP="007137EA">
      <w:pPr>
        <w:pStyle w:val="NormalHanging12a"/>
        <w:rPr>
          <w:noProof/>
        </w:rPr>
      </w:pPr>
      <w:r w:rsidRPr="00801B09">
        <w:t>C.</w:t>
      </w:r>
      <w:r w:rsidRPr="00801B09">
        <w:tab/>
        <w:t xml:space="preserve">Den 14 december 2024 hamnade den franska ön Mayotte mitt i orkanens öga då cyklonen </w:t>
      </w:r>
      <w:proofErr w:type="spellStart"/>
      <w:r w:rsidRPr="00801B09">
        <w:t>Chido</w:t>
      </w:r>
      <w:proofErr w:type="spellEnd"/>
      <w:r w:rsidRPr="00801B09">
        <w:t xml:space="preserve"> drog över ön och orsakade vindbyar som överskred 180 kilometer i timmen och kraftiga regn i kombination med höga vågor, vilket ledde till totala direkta skador </w:t>
      </w:r>
      <w:r w:rsidR="008C0400">
        <w:t xml:space="preserve">motsvarande </w:t>
      </w:r>
      <w:r w:rsidRPr="00801B09">
        <w:t>3,6 miljarder EUR</w:t>
      </w:r>
      <w:r w:rsidR="008C0400">
        <w:t xml:space="preserve"> enligt kommissionens uppskattningar</w:t>
      </w:r>
      <w:r w:rsidRPr="00801B09">
        <w:t xml:space="preserve">. Cyklonen drabbade 337 000 personer och orsakade minst 39 dödsfall. Antalet saknade uppgår </w:t>
      </w:r>
      <w:r w:rsidRPr="00801B09">
        <w:lastRenderedPageBreak/>
        <w:t>fortfarande till 200 personer.</w:t>
      </w:r>
    </w:p>
    <w:p w14:paraId="51EC98E4" w14:textId="11473055" w:rsidR="007137EA" w:rsidRPr="00801B09" w:rsidRDefault="007137EA" w:rsidP="007137EA">
      <w:pPr>
        <w:pStyle w:val="NormalHanging12a"/>
        <w:rPr>
          <w:noProof/>
        </w:rPr>
      </w:pPr>
      <w:r w:rsidRPr="00801B09">
        <w:t>D.</w:t>
      </w:r>
      <w:r w:rsidRPr="00801B09">
        <w:tab/>
        <w:t xml:space="preserve">Den 28 februari 2025 drabbade cyklonen </w:t>
      </w:r>
      <w:proofErr w:type="spellStart"/>
      <w:r w:rsidRPr="00801B09">
        <w:t>Garance</w:t>
      </w:r>
      <w:proofErr w:type="spellEnd"/>
      <w:r w:rsidRPr="00801B09">
        <w:t xml:space="preserve"> ön Réunion i Frankrike</w:t>
      </w:r>
      <w:r w:rsidR="008C0400">
        <w:t>, med</w:t>
      </w:r>
      <w:r w:rsidRPr="00801B09">
        <w:t xml:space="preserve"> vindhastigheter på upp till 215 kilometer i timmen, kraftiga regn och farliga sjöförhållanden, vilket orsakade direkta skador som de franska myndigheterna uppskattade till totalt 849,45 miljoner EUR, främst i elnät och kommunikationsinfrastruktur. Cyklonen drabbade 160 000 personer och orsakade minst 4 dödsfall.</w:t>
      </w:r>
    </w:p>
    <w:p w14:paraId="7CB24D4C" w14:textId="7315DA22" w:rsidR="007137EA" w:rsidRPr="00801B09" w:rsidRDefault="007137EA" w:rsidP="007137EA">
      <w:pPr>
        <w:pStyle w:val="NormalHanging12a"/>
        <w:keepNext/>
        <w:keepLines/>
        <w:widowControl/>
        <w:rPr>
          <w:noProof/>
        </w:rPr>
      </w:pPr>
      <w:r w:rsidRPr="00801B09">
        <w:t>1.</w:t>
      </w:r>
      <w:r w:rsidRPr="00801B09">
        <w:tab/>
        <w:t xml:space="preserve">Europaparlamentet uttrycker sin djupaste solidaritet med alla offer, deras familjer och alla personer som drabbats av de </w:t>
      </w:r>
      <w:r w:rsidR="0062748F">
        <w:t>katastrofala</w:t>
      </w:r>
      <w:r w:rsidR="0062748F" w:rsidRPr="00801B09">
        <w:t xml:space="preserve"> </w:t>
      </w:r>
      <w:r w:rsidRPr="00801B09">
        <w:t>översvämningarna i regionen Valencia (Spanien) och de förödande cyklonerna på Mayotte och Réunion (Frankrike), samt med de nationella, regionala och lokala myndigheter som deltog i hjälpinsatserna.</w:t>
      </w:r>
    </w:p>
    <w:p w14:paraId="5F4C6115" w14:textId="77777777" w:rsidR="007137EA" w:rsidRPr="00801B09" w:rsidRDefault="007137EA" w:rsidP="007137EA">
      <w:pPr>
        <w:pStyle w:val="NormalHanging12a"/>
        <w:rPr>
          <w:noProof/>
        </w:rPr>
      </w:pPr>
      <w:r w:rsidRPr="00801B09">
        <w:t>2.</w:t>
      </w:r>
      <w:r w:rsidRPr="00801B09">
        <w:tab/>
        <w:t>Europaparlamentet välkomnar beslutet som en konkret och synlig form av unionens solidaritet med medborgarna och regionerna i de drabbade områdena, men konstaterar att en sådan solidaritet inte kan ersätta de lokala, regionala och nationella myndigheternas direkta ansvar för att förebygga och hantera klimatrelaterade naturkatastrofer.</w:t>
      </w:r>
    </w:p>
    <w:p w14:paraId="103541DE" w14:textId="285E3F77" w:rsidR="007137EA" w:rsidRPr="00801B09" w:rsidRDefault="007137EA" w:rsidP="007137EA">
      <w:pPr>
        <w:pStyle w:val="NormalHanging12a"/>
        <w:rPr>
          <w:noProof/>
        </w:rPr>
      </w:pPr>
      <w:r w:rsidRPr="00801B09">
        <w:t>3.</w:t>
      </w:r>
      <w:r w:rsidRPr="00801B09">
        <w:tab/>
        <w:t>Europaparlamentet upprepar vikten av att informera allmänheten om de konkreta fördelar som Europeiska unionens solidaritetsfond (</w:t>
      </w:r>
      <w:r w:rsidRPr="00801B09">
        <w:rPr>
          <w:i/>
          <w:iCs/>
        </w:rPr>
        <w:t>solidaritetsfonden</w:t>
      </w:r>
      <w:r w:rsidRPr="00801B09">
        <w:t xml:space="preserve">) medfört, för att på så sätt ytterligare öka medborgarnas kännedom om </w:t>
      </w:r>
      <w:r w:rsidR="0062748F">
        <w:t>unionens</w:t>
      </w:r>
      <w:r w:rsidRPr="00801B09">
        <w:t xml:space="preserve"> instrument och program.</w:t>
      </w:r>
    </w:p>
    <w:p w14:paraId="662C8FF4" w14:textId="4A27946B" w:rsidR="007137EA" w:rsidRPr="00801B09" w:rsidRDefault="007137EA" w:rsidP="007137EA">
      <w:pPr>
        <w:pStyle w:val="NormalHanging12a"/>
        <w:rPr>
          <w:noProof/>
        </w:rPr>
      </w:pPr>
      <w:r w:rsidRPr="00801B09">
        <w:t>4.</w:t>
      </w:r>
      <w:r w:rsidRPr="00801B09">
        <w:tab/>
        <w:t xml:space="preserve">Europaparlamentet framhåller det ökande antalet allvarliga, </w:t>
      </w:r>
      <w:r w:rsidR="0062748F">
        <w:t>förödande</w:t>
      </w:r>
      <w:r w:rsidR="0062748F" w:rsidRPr="00801B09">
        <w:t xml:space="preserve"> </w:t>
      </w:r>
      <w:r w:rsidRPr="00801B09">
        <w:t xml:space="preserve">och dödliga naturkatastrofer i Europa, och uppmanar medlemsstaterna och kommissionen att öka investeringarna i förebyggande åtgärder, offentlig infrastruktur, begränsning av och anpassning till klimatförändringar samt krisberedskapsåtgärder för att undvika mänskliga och ekonomiska förluster. Parlamentet uppmanar medlemsstaterna att ta hänsyn till att klimatrisker och andra naturkatastrofer i oproportionerligt hög grad påverkar utsatta befolkningsgrupper och små och medelstora företag på grund av socioekonomiska och demografiska faktorer, samt sårbara territorier såsom de yttersta randområdena. Parlamentet anser att det är viktigt att säkerställa en hög nivå av demokratisk kontroll från budgetmyndighetens sida av solidaritetsfonden. Parlamentet påminner om att solidaritetsfonden har en begränsad budget och inte kan betraktas som det enda instrumentet för att hantera större naturkatastrofer. Parlamentet efterlyser därför en bedömning av unionsbudgetens finansiella kapacitet och en eventuell ökning av dess resurser för att tillhandahålla medborgarna bistånd som står i proportion till omfattningen av sådana katastrofer. Parlamentet noterar att en ökning av denna typ av bistånd skulle göra det möjligt för medlemsstaterna att reagera effektivare och snabbare vid katastrofer, utan att utnyttja andra instrument, särskilt sammanhållningsfonderna, vars främsta syfte inte är katastrofinsatser. </w:t>
      </w:r>
    </w:p>
    <w:p w14:paraId="569B6738" w14:textId="1C5E1C39" w:rsidR="007137EA" w:rsidRPr="00801B09" w:rsidRDefault="007137EA" w:rsidP="00110AAA">
      <w:pPr>
        <w:pStyle w:val="NormalHanging12a"/>
        <w:rPr>
          <w:noProof/>
        </w:rPr>
      </w:pPr>
      <w:r w:rsidRPr="00801B09">
        <w:t>5.</w:t>
      </w:r>
      <w:r w:rsidRPr="00801B09">
        <w:tab/>
        <w:t xml:space="preserve">Europaparlamentet betonar att solidaritetsfonden endast är ett avhjälpande instrument och att unionen också bör fortsätta med anpassningen till och begränsningen av klimatförändringarna genom att stödja europeisk och nationell politik för att förebygga naturkatastrofer samt stödja principen om ”förbättrande återuppbyggnad” i alla sina åtgärder. Parlamentet understryker att man i Europeiska miljöbyråns rapport nr 1/2024 om den europeiska klimatriskbedömningen varnade för att unionen inte är redo för riskerna med ett förändrat klimat, och betonar att det krävs åtgärder för att undvika att de klimatrisker som identifierats når kritiska nivåer. Parlamentet uppmanar </w:t>
      </w:r>
      <w:r w:rsidRPr="00801B09">
        <w:lastRenderedPageBreak/>
        <w:t xml:space="preserve">medlemsstaterna och kommissionen att vidta de åtgärder som krävs för att unionen ska kunna fullgöra de åtaganden som gjorts i Parisavtalet. Parlamentet påminner om behovet av effektiva synergier med annan unionspolitik och andra unionsprogram, och understryker att medlemsstaterna på bästa sätt bör utnyttja finansieringsmöjligheterna, särskilt från Europeiska regionala utvecklingsfonden, Europeiska socialfonden+ och programmen för landsbygdsutveckling. Parlamentet uppmanar kommissionen att med vederbörlig skyndsamhet bedöma eventuella motiverade begäranden från medlemsstaterna om att omfördela medel inom de nationella planerna för återhämtning och </w:t>
      </w:r>
      <w:proofErr w:type="spellStart"/>
      <w:r w:rsidRPr="00801B09">
        <w:t>resiliens</w:t>
      </w:r>
      <w:proofErr w:type="spellEnd"/>
      <w:r w:rsidRPr="00801B09">
        <w:t xml:space="preserve"> till bistånd vid naturkatastrofer, i enlighet med reglerna i Europaparlamentets och rådets förordning (EU) 2021/241</w:t>
      </w:r>
      <w:r w:rsidRPr="00801B09">
        <w:rPr>
          <w:noProof/>
          <w:vertAlign w:val="superscript"/>
        </w:rPr>
        <w:footnoteReference w:id="10"/>
      </w:r>
      <w:r w:rsidRPr="00801B09">
        <w:t>, särskilt när hänsyn tas till den höga andel medel från denna mekanism som ännu inte utnyttjats. Parlamentet betonar också behovet av förebyggande åtgärder, inte bara för att mildra framtida skador utan även för att förhindra att riskförhållandena förvärras till följd av katastrofer, såsom översvämningar, skogsbränder, jordskred eller uttorkning av sjöar och floder. Parlamentet betonar vidare de risker som extrema väderförhållanden och naturkatastrofer såsom värmeböljor innebär för folkhälsan i hela Europa, och uppmanar kommissionen att beakta denna aspekt i relevant politik. Parlamentet uppmuntrar användning av innovativa digitala verktyg, satellitdata (</w:t>
      </w:r>
      <w:r w:rsidR="0062748F">
        <w:t>exempelvis</w:t>
      </w:r>
      <w:r w:rsidRPr="00801B09">
        <w:t xml:space="preserve"> Copernicus) och system för tidig varning för att förbättra katastrofberedskapen. Parlamentet understryker vikten av tillräcklig flexibilitet mellan de olika programmen. Parlamentet </w:t>
      </w:r>
      <w:r w:rsidR="0062748F">
        <w:t>framhåller</w:t>
      </w:r>
      <w:r w:rsidR="0062748F" w:rsidRPr="00801B09">
        <w:t xml:space="preserve"> </w:t>
      </w:r>
      <w:r w:rsidRPr="00801B09">
        <w:t>att stöd som tillhandahålls inom ramen för solidaritetsfonden inte får ske på bekostnad av EU-finansiering som medlemsstaterna erhåller inom ramen för annan unionspolitik eller andra unionsprogram. Parlamentet påminner om att medlemsstaterna kan bevilja statligt stöd, i enlighet med tillämpliga unionsregler, särskilt till jordbruksföretag som har lidit skada till följd av naturkatastrofer.</w:t>
      </w:r>
    </w:p>
    <w:p w14:paraId="22D3B88C" w14:textId="616D6BAE" w:rsidR="007137EA" w:rsidRPr="00801B09" w:rsidRDefault="007137EA" w:rsidP="007137EA">
      <w:pPr>
        <w:pStyle w:val="NormalHanging12a"/>
        <w:rPr>
          <w:noProof/>
        </w:rPr>
      </w:pPr>
      <w:r w:rsidRPr="00801B09">
        <w:t>6.</w:t>
      </w:r>
      <w:r w:rsidRPr="00801B09">
        <w:tab/>
        <w:t>Europaparlamentet påminner om att förordningen om regionalt krisstöd för återuppbyggnad</w:t>
      </w:r>
      <w:r w:rsidRPr="00801B09">
        <w:rPr>
          <w:noProof/>
          <w:vertAlign w:val="superscript"/>
        </w:rPr>
        <w:footnoteReference w:id="11"/>
      </w:r>
      <w:r w:rsidRPr="00801B09">
        <w:t xml:space="preserve"> och de särskilda åtgärderna inom ramen för Europeiska jordbruksfonden för landsbygdsutveckling (</w:t>
      </w:r>
      <w:proofErr w:type="spellStart"/>
      <w:r w:rsidRPr="00801B09">
        <w:t>Ejflu</w:t>
      </w:r>
      <w:proofErr w:type="spellEnd"/>
      <w:r w:rsidRPr="00801B09">
        <w:t>)</w:t>
      </w:r>
      <w:r w:rsidRPr="00801B09">
        <w:rPr>
          <w:noProof/>
          <w:vertAlign w:val="superscript"/>
        </w:rPr>
        <w:footnoteReference w:id="12"/>
      </w:r>
      <w:r w:rsidRPr="00801B09">
        <w:t xml:space="preserve"> ger </w:t>
      </w:r>
      <w:r w:rsidR="0062748F">
        <w:t>utökat</w:t>
      </w:r>
      <w:r w:rsidR="0062748F" w:rsidRPr="00801B09">
        <w:t xml:space="preserve"> </w:t>
      </w:r>
      <w:r w:rsidRPr="00801B09">
        <w:t xml:space="preserve">stöd till medlemsstater som drabbats av naturkatastrofer genom ytterligare flexibilitet i användningen av medlen. Parlamentet betonar att medlemsstaterna bör utnyttja dessa möjligheter. </w:t>
      </w:r>
    </w:p>
    <w:p w14:paraId="2F5B873C" w14:textId="77777777" w:rsidR="007137EA" w:rsidRPr="00801B09" w:rsidRDefault="007137EA" w:rsidP="007137EA">
      <w:pPr>
        <w:pStyle w:val="NormalHanging12a"/>
        <w:keepNext/>
        <w:keepLines/>
        <w:widowControl/>
        <w:rPr>
          <w:bCs/>
          <w:iCs/>
        </w:rPr>
      </w:pPr>
      <w:r w:rsidRPr="00801B09">
        <w:t>7.</w:t>
      </w:r>
      <w:r w:rsidRPr="00801B09">
        <w:tab/>
        <w:t>Europaparlamentet beklagar att det i genomsnitt tar ett år innan hela bidraget från solidaritetsfonden utbetalats till mottagaren. Parlamentet påminner om vikten av snabba och solida skadebedömningar som tar vederbörlig hänsyn till de ekonomiska återverkningarna, och efterlyser ökade operativa insatser för att minska den genomsnittliga tiden för frigörande av förskottsbetalningar, samtidigt som man säkerställer att unionens budget skyddas. Parlamentet noterar att man i metoden för beräkning av det totala stödbeloppet bättre skulle kunna ta hänsyn till förhållandet mellan den totala direkta skadan och det berörda territoriets BNI, i synnerhet om yttersta randområden berörs.</w:t>
      </w:r>
    </w:p>
    <w:p w14:paraId="655FE15C" w14:textId="3DC8DC29" w:rsidR="007137EA" w:rsidRPr="00801B09" w:rsidRDefault="007137EA" w:rsidP="007137EA">
      <w:pPr>
        <w:pStyle w:val="NormalHanging12a"/>
        <w:rPr>
          <w:noProof/>
        </w:rPr>
      </w:pPr>
      <w:r w:rsidRPr="00801B09">
        <w:t>8.</w:t>
      </w:r>
      <w:r w:rsidRPr="00801B09">
        <w:tab/>
        <w:t xml:space="preserve">Europaparlamentet betonar det akuta behovet av att frigöra omedelbart ekonomiskt stöd genom solidaritetsfonden så att stödet kan nå de drabbade regionerna i god tid för att </w:t>
      </w:r>
      <w:r w:rsidR="0062748F">
        <w:t xml:space="preserve">kunna främja </w:t>
      </w:r>
      <w:r w:rsidRPr="00801B09">
        <w:t xml:space="preserve">en snabb och varaktigt återhämtning. Parlamentet betonar vikten av att förkorta tiden mellan inlämnandet av en ansökan om stöd från fonden och </w:t>
      </w:r>
      <w:r w:rsidRPr="00801B09">
        <w:lastRenderedPageBreak/>
        <w:t>finansieringsbeslutet. Parlamentet efterlyser insatser för att se till att stödet från solidaritetsfonden snabbt når slutmottagarna, inbegripet företag, små och medelstora företag, familjer och drabbade medborgare, samt insatser för återuppbyggnad av infrastruktur och reparation av materiella skador, och att allt detta åtföljs av en tillhörande konsekvensbedömning och lämpliga kontrollmekanismer. Parlamentet understryker behovet av att förenkla och påskynda de interna förfarandena utan att undergräva den institutionella balansen, särskilt Europaparlamentets rättigheter som en av budgetmyndighetens två grenar. Parlamentet noterar att den föreslagna styrningen av efterföljaren till Europeiska solidaritetsfonden efter 2027 inte är i linje med Europaparlamentets ståndpunkt i resolutionen av den 7 maj 2025 om en uppdaterad långtidsbudget för unionen i en värld i förändring</w:t>
      </w:r>
      <w:r w:rsidRPr="00801B09">
        <w:rPr>
          <w:rStyle w:val="FootnoteReference"/>
          <w:bCs/>
          <w:iCs/>
        </w:rPr>
        <w:footnoteReference w:id="13"/>
      </w:r>
      <w:r w:rsidRPr="00801B09">
        <w:t xml:space="preserve">. </w:t>
      </w:r>
    </w:p>
    <w:p w14:paraId="2A557B16" w14:textId="77777777" w:rsidR="007137EA" w:rsidRPr="00801B09" w:rsidRDefault="007137EA" w:rsidP="007137EA">
      <w:pPr>
        <w:pStyle w:val="NormalHanging12a"/>
        <w:rPr>
          <w:noProof/>
        </w:rPr>
      </w:pPr>
      <w:r w:rsidRPr="00801B09">
        <w:t>9.</w:t>
      </w:r>
      <w:r w:rsidRPr="00801B09">
        <w:tab/>
        <w:t>Europaparlamentet godkänner det bifogade beslutet.</w:t>
      </w:r>
    </w:p>
    <w:p w14:paraId="2C5FCDB7" w14:textId="77777777" w:rsidR="007137EA" w:rsidRPr="00801B09" w:rsidRDefault="007137EA" w:rsidP="007137EA">
      <w:pPr>
        <w:pStyle w:val="NormalHanging12a"/>
        <w:rPr>
          <w:noProof/>
        </w:rPr>
      </w:pPr>
      <w:r w:rsidRPr="00801B09">
        <w:t>10.</w:t>
      </w:r>
      <w:r w:rsidRPr="00801B09">
        <w:tab/>
        <w:t xml:space="preserve">Europaparlamentet uppdrar åt talmannen att tillsammans med rådets ordförande underteckna beslutet och se till att det offentliggörs i </w:t>
      </w:r>
      <w:r w:rsidRPr="00801B09">
        <w:rPr>
          <w:i/>
        </w:rPr>
        <w:t>Europeiska unionens officiella tidning</w:t>
      </w:r>
      <w:r w:rsidRPr="00801B09">
        <w:t>.</w:t>
      </w:r>
    </w:p>
    <w:p w14:paraId="7263AD55" w14:textId="77777777" w:rsidR="007137EA" w:rsidRPr="00801B09" w:rsidRDefault="007137EA" w:rsidP="007137EA">
      <w:pPr>
        <w:pStyle w:val="NormalHanging12a"/>
        <w:rPr>
          <w:noProof/>
        </w:rPr>
      </w:pPr>
      <w:r w:rsidRPr="00801B09">
        <w:t>11.</w:t>
      </w:r>
      <w:r w:rsidRPr="00801B09">
        <w:tab/>
        <w:t>Europaparlamentet uppdrar åt talmannen att översända denna resolution med bilaga till rådet och kommissionen.</w:t>
      </w:r>
    </w:p>
    <w:p w14:paraId="74FD9D7F" w14:textId="77777777" w:rsidR="007137EA" w:rsidRPr="00801B09" w:rsidRDefault="007137EA" w:rsidP="007137EA">
      <w:pPr>
        <w:pStyle w:val="PageHeading"/>
        <w:jc w:val="left"/>
        <w:rPr>
          <w:noProof/>
        </w:rPr>
        <w:sectPr w:rsidR="007137EA" w:rsidRPr="00801B09" w:rsidSect="00801B0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17F864" w14:textId="77777777" w:rsidR="00E125A4" w:rsidRPr="00E125A4" w:rsidRDefault="007137EA" w:rsidP="007137EA">
      <w:pPr>
        <w:pStyle w:val="PageHeading"/>
        <w:rPr>
          <w:rFonts w:ascii="Times New Roman" w:hAnsi="Times New Roman" w:cs="Times New Roman"/>
        </w:rPr>
      </w:pPr>
      <w:bookmarkStart w:id="7" w:name="_Toc213752516"/>
      <w:r w:rsidRPr="00E125A4">
        <w:rPr>
          <w:rFonts w:ascii="Times New Roman" w:hAnsi="Times New Roman" w:cs="Times New Roman"/>
        </w:rPr>
        <w:lastRenderedPageBreak/>
        <w:t>BILAGA</w:t>
      </w:r>
    </w:p>
    <w:p w14:paraId="409008A6" w14:textId="73174DFE" w:rsidR="007137EA" w:rsidRPr="00E125A4" w:rsidRDefault="007137EA" w:rsidP="007137EA">
      <w:pPr>
        <w:pStyle w:val="PageHeading"/>
        <w:rPr>
          <w:rFonts w:ascii="Times New Roman" w:hAnsi="Times New Roman" w:cs="Times New Roman"/>
          <w:noProof/>
        </w:rPr>
      </w:pPr>
      <w:r w:rsidRPr="00E125A4">
        <w:rPr>
          <w:rFonts w:ascii="Times New Roman" w:hAnsi="Times New Roman" w:cs="Times New Roman"/>
        </w:rPr>
        <w:t>EUROPAPARLAMENTETS OCH RÅDETS BESLUT</w:t>
      </w:r>
      <w:bookmarkEnd w:id="7"/>
    </w:p>
    <w:p w14:paraId="70A8975A" w14:textId="77777777" w:rsidR="007137EA" w:rsidRDefault="007137EA" w:rsidP="00E125A4">
      <w:pPr>
        <w:pStyle w:val="NormalBold24a"/>
        <w:jc w:val="center"/>
      </w:pPr>
      <w:r w:rsidRPr="00801B09">
        <w:t xml:space="preserve">om ianspråktagande av Europeiska unionens solidaritetsfond för att ge stöd till Spanien med anledning av översvämningarna i Valenciaregionen i Spanien i oktober 2024 och till Frankrike med anledning av de skador som cyklonen </w:t>
      </w:r>
      <w:proofErr w:type="spellStart"/>
      <w:r w:rsidRPr="00801B09">
        <w:t>Chido</w:t>
      </w:r>
      <w:proofErr w:type="spellEnd"/>
      <w:r w:rsidRPr="00801B09">
        <w:t xml:space="preserve"> orsakade på Mayotte i december 2024 och som cyklonen </w:t>
      </w:r>
      <w:proofErr w:type="spellStart"/>
      <w:r w:rsidRPr="00801B09">
        <w:t>Garance</w:t>
      </w:r>
      <w:proofErr w:type="spellEnd"/>
      <w:r w:rsidRPr="00801B09">
        <w:t xml:space="preserve"> orsakade på Réunion i februari 2025</w:t>
      </w:r>
    </w:p>
    <w:p w14:paraId="1E982E0C" w14:textId="4192319A" w:rsidR="00E125A4" w:rsidRPr="00E125A4" w:rsidRDefault="00E125A4" w:rsidP="00E125A4">
      <w:pPr>
        <w:widowControl/>
        <w:jc w:val="both"/>
        <w:rPr>
          <w:rFonts w:eastAsia="Calibri"/>
          <w:i/>
          <w:szCs w:val="24"/>
          <w:lang w:eastAsia="en-US"/>
        </w:rPr>
      </w:pPr>
      <w:r w:rsidRPr="00E125A4">
        <w:rPr>
          <w:rFonts w:eastAsia="Calibri"/>
          <w:i/>
          <w:szCs w:val="24"/>
          <w:lang w:eastAsia="en-US"/>
        </w:rPr>
        <w:t xml:space="preserve">(Texten till denna bilaga återges inte här eftersom den motsvaras av den slutliga rättsakten, beslut (EU) </w:t>
      </w:r>
      <w:r>
        <w:rPr>
          <w:rFonts w:eastAsia="Calibri"/>
          <w:i/>
          <w:szCs w:val="24"/>
          <w:lang w:eastAsia="en-US"/>
        </w:rPr>
        <w:t>2025</w:t>
      </w:r>
      <w:r w:rsidRPr="00E125A4">
        <w:rPr>
          <w:rFonts w:eastAsia="Calibri"/>
          <w:i/>
          <w:szCs w:val="24"/>
          <w:lang w:eastAsia="en-US"/>
        </w:rPr>
        <w:t>/</w:t>
      </w:r>
      <w:r>
        <w:rPr>
          <w:rFonts w:eastAsia="Calibri"/>
          <w:i/>
          <w:szCs w:val="24"/>
          <w:lang w:eastAsia="en-US"/>
        </w:rPr>
        <w:t>2403</w:t>
      </w:r>
      <w:r w:rsidRPr="00E125A4">
        <w:rPr>
          <w:rFonts w:eastAsia="Calibri"/>
          <w:i/>
          <w:szCs w:val="24"/>
          <w:lang w:eastAsia="en-US"/>
        </w:rPr>
        <w:t>.)</w:t>
      </w:r>
    </w:p>
    <w:p w14:paraId="40552C7A" w14:textId="77777777" w:rsidR="00E125A4" w:rsidRPr="00801B09" w:rsidRDefault="00E125A4" w:rsidP="00E125A4">
      <w:pPr>
        <w:pStyle w:val="NormalBold24a"/>
        <w:jc w:val="center"/>
      </w:pPr>
    </w:p>
    <w:sectPr w:rsidR="00E125A4" w:rsidRPr="00801B09" w:rsidSect="00801B0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1EE90" w14:textId="77777777" w:rsidR="00B73736" w:rsidRPr="00801B09" w:rsidRDefault="00B73736">
      <w:r w:rsidRPr="00801B09">
        <w:separator/>
      </w:r>
    </w:p>
  </w:endnote>
  <w:endnote w:type="continuationSeparator" w:id="0">
    <w:p w14:paraId="0583A843" w14:textId="77777777" w:rsidR="00B73736" w:rsidRPr="00801B09" w:rsidRDefault="00B73736">
      <w:r w:rsidRPr="00801B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B770B" w14:textId="77777777" w:rsidR="007137EA" w:rsidRPr="00801B09" w:rsidRDefault="007137EA" w:rsidP="006D2997">
    <w:pPr>
      <w:pStyle w:val="EPFooter"/>
    </w:pPr>
    <w:r w:rsidRPr="00801B09">
      <w:t>PE</w:t>
    </w:r>
    <w:r w:rsidRPr="00801B09">
      <w:rPr>
        <w:rStyle w:val="HideTWBExt"/>
      </w:rPr>
      <w:t>&lt;NoPE&gt;</w:t>
    </w:r>
    <w:r w:rsidRPr="00801B09">
      <w:t>778.223</w:t>
    </w:r>
    <w:r w:rsidRPr="00801B09">
      <w:rPr>
        <w:rStyle w:val="HideTWBExt"/>
      </w:rPr>
      <w:t>&lt;/NoPE&gt;&lt;Version&gt;</w:t>
    </w:r>
    <w:r w:rsidRPr="00801B09">
      <w:t>v02-00</w:t>
    </w:r>
    <w:r w:rsidRPr="00801B09">
      <w:rPr>
        <w:rStyle w:val="HideTWBExt"/>
      </w:rPr>
      <w:t>&lt;/Version&gt;</w:t>
    </w:r>
    <w:r w:rsidRPr="00801B09">
      <w:tab/>
    </w:r>
    <w:r w:rsidRPr="00801B09">
      <w:fldChar w:fldCharType="begin"/>
    </w:r>
    <w:r w:rsidRPr="00801B09">
      <w:instrText xml:space="preserve"> PAGE  \* MERGEFORMAT </w:instrText>
    </w:r>
    <w:r w:rsidRPr="00801B09">
      <w:fldChar w:fldCharType="separate"/>
    </w:r>
    <w:r w:rsidRPr="00801B09">
      <w:rPr>
        <w:noProof/>
      </w:rPr>
      <w:t>1</w:t>
    </w:r>
    <w:r w:rsidRPr="00801B09">
      <w:fldChar w:fldCharType="end"/>
    </w:r>
    <w:r w:rsidRPr="00801B09">
      <w:t>/</w:t>
    </w:r>
    <w:r w:rsidR="00E125A4">
      <w:fldChar w:fldCharType="begin"/>
    </w:r>
    <w:r w:rsidR="00E125A4">
      <w:instrText xml:space="preserve"> NUMPAGES  \* MERGEFORMAT </w:instrText>
    </w:r>
    <w:r w:rsidR="00E125A4">
      <w:fldChar w:fldCharType="separate"/>
    </w:r>
    <w:r w:rsidRPr="00801B09">
      <w:rPr>
        <w:noProof/>
      </w:rPr>
      <w:t>1</w:t>
    </w:r>
    <w:r w:rsidR="00E125A4">
      <w:rPr>
        <w:noProof/>
      </w:rPr>
      <w:fldChar w:fldCharType="end"/>
    </w:r>
    <w:r w:rsidRPr="00801B09">
      <w:tab/>
    </w:r>
    <w:r w:rsidRPr="00801B09">
      <w:rPr>
        <w:rStyle w:val="HideTWBExt"/>
      </w:rPr>
      <w:t>&lt;PathFdR&gt;</w:t>
    </w:r>
    <w:r w:rsidRPr="00801B09">
      <w:t>RR\1331466SV.docx</w:t>
    </w:r>
    <w:r w:rsidRPr="00801B09">
      <w:rPr>
        <w:rStyle w:val="HideTWBExt"/>
      </w:rPr>
      <w:t>&lt;/PathFdR&gt;</w:t>
    </w:r>
  </w:p>
  <w:p w14:paraId="19D29F7D" w14:textId="77777777" w:rsidR="007137EA" w:rsidRPr="00801B09" w:rsidRDefault="007137EA" w:rsidP="006D2997">
    <w:pPr>
      <w:pStyle w:val="EPFooter2"/>
    </w:pPr>
    <w:r w:rsidRPr="00801B09">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7FE08" w14:textId="77777777" w:rsidR="007137EA" w:rsidRPr="00801B09" w:rsidRDefault="007137EA" w:rsidP="006D2997">
    <w:pPr>
      <w:pStyle w:val="EPFooter"/>
    </w:pPr>
    <w:r w:rsidRPr="00801B09">
      <w:rPr>
        <w:rStyle w:val="HideTWBExt"/>
      </w:rPr>
      <w:t>&lt;PathFdR&gt;</w:t>
    </w:r>
    <w:r w:rsidRPr="00801B09">
      <w:t>RR\1331466SV.docx</w:t>
    </w:r>
    <w:r w:rsidRPr="00801B09">
      <w:rPr>
        <w:rStyle w:val="HideTWBExt"/>
      </w:rPr>
      <w:t>&lt;/PathFdR&gt;</w:t>
    </w:r>
    <w:r w:rsidRPr="00801B09">
      <w:tab/>
    </w:r>
    <w:r w:rsidRPr="00801B09">
      <w:tab/>
      <w:t>PE</w:t>
    </w:r>
    <w:r w:rsidRPr="00801B09">
      <w:rPr>
        <w:rStyle w:val="HideTWBExt"/>
      </w:rPr>
      <w:t>&lt;NoPE&gt;</w:t>
    </w:r>
    <w:r w:rsidRPr="00801B09">
      <w:t>778.223</w:t>
    </w:r>
    <w:r w:rsidRPr="00801B09">
      <w:rPr>
        <w:rStyle w:val="HideTWBExt"/>
      </w:rPr>
      <w:t>&lt;/NoPE&gt;&lt;Version&gt;</w:t>
    </w:r>
    <w:r w:rsidRPr="00801B09">
      <w:t>v02-00</w:t>
    </w:r>
    <w:r w:rsidRPr="00801B09">
      <w:rPr>
        <w:rStyle w:val="HideTWBExt"/>
      </w:rPr>
      <w:t>&lt;/Version&gt;</w:t>
    </w:r>
  </w:p>
  <w:p w14:paraId="1B2930CE" w14:textId="77777777" w:rsidR="007137EA" w:rsidRPr="00801B09" w:rsidRDefault="007137EA" w:rsidP="006D2997">
    <w:pPr>
      <w:pStyle w:val="EPFooter2"/>
    </w:pPr>
    <w:r w:rsidRPr="00801B09">
      <w:t>SV</w:t>
    </w:r>
    <w:r w:rsidRPr="00801B09">
      <w:tab/>
    </w:r>
    <w:r w:rsidRPr="00801B09">
      <w:rPr>
        <w:b w:val="0"/>
        <w:i/>
        <w:color w:val="C0C0C0"/>
        <w:sz w:val="22"/>
      </w:rPr>
      <w:t>Förenade i mångfalden</w:t>
    </w:r>
    <w:r w:rsidRPr="00801B09">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25ED4" w14:textId="77777777" w:rsidR="00064002" w:rsidRPr="00801B0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8E7C8" w14:textId="77777777" w:rsidR="00064002" w:rsidRPr="00801B0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793BA" w14:textId="77777777" w:rsidR="00064002" w:rsidRPr="00801B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07695" w14:textId="77777777" w:rsidR="00B73736" w:rsidRPr="00801B09" w:rsidRDefault="00B73736">
      <w:r w:rsidRPr="00801B09">
        <w:separator/>
      </w:r>
    </w:p>
  </w:footnote>
  <w:footnote w:type="continuationSeparator" w:id="0">
    <w:p w14:paraId="739D54E3" w14:textId="77777777" w:rsidR="00B73736" w:rsidRPr="00801B09" w:rsidRDefault="00B73736">
      <w:r w:rsidRPr="00801B09">
        <w:continuationSeparator/>
      </w:r>
    </w:p>
  </w:footnote>
  <w:footnote w:id="1">
    <w:p w14:paraId="29C05B7F" w14:textId="12EFC9B6" w:rsidR="007137EA" w:rsidRPr="00110AAA" w:rsidRDefault="007137EA" w:rsidP="00801B09">
      <w:pPr>
        <w:pStyle w:val="FootnoteText"/>
        <w:ind w:left="567" w:hanging="567"/>
        <w:rPr>
          <w:sz w:val="24"/>
          <w:lang w:val="fi-FI"/>
        </w:rPr>
      </w:pPr>
      <w:r w:rsidRPr="00801B09">
        <w:rPr>
          <w:rStyle w:val="FootnoteReference"/>
          <w:sz w:val="24"/>
          <w:lang w:val="sv-SE"/>
        </w:rPr>
        <w:footnoteRef/>
      </w:r>
      <w:r w:rsidR="00801B09" w:rsidRPr="00110AAA">
        <w:rPr>
          <w:sz w:val="24"/>
          <w:lang w:val="fi-FI"/>
        </w:rPr>
        <w:t xml:space="preserve"> </w:t>
      </w:r>
      <w:r w:rsidR="00801B09" w:rsidRPr="00110AAA">
        <w:rPr>
          <w:sz w:val="24"/>
          <w:lang w:val="fi-FI"/>
        </w:rPr>
        <w:tab/>
      </w:r>
      <w:r w:rsidRPr="00110AAA">
        <w:rPr>
          <w:sz w:val="24"/>
          <w:lang w:val="fi-FI"/>
        </w:rPr>
        <w:t xml:space="preserve">EGT L 311, 14.11.2002, s. 3, ELI: </w:t>
      </w:r>
      <w:hyperlink r:id="rId1" w:history="1">
        <w:r w:rsidRPr="00110AAA">
          <w:rPr>
            <w:rStyle w:val="Hyperlink"/>
            <w:sz w:val="24"/>
            <w:lang w:val="fi-FI"/>
          </w:rPr>
          <w:t>http://data.europa.eu/eli/reg/2002/2012/oj</w:t>
        </w:r>
      </w:hyperlink>
      <w:r w:rsidRPr="00110AAA">
        <w:rPr>
          <w:sz w:val="24"/>
          <w:lang w:val="fi-FI"/>
        </w:rPr>
        <w:t>.</w:t>
      </w:r>
    </w:p>
  </w:footnote>
  <w:footnote w:id="2">
    <w:p w14:paraId="5382EA9B" w14:textId="46C14270" w:rsidR="007137EA" w:rsidRPr="00110AAA" w:rsidRDefault="007137EA" w:rsidP="00801B09">
      <w:pPr>
        <w:pStyle w:val="FootnoteText"/>
        <w:ind w:left="567" w:hanging="567"/>
        <w:rPr>
          <w:sz w:val="24"/>
          <w:lang w:val="fi-FI"/>
        </w:rPr>
      </w:pPr>
      <w:r w:rsidRPr="00801B09">
        <w:rPr>
          <w:rStyle w:val="FootnoteReference"/>
          <w:sz w:val="24"/>
          <w:lang w:val="sv-SE"/>
        </w:rPr>
        <w:footnoteRef/>
      </w:r>
      <w:r w:rsidR="00801B09" w:rsidRPr="00110AAA">
        <w:rPr>
          <w:sz w:val="24"/>
          <w:lang w:val="fi-FI"/>
        </w:rPr>
        <w:t xml:space="preserve"> </w:t>
      </w:r>
      <w:r w:rsidR="00801B09" w:rsidRPr="00110AAA">
        <w:rPr>
          <w:sz w:val="24"/>
          <w:lang w:val="fi-FI"/>
        </w:rPr>
        <w:tab/>
      </w:r>
      <w:r w:rsidRPr="00110AAA">
        <w:rPr>
          <w:sz w:val="24"/>
          <w:lang w:val="fi-FI"/>
        </w:rPr>
        <w:t xml:space="preserve">EUT L 433 I, 22.12.2020, s. 11, ELI: </w:t>
      </w:r>
      <w:hyperlink r:id="rId2" w:history="1">
        <w:r w:rsidRPr="00110AAA">
          <w:rPr>
            <w:rStyle w:val="Hyperlink"/>
            <w:sz w:val="24"/>
            <w:lang w:val="fi-FI"/>
          </w:rPr>
          <w:t>http://data.europa.eu/eli/reg/2020/2093/oj</w:t>
        </w:r>
      </w:hyperlink>
      <w:r w:rsidRPr="00110AAA">
        <w:rPr>
          <w:sz w:val="24"/>
          <w:lang w:val="fi-FI"/>
        </w:rPr>
        <w:t>.</w:t>
      </w:r>
    </w:p>
  </w:footnote>
  <w:footnote w:id="3">
    <w:p w14:paraId="606F237C" w14:textId="5672E12D" w:rsidR="007137EA" w:rsidRPr="00110AAA" w:rsidRDefault="007137EA" w:rsidP="00801B09">
      <w:pPr>
        <w:pStyle w:val="FootnoteText"/>
        <w:ind w:left="567" w:hanging="567"/>
        <w:rPr>
          <w:sz w:val="24"/>
          <w:lang w:val="fi-FI"/>
        </w:rPr>
      </w:pPr>
      <w:r w:rsidRPr="00801B09">
        <w:rPr>
          <w:rStyle w:val="FootnoteReference"/>
          <w:sz w:val="24"/>
          <w:lang w:val="sv-SE"/>
        </w:rPr>
        <w:footnoteRef/>
      </w:r>
      <w:r w:rsidR="00801B09" w:rsidRPr="00110AAA">
        <w:rPr>
          <w:sz w:val="24"/>
          <w:lang w:val="fi-FI"/>
        </w:rPr>
        <w:t xml:space="preserve"> </w:t>
      </w:r>
      <w:r w:rsidR="00801B09" w:rsidRPr="00110AAA">
        <w:rPr>
          <w:sz w:val="24"/>
          <w:lang w:val="fi-FI"/>
        </w:rPr>
        <w:tab/>
      </w:r>
      <w:r w:rsidRPr="00110AAA">
        <w:rPr>
          <w:sz w:val="24"/>
          <w:lang w:val="fi-FI"/>
        </w:rPr>
        <w:t xml:space="preserve">EUT L 433 I, 22.12.2020, s. 28, ELI: </w:t>
      </w:r>
      <w:hyperlink r:id="rId3" w:history="1">
        <w:r w:rsidRPr="00110AAA">
          <w:rPr>
            <w:rStyle w:val="Hyperlink"/>
            <w:sz w:val="24"/>
            <w:lang w:val="fi-FI"/>
          </w:rPr>
          <w:t>http://data.europa.eu/eli/agree_interinstit/2020/1222/oj</w:t>
        </w:r>
      </w:hyperlink>
      <w:r w:rsidRPr="00110AAA">
        <w:rPr>
          <w:sz w:val="24"/>
          <w:lang w:val="fi-FI"/>
        </w:rPr>
        <w:t>.</w:t>
      </w:r>
    </w:p>
  </w:footnote>
  <w:footnote w:id="4">
    <w:p w14:paraId="22B12A75" w14:textId="6B95C723" w:rsidR="007137EA" w:rsidRPr="00110AAA" w:rsidRDefault="007137EA" w:rsidP="00801B09">
      <w:pPr>
        <w:pStyle w:val="FootnoteText"/>
        <w:ind w:left="567" w:hanging="567"/>
        <w:rPr>
          <w:sz w:val="24"/>
          <w:lang w:val="fi-FI"/>
        </w:rPr>
      </w:pPr>
      <w:r w:rsidRPr="00801B09">
        <w:rPr>
          <w:rStyle w:val="FootnoteReference"/>
          <w:sz w:val="24"/>
          <w:lang w:val="sv-SE"/>
        </w:rPr>
        <w:footnoteRef/>
      </w:r>
      <w:r w:rsidR="00801B09" w:rsidRPr="00110AAA">
        <w:rPr>
          <w:sz w:val="24"/>
          <w:lang w:val="fi-FI"/>
        </w:rPr>
        <w:t xml:space="preserve"> </w:t>
      </w:r>
      <w:r w:rsidR="00801B09" w:rsidRPr="00110AAA">
        <w:rPr>
          <w:sz w:val="24"/>
          <w:lang w:val="fi-FI"/>
        </w:rPr>
        <w:tab/>
      </w:r>
      <w:r w:rsidRPr="00110AAA">
        <w:rPr>
          <w:sz w:val="24"/>
          <w:lang w:val="fi-FI"/>
        </w:rPr>
        <w:t xml:space="preserve">EUT L 231, 30.6.2021, s. 60, ELI: </w:t>
      </w:r>
      <w:hyperlink r:id="rId4" w:history="1">
        <w:r w:rsidRPr="00110AAA">
          <w:rPr>
            <w:rStyle w:val="Hyperlink"/>
            <w:sz w:val="24"/>
            <w:lang w:val="fi-FI"/>
          </w:rPr>
          <w:t>http://data.europa.eu/eli/reg/2021/1058/oj</w:t>
        </w:r>
      </w:hyperlink>
      <w:r w:rsidRPr="00110AAA">
        <w:rPr>
          <w:sz w:val="24"/>
          <w:lang w:val="fi-FI"/>
        </w:rPr>
        <w:t>.</w:t>
      </w:r>
    </w:p>
  </w:footnote>
  <w:footnote w:id="5">
    <w:p w14:paraId="01B69F40" w14:textId="2B1B9309" w:rsidR="007137EA" w:rsidRPr="00110AAA" w:rsidRDefault="007137EA" w:rsidP="00801B09">
      <w:pPr>
        <w:pStyle w:val="FootnoteText"/>
        <w:ind w:left="567" w:hanging="567"/>
        <w:rPr>
          <w:sz w:val="24"/>
          <w:lang w:val="fi-FI"/>
        </w:rPr>
      </w:pPr>
      <w:r w:rsidRPr="00801B09">
        <w:rPr>
          <w:rStyle w:val="FootnoteReference"/>
          <w:sz w:val="24"/>
          <w:lang w:val="sv-SE"/>
        </w:rPr>
        <w:footnoteRef/>
      </w:r>
      <w:r w:rsidR="00801B09" w:rsidRPr="00110AAA">
        <w:rPr>
          <w:sz w:val="24"/>
          <w:lang w:val="fi-FI"/>
        </w:rPr>
        <w:t xml:space="preserve"> </w:t>
      </w:r>
      <w:r w:rsidR="00801B09" w:rsidRPr="00110AAA">
        <w:rPr>
          <w:sz w:val="24"/>
          <w:lang w:val="fi-FI"/>
        </w:rPr>
        <w:tab/>
      </w:r>
      <w:r w:rsidRPr="00110AAA">
        <w:rPr>
          <w:sz w:val="24"/>
          <w:lang w:val="fi-FI"/>
        </w:rPr>
        <w:t xml:space="preserve">EUT L 231, 30.6.2021, s. 21, ELI: </w:t>
      </w:r>
      <w:hyperlink r:id="rId5" w:history="1">
        <w:r w:rsidRPr="00110AAA">
          <w:rPr>
            <w:rStyle w:val="Hyperlink"/>
            <w:sz w:val="24"/>
            <w:lang w:val="fi-FI"/>
          </w:rPr>
          <w:t>http://data.europa.eu/eli/reg/2021/1057/oj</w:t>
        </w:r>
      </w:hyperlink>
      <w:r w:rsidRPr="00110AAA">
        <w:rPr>
          <w:sz w:val="24"/>
          <w:lang w:val="fi-FI"/>
        </w:rPr>
        <w:t>.</w:t>
      </w:r>
    </w:p>
  </w:footnote>
  <w:footnote w:id="6">
    <w:p w14:paraId="56081E6F" w14:textId="2C9100A6" w:rsidR="007137EA" w:rsidRPr="00110AAA" w:rsidRDefault="007137EA" w:rsidP="00801B09">
      <w:pPr>
        <w:pStyle w:val="FootnoteText"/>
        <w:ind w:left="567" w:hanging="567"/>
        <w:rPr>
          <w:sz w:val="24"/>
          <w:lang w:val="fi-FI"/>
        </w:rPr>
      </w:pPr>
      <w:r w:rsidRPr="00801B09">
        <w:rPr>
          <w:rStyle w:val="FootnoteReference"/>
          <w:sz w:val="24"/>
          <w:lang w:val="sv-SE"/>
        </w:rPr>
        <w:footnoteRef/>
      </w:r>
      <w:r w:rsidR="00801B09" w:rsidRPr="00110AAA">
        <w:rPr>
          <w:sz w:val="24"/>
          <w:lang w:val="fi-FI"/>
        </w:rPr>
        <w:t xml:space="preserve"> </w:t>
      </w:r>
      <w:r w:rsidR="00801B09" w:rsidRPr="00110AAA">
        <w:rPr>
          <w:sz w:val="24"/>
          <w:lang w:val="fi-FI"/>
        </w:rPr>
        <w:tab/>
      </w:r>
      <w:r w:rsidRPr="00110AAA">
        <w:rPr>
          <w:sz w:val="24"/>
          <w:lang w:val="fi-FI"/>
        </w:rPr>
        <w:t xml:space="preserve">EUT L 435, 6.12.2021, s. 1, ELI: </w:t>
      </w:r>
      <w:hyperlink r:id="rId6" w:history="1">
        <w:r w:rsidRPr="00110AAA">
          <w:rPr>
            <w:rStyle w:val="Hyperlink"/>
            <w:sz w:val="24"/>
            <w:lang w:val="fi-FI"/>
          </w:rPr>
          <w:t>http://data.europa.eu/eli/reg/2021/2115/oj</w:t>
        </w:r>
      </w:hyperlink>
      <w:r w:rsidR="00777F77" w:rsidRPr="00110AAA">
        <w:rPr>
          <w:sz w:val="24"/>
          <w:lang w:val="fi-FI"/>
        </w:rPr>
        <w:t>.</w:t>
      </w:r>
    </w:p>
  </w:footnote>
  <w:footnote w:id="7">
    <w:p w14:paraId="10846D68" w14:textId="233E70B1" w:rsidR="007137EA" w:rsidRPr="00801B09" w:rsidRDefault="007137EA" w:rsidP="00801B09">
      <w:pPr>
        <w:pStyle w:val="FootnoteText"/>
        <w:ind w:left="567" w:hanging="567"/>
        <w:rPr>
          <w:sz w:val="24"/>
          <w:lang w:val="sv-SE"/>
        </w:rPr>
      </w:pPr>
      <w:r w:rsidRPr="00801B09">
        <w:rPr>
          <w:rStyle w:val="FootnoteReference"/>
          <w:sz w:val="24"/>
          <w:lang w:val="sv-SE"/>
        </w:rPr>
        <w:footnoteRef/>
      </w:r>
      <w:r w:rsidR="00801B09" w:rsidRPr="00801B09">
        <w:rPr>
          <w:sz w:val="24"/>
          <w:lang w:val="sv-SE"/>
        </w:rPr>
        <w:t xml:space="preserve"> </w:t>
      </w:r>
      <w:r w:rsidR="00801B09" w:rsidRPr="00801B09">
        <w:rPr>
          <w:sz w:val="24"/>
          <w:lang w:val="sv-SE"/>
        </w:rPr>
        <w:tab/>
      </w:r>
      <w:r w:rsidRPr="00801B09">
        <w:rPr>
          <w:sz w:val="24"/>
          <w:lang w:val="sv-SE"/>
        </w:rPr>
        <w:t>Antagna texter, P10_TA(2024)0059.</w:t>
      </w:r>
    </w:p>
  </w:footnote>
  <w:footnote w:id="8">
    <w:p w14:paraId="4365FA89" w14:textId="239B5AAB" w:rsidR="007137EA" w:rsidRPr="00801B09" w:rsidRDefault="007137EA" w:rsidP="00801B09">
      <w:pPr>
        <w:pStyle w:val="FootnoteText"/>
        <w:ind w:left="567" w:hanging="567"/>
        <w:rPr>
          <w:sz w:val="24"/>
          <w:lang w:val="sv-SE"/>
        </w:rPr>
      </w:pPr>
      <w:r w:rsidRPr="00801B09">
        <w:rPr>
          <w:rStyle w:val="FootnoteReference"/>
          <w:sz w:val="24"/>
          <w:lang w:val="sv-SE"/>
        </w:rPr>
        <w:footnoteRef/>
      </w:r>
      <w:r w:rsidR="00801B09" w:rsidRPr="00801B09">
        <w:rPr>
          <w:sz w:val="24"/>
          <w:lang w:val="sv-SE"/>
        </w:rPr>
        <w:t xml:space="preserve"> </w:t>
      </w:r>
      <w:r w:rsidR="00801B09" w:rsidRPr="00801B09">
        <w:rPr>
          <w:sz w:val="24"/>
          <w:lang w:val="sv-SE"/>
        </w:rPr>
        <w:tab/>
      </w:r>
      <w:r w:rsidRPr="00801B09">
        <w:rPr>
          <w:sz w:val="24"/>
          <w:lang w:val="sv-SE"/>
        </w:rPr>
        <w:t>Antagna texter, P10_TA(2025)0090.</w:t>
      </w:r>
    </w:p>
  </w:footnote>
  <w:footnote w:id="9">
    <w:p w14:paraId="3A4925BF" w14:textId="35A0AF8A" w:rsidR="007137EA" w:rsidRPr="00801B09" w:rsidRDefault="007137EA" w:rsidP="00801B09">
      <w:pPr>
        <w:pStyle w:val="FootnoteText"/>
        <w:ind w:left="567" w:hanging="567"/>
        <w:rPr>
          <w:sz w:val="24"/>
          <w:lang w:val="sv-SE"/>
        </w:rPr>
      </w:pPr>
      <w:r w:rsidRPr="00801B09">
        <w:rPr>
          <w:rStyle w:val="FootnoteReference"/>
          <w:sz w:val="24"/>
          <w:lang w:val="sv-SE"/>
        </w:rPr>
        <w:footnoteRef/>
      </w:r>
      <w:r w:rsidR="00801B09" w:rsidRPr="00801B09">
        <w:rPr>
          <w:sz w:val="24"/>
          <w:lang w:val="sv-SE"/>
        </w:rPr>
        <w:t xml:space="preserve"> </w:t>
      </w:r>
      <w:r w:rsidR="00801B09" w:rsidRPr="00801B09">
        <w:rPr>
          <w:sz w:val="24"/>
          <w:lang w:val="sv-SE"/>
        </w:rPr>
        <w:tab/>
      </w:r>
      <w:hyperlink r:id="rId7" w:history="1">
        <w:r w:rsidRPr="00801B09">
          <w:rPr>
            <w:rStyle w:val="Hyperlink"/>
            <w:sz w:val="24"/>
            <w:lang w:val="sv-SE"/>
          </w:rPr>
          <w:t>https://www.eea.europa.eu/publications/european-climate-risk-assessment</w:t>
        </w:r>
      </w:hyperlink>
      <w:r w:rsidR="00777F77">
        <w:rPr>
          <w:sz w:val="24"/>
          <w:lang w:val="sv-SE"/>
        </w:rPr>
        <w:t>.</w:t>
      </w:r>
    </w:p>
  </w:footnote>
  <w:footnote w:id="10">
    <w:p w14:paraId="2339F145" w14:textId="367716D1" w:rsidR="007137EA" w:rsidRPr="00801B09" w:rsidRDefault="007137EA" w:rsidP="00801B09">
      <w:pPr>
        <w:pStyle w:val="FootnoteText"/>
        <w:ind w:left="567" w:hanging="567"/>
        <w:rPr>
          <w:sz w:val="24"/>
          <w:lang w:val="sv-SE"/>
        </w:rPr>
      </w:pPr>
      <w:r w:rsidRPr="00801B09">
        <w:rPr>
          <w:rStyle w:val="FootnoteReference"/>
          <w:sz w:val="24"/>
          <w:lang w:val="sv-SE"/>
        </w:rPr>
        <w:footnoteRef/>
      </w:r>
      <w:r w:rsidR="00801B09" w:rsidRPr="00801B09">
        <w:rPr>
          <w:sz w:val="24"/>
          <w:lang w:val="sv-SE"/>
        </w:rPr>
        <w:t xml:space="preserve"> </w:t>
      </w:r>
      <w:r w:rsidR="00801B09" w:rsidRPr="00801B09">
        <w:rPr>
          <w:sz w:val="24"/>
          <w:lang w:val="sv-SE"/>
        </w:rPr>
        <w:tab/>
      </w:r>
      <w:r w:rsidRPr="00801B09">
        <w:rPr>
          <w:sz w:val="24"/>
          <w:lang w:val="sv-SE"/>
        </w:rPr>
        <w:t xml:space="preserve">Europaparlamentets och rådets förordning (EU) 2021/241 av den 12 februari 2021 om inrättande av faciliteten för återhämtning och </w:t>
      </w:r>
      <w:proofErr w:type="spellStart"/>
      <w:r w:rsidRPr="00801B09">
        <w:rPr>
          <w:sz w:val="24"/>
          <w:lang w:val="sv-SE"/>
        </w:rPr>
        <w:t>resiliens</w:t>
      </w:r>
      <w:proofErr w:type="spellEnd"/>
      <w:r w:rsidRPr="00801B09">
        <w:rPr>
          <w:sz w:val="24"/>
          <w:lang w:val="sv-SE"/>
        </w:rPr>
        <w:t xml:space="preserve"> (EUT L 57, 18.2.2021, s. 17, </w:t>
      </w:r>
      <w:r w:rsidRPr="00801B09">
        <w:rPr>
          <w:color w:val="333333"/>
          <w:sz w:val="24"/>
          <w:shd w:val="clear" w:color="auto" w:fill="FFFFFF"/>
          <w:lang w:val="sv-SE"/>
        </w:rPr>
        <w:t>ELI: </w:t>
      </w:r>
      <w:hyperlink r:id="rId8" w:tooltip="Ger tillgång till detta dokument via dess ELI URI." w:history="1">
        <w:r w:rsidRPr="00801B09">
          <w:rPr>
            <w:rStyle w:val="Hyperlink"/>
            <w:color w:val="23527C"/>
            <w:sz w:val="24"/>
            <w:shd w:val="clear" w:color="auto" w:fill="FFFFFF"/>
            <w:lang w:val="sv-SE"/>
          </w:rPr>
          <w:t>http://data.europa.eu/</w:t>
        </w:r>
        <w:proofErr w:type="spellStart"/>
        <w:r w:rsidRPr="00801B09">
          <w:rPr>
            <w:rStyle w:val="Hyperlink"/>
            <w:color w:val="23527C"/>
            <w:sz w:val="24"/>
            <w:shd w:val="clear" w:color="auto" w:fill="FFFFFF"/>
            <w:lang w:val="sv-SE"/>
          </w:rPr>
          <w:t>eli</w:t>
        </w:r>
        <w:proofErr w:type="spellEnd"/>
        <w:r w:rsidRPr="00801B09">
          <w:rPr>
            <w:rStyle w:val="Hyperlink"/>
            <w:color w:val="23527C"/>
            <w:sz w:val="24"/>
            <w:shd w:val="clear" w:color="auto" w:fill="FFFFFF"/>
            <w:lang w:val="sv-SE"/>
          </w:rPr>
          <w:t>/</w:t>
        </w:r>
        <w:proofErr w:type="spellStart"/>
        <w:r w:rsidRPr="00801B09">
          <w:rPr>
            <w:rStyle w:val="Hyperlink"/>
            <w:color w:val="23527C"/>
            <w:sz w:val="24"/>
            <w:shd w:val="clear" w:color="auto" w:fill="FFFFFF"/>
            <w:lang w:val="sv-SE"/>
          </w:rPr>
          <w:t>reg</w:t>
        </w:r>
        <w:proofErr w:type="spellEnd"/>
        <w:r w:rsidRPr="00801B09">
          <w:rPr>
            <w:rStyle w:val="Hyperlink"/>
            <w:color w:val="23527C"/>
            <w:sz w:val="24"/>
            <w:shd w:val="clear" w:color="auto" w:fill="FFFFFF"/>
            <w:lang w:val="sv-SE"/>
          </w:rPr>
          <w:t>/2021/241/oj</w:t>
        </w:r>
      </w:hyperlink>
      <w:r w:rsidRPr="00801B09">
        <w:rPr>
          <w:sz w:val="24"/>
          <w:lang w:val="sv-SE"/>
        </w:rPr>
        <w:t>).</w:t>
      </w:r>
    </w:p>
  </w:footnote>
  <w:footnote w:id="11">
    <w:p w14:paraId="00E9B897" w14:textId="20730018" w:rsidR="007137EA" w:rsidRPr="00110AAA" w:rsidRDefault="007137EA" w:rsidP="00801B09">
      <w:pPr>
        <w:pStyle w:val="FootnoteText"/>
        <w:ind w:left="567" w:hanging="567"/>
        <w:rPr>
          <w:sz w:val="24"/>
          <w:lang w:val="fi-FI"/>
        </w:rPr>
      </w:pPr>
      <w:r w:rsidRPr="00801B09">
        <w:rPr>
          <w:rStyle w:val="FootnoteReference"/>
          <w:sz w:val="24"/>
          <w:lang w:val="sv-SE"/>
        </w:rPr>
        <w:footnoteRef/>
      </w:r>
      <w:r w:rsidR="00801B09" w:rsidRPr="00110AAA">
        <w:rPr>
          <w:sz w:val="24"/>
          <w:lang w:val="fi-FI"/>
        </w:rPr>
        <w:t xml:space="preserve"> </w:t>
      </w:r>
      <w:r w:rsidR="00801B09" w:rsidRPr="00110AAA">
        <w:rPr>
          <w:sz w:val="24"/>
          <w:lang w:val="fi-FI"/>
        </w:rPr>
        <w:tab/>
      </w:r>
      <w:r w:rsidRPr="00110AAA">
        <w:rPr>
          <w:sz w:val="24"/>
          <w:lang w:val="fi-FI"/>
        </w:rPr>
        <w:t xml:space="preserve">EUT L, 2024/3236, 23.12.2024, ELI: </w:t>
      </w:r>
      <w:hyperlink r:id="rId9" w:history="1">
        <w:r w:rsidRPr="00110AAA">
          <w:rPr>
            <w:rStyle w:val="Hyperlink"/>
            <w:sz w:val="24"/>
            <w:shd w:val="clear" w:color="auto" w:fill="FFFFFF"/>
            <w:lang w:val="fi-FI"/>
          </w:rPr>
          <w:t>http://data.europa.eu/eli/reg/2024/3236/oj</w:t>
        </w:r>
      </w:hyperlink>
      <w:r w:rsidRPr="00110AAA">
        <w:rPr>
          <w:sz w:val="24"/>
          <w:lang w:val="fi-FI"/>
        </w:rPr>
        <w:t xml:space="preserve">. </w:t>
      </w:r>
    </w:p>
  </w:footnote>
  <w:footnote w:id="12">
    <w:p w14:paraId="215B2823" w14:textId="3F4D6C69" w:rsidR="007137EA" w:rsidRPr="00110AAA" w:rsidRDefault="007137EA" w:rsidP="00801B09">
      <w:pPr>
        <w:pStyle w:val="FootnoteText"/>
        <w:ind w:left="567" w:hanging="567"/>
        <w:rPr>
          <w:sz w:val="24"/>
          <w:lang w:val="fi-FI"/>
        </w:rPr>
      </w:pPr>
      <w:r w:rsidRPr="00801B09">
        <w:rPr>
          <w:rStyle w:val="FootnoteReference"/>
          <w:sz w:val="24"/>
          <w:lang w:val="sv-SE"/>
        </w:rPr>
        <w:footnoteRef/>
      </w:r>
      <w:r w:rsidR="00801B09" w:rsidRPr="00110AAA">
        <w:rPr>
          <w:sz w:val="24"/>
          <w:lang w:val="fi-FI"/>
        </w:rPr>
        <w:t xml:space="preserve"> </w:t>
      </w:r>
      <w:r w:rsidR="00801B09" w:rsidRPr="00110AAA">
        <w:rPr>
          <w:sz w:val="24"/>
          <w:lang w:val="fi-FI"/>
        </w:rPr>
        <w:tab/>
      </w:r>
      <w:r w:rsidRPr="00110AAA">
        <w:rPr>
          <w:sz w:val="24"/>
          <w:lang w:val="fi-FI"/>
        </w:rPr>
        <w:t xml:space="preserve">EUT L, 2024/3242, 23.12.2024, ELI: </w:t>
      </w:r>
      <w:hyperlink r:id="rId10" w:history="1">
        <w:r w:rsidRPr="00110AAA">
          <w:rPr>
            <w:rStyle w:val="Hyperlink"/>
            <w:sz w:val="24"/>
            <w:shd w:val="clear" w:color="auto" w:fill="FFFFFF"/>
            <w:lang w:val="fi-FI"/>
          </w:rPr>
          <w:t>http://data.europa.eu/eli/reg/2024/3242/oj</w:t>
        </w:r>
      </w:hyperlink>
      <w:r w:rsidRPr="00110AAA">
        <w:rPr>
          <w:sz w:val="24"/>
          <w:lang w:val="fi-FI"/>
        </w:rPr>
        <w:t xml:space="preserve">. </w:t>
      </w:r>
    </w:p>
  </w:footnote>
  <w:footnote w:id="13">
    <w:p w14:paraId="411F91CB" w14:textId="2291C9B9" w:rsidR="007137EA" w:rsidRPr="00801B09" w:rsidRDefault="007137EA" w:rsidP="00801B09">
      <w:pPr>
        <w:pStyle w:val="FootnoteText"/>
        <w:ind w:left="567" w:hanging="567"/>
        <w:rPr>
          <w:sz w:val="24"/>
          <w:lang w:val="sv-SE"/>
        </w:rPr>
      </w:pPr>
      <w:r w:rsidRPr="00801B09">
        <w:rPr>
          <w:rStyle w:val="FootnoteReference"/>
          <w:sz w:val="24"/>
          <w:lang w:val="sv-SE"/>
        </w:rPr>
        <w:footnoteRef/>
      </w:r>
      <w:r w:rsidR="00801B09" w:rsidRPr="00801B09">
        <w:rPr>
          <w:sz w:val="24"/>
          <w:lang w:val="sv-SE"/>
        </w:rPr>
        <w:t xml:space="preserve"> </w:t>
      </w:r>
      <w:r w:rsidR="00801B09" w:rsidRPr="00801B09">
        <w:rPr>
          <w:sz w:val="24"/>
          <w:lang w:val="sv-SE"/>
        </w:rPr>
        <w:tab/>
      </w:r>
      <w:r w:rsidRPr="00801B09">
        <w:rPr>
          <w:sz w:val="24"/>
          <w:lang w:val="sv-SE"/>
        </w:rPr>
        <w:t>Antagna texter, P10_TA(2025)0090.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B65DB" w14:textId="77777777" w:rsidR="00064002" w:rsidRPr="00801B0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17CC" w14:textId="77777777" w:rsidR="00064002" w:rsidRPr="00801B0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111EC" w14:textId="77777777" w:rsidR="00064002" w:rsidRPr="00801B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4132317">
    <w:abstractNumId w:val="9"/>
  </w:num>
  <w:num w:numId="2" w16cid:durableId="1278297859">
    <w:abstractNumId w:val="9"/>
  </w:num>
  <w:num w:numId="3" w16cid:durableId="878981453">
    <w:abstractNumId w:val="7"/>
  </w:num>
  <w:num w:numId="4" w16cid:durableId="1839927143">
    <w:abstractNumId w:val="7"/>
  </w:num>
  <w:num w:numId="5" w16cid:durableId="1093354020">
    <w:abstractNumId w:val="6"/>
  </w:num>
  <w:num w:numId="6" w16cid:durableId="1965185140">
    <w:abstractNumId w:val="6"/>
  </w:num>
  <w:num w:numId="7" w16cid:durableId="1143695225">
    <w:abstractNumId w:val="5"/>
  </w:num>
  <w:num w:numId="8" w16cid:durableId="852917726">
    <w:abstractNumId w:val="5"/>
  </w:num>
  <w:num w:numId="9" w16cid:durableId="1492213043">
    <w:abstractNumId w:val="4"/>
  </w:num>
  <w:num w:numId="10" w16cid:durableId="1402675963">
    <w:abstractNumId w:val="4"/>
  </w:num>
  <w:num w:numId="11" w16cid:durableId="1083794849">
    <w:abstractNumId w:val="8"/>
  </w:num>
  <w:num w:numId="12" w16cid:durableId="1443840418">
    <w:abstractNumId w:val="8"/>
  </w:num>
  <w:num w:numId="13" w16cid:durableId="862328499">
    <w:abstractNumId w:val="3"/>
  </w:num>
  <w:num w:numId="14" w16cid:durableId="1988170289">
    <w:abstractNumId w:val="3"/>
  </w:num>
  <w:num w:numId="15" w16cid:durableId="1793356140">
    <w:abstractNumId w:val="2"/>
  </w:num>
  <w:num w:numId="16" w16cid:durableId="132599936">
    <w:abstractNumId w:val="2"/>
  </w:num>
  <w:num w:numId="17" w16cid:durableId="149178137">
    <w:abstractNumId w:val="1"/>
  </w:num>
  <w:num w:numId="18" w16cid:durableId="1831482305">
    <w:abstractNumId w:val="1"/>
  </w:num>
  <w:num w:numId="19" w16cid:durableId="336275693">
    <w:abstractNumId w:val="0"/>
  </w:num>
  <w:num w:numId="20" w16cid:durableId="1091194396">
    <w:abstractNumId w:val="0"/>
  </w:num>
  <w:num w:numId="21" w16cid:durableId="791216803">
    <w:abstractNumId w:val="9"/>
  </w:num>
  <w:num w:numId="22" w16cid:durableId="63375483">
    <w:abstractNumId w:val="7"/>
  </w:num>
  <w:num w:numId="23" w16cid:durableId="203057110">
    <w:abstractNumId w:val="6"/>
  </w:num>
  <w:num w:numId="24" w16cid:durableId="1728216454">
    <w:abstractNumId w:val="5"/>
  </w:num>
  <w:num w:numId="25" w16cid:durableId="1159006506">
    <w:abstractNumId w:val="4"/>
  </w:num>
  <w:num w:numId="26" w16cid:durableId="32271582">
    <w:abstractNumId w:val="8"/>
  </w:num>
  <w:num w:numId="27" w16cid:durableId="1990019268">
    <w:abstractNumId w:val="3"/>
  </w:num>
  <w:num w:numId="28" w16cid:durableId="280110794">
    <w:abstractNumId w:val="2"/>
  </w:num>
  <w:num w:numId="29" w16cid:durableId="1370030512">
    <w:abstractNumId w:val="1"/>
  </w:num>
  <w:num w:numId="30" w16cid:durableId="773402646">
    <w:abstractNumId w:val="0"/>
  </w:num>
  <w:num w:numId="31" w16cid:durableId="1823429527">
    <w:abstractNumId w:val="9"/>
  </w:num>
  <w:num w:numId="32" w16cid:durableId="693966004">
    <w:abstractNumId w:val="7"/>
  </w:num>
  <w:num w:numId="33" w16cid:durableId="831945636">
    <w:abstractNumId w:val="6"/>
  </w:num>
  <w:num w:numId="34" w16cid:durableId="231282935">
    <w:abstractNumId w:val="5"/>
  </w:num>
  <w:num w:numId="35" w16cid:durableId="1229533536">
    <w:abstractNumId w:val="4"/>
  </w:num>
  <w:num w:numId="36" w16cid:durableId="447818123">
    <w:abstractNumId w:val="8"/>
  </w:num>
  <w:num w:numId="37" w16cid:durableId="818423886">
    <w:abstractNumId w:val="3"/>
  </w:num>
  <w:num w:numId="38" w16cid:durableId="846599602">
    <w:abstractNumId w:val="2"/>
  </w:num>
  <w:num w:numId="39" w16cid:durableId="1783261759">
    <w:abstractNumId w:val="1"/>
  </w:num>
  <w:num w:numId="40" w16cid:durableId="114258891">
    <w:abstractNumId w:val="0"/>
  </w:num>
  <w:num w:numId="41" w16cid:durableId="1038358013">
    <w:abstractNumId w:val="10"/>
  </w:num>
  <w:num w:numId="42" w16cid:durableId="2043554263">
    <w:abstractNumId w:val="10"/>
  </w:num>
  <w:num w:numId="43" w16cid:durableId="1937596008">
    <w:abstractNumId w:val="10"/>
  </w:num>
  <w:num w:numId="44" w16cid:durableId="18325196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5/2025"/>
    <w:docVar w:name="dvlangue" w:val="SV"/>
    <w:docVar w:name="dvnumam" w:val="0"/>
    <w:docVar w:name="dvpe" w:val="778.223"/>
    <w:docVar w:name="dvrapporteur" w:val="Föredragande: "/>
    <w:docVar w:name="dvtitre" w:val="Europaparlamentets resolution av den xx xx 2025 om förslaget till Europaparlamentets och rådets beslut om ianspråktagande av Europeiska unionens solidaritetsfond för att ge stöd till Spanien med anledning av översvämningarna i Valenciaregionen i Spanien i oktober 2024 och till Frankrike med anledning av de skador som cyklonen Chido orsakade på Mayotte i december 2024 och som cyklonen Garance orsakade på Réunion i februari 2025(COM(2025)0855 – C10-0239/2025 – 2025/0318(BUD))"/>
  </w:docVars>
  <w:rsids>
    <w:rsidRoot w:val="00B73736"/>
    <w:rsid w:val="00002272"/>
    <w:rsid w:val="00064002"/>
    <w:rsid w:val="000677B9"/>
    <w:rsid w:val="000831BA"/>
    <w:rsid w:val="000A08D0"/>
    <w:rsid w:val="000A42CC"/>
    <w:rsid w:val="000E7DD9"/>
    <w:rsid w:val="0010095E"/>
    <w:rsid w:val="00110AAA"/>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2C45"/>
    <w:rsid w:val="005C2568"/>
    <w:rsid w:val="005C72F7"/>
    <w:rsid w:val="005F1B17"/>
    <w:rsid w:val="006037C0"/>
    <w:rsid w:val="0062748F"/>
    <w:rsid w:val="006631B6"/>
    <w:rsid w:val="00680577"/>
    <w:rsid w:val="0068300D"/>
    <w:rsid w:val="006F74FA"/>
    <w:rsid w:val="007137EA"/>
    <w:rsid w:val="00731ADD"/>
    <w:rsid w:val="00734777"/>
    <w:rsid w:val="00747932"/>
    <w:rsid w:val="00751A4A"/>
    <w:rsid w:val="00756632"/>
    <w:rsid w:val="00761856"/>
    <w:rsid w:val="00762C74"/>
    <w:rsid w:val="00777F77"/>
    <w:rsid w:val="00786EC0"/>
    <w:rsid w:val="007D1690"/>
    <w:rsid w:val="007E22AD"/>
    <w:rsid w:val="00801B09"/>
    <w:rsid w:val="00817416"/>
    <w:rsid w:val="00842779"/>
    <w:rsid w:val="00865F67"/>
    <w:rsid w:val="00881A7B"/>
    <w:rsid w:val="008840E5"/>
    <w:rsid w:val="00887B3E"/>
    <w:rsid w:val="008C040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3736"/>
    <w:rsid w:val="00B92D00"/>
    <w:rsid w:val="00BD48FE"/>
    <w:rsid w:val="00BD7BD8"/>
    <w:rsid w:val="00BE6ADC"/>
    <w:rsid w:val="00C05BFE"/>
    <w:rsid w:val="00C23CD4"/>
    <w:rsid w:val="00C61C0C"/>
    <w:rsid w:val="00C941CB"/>
    <w:rsid w:val="00CB26BD"/>
    <w:rsid w:val="00CC2357"/>
    <w:rsid w:val="00CF071A"/>
    <w:rsid w:val="00D058B8"/>
    <w:rsid w:val="00D56C11"/>
    <w:rsid w:val="00D834A0"/>
    <w:rsid w:val="00D872DF"/>
    <w:rsid w:val="00D91E21"/>
    <w:rsid w:val="00DA7FCD"/>
    <w:rsid w:val="00E125A4"/>
    <w:rsid w:val="00E365E1"/>
    <w:rsid w:val="00E820A4"/>
    <w:rsid w:val="00EA7BF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768E0"/>
  <w15:chartTrackingRefBased/>
  <w15:docId w15:val="{CA4D7A29-EBE5-4036-AE19-30ED791E4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137E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137EA"/>
    <w:pPr>
      <w:keepNext/>
      <w:spacing w:after="480"/>
      <w:jc w:val="center"/>
    </w:pPr>
    <w:rPr>
      <w:rFonts w:ascii="Arial" w:hAnsi="Arial" w:cs="Arial"/>
      <w:b/>
    </w:rPr>
  </w:style>
  <w:style w:type="paragraph" w:customStyle="1" w:styleId="NormalHanging12a">
    <w:name w:val="NormalHanging12a"/>
    <w:basedOn w:val="Normal"/>
    <w:rsid w:val="007137EA"/>
    <w:pPr>
      <w:spacing w:after="240"/>
      <w:ind w:left="567" w:hanging="567"/>
    </w:pPr>
  </w:style>
  <w:style w:type="paragraph" w:styleId="Header">
    <w:name w:val="header"/>
    <w:basedOn w:val="Normal"/>
    <w:link w:val="HeaderChar"/>
    <w:rsid w:val="007137EA"/>
    <w:pPr>
      <w:tabs>
        <w:tab w:val="center" w:pos="4513"/>
        <w:tab w:val="right" w:pos="9026"/>
      </w:tabs>
    </w:pPr>
  </w:style>
  <w:style w:type="character" w:customStyle="1" w:styleId="HeaderChar">
    <w:name w:val="Header Char"/>
    <w:basedOn w:val="DefaultParagraphFont"/>
    <w:link w:val="Header"/>
    <w:rsid w:val="007137EA"/>
    <w:rPr>
      <w:sz w:val="24"/>
      <w:lang w:val="sv-SE"/>
    </w:rPr>
  </w:style>
  <w:style w:type="paragraph" w:customStyle="1" w:styleId="NormalBold24a">
    <w:name w:val="NormalBold24a"/>
    <w:basedOn w:val="Normal"/>
    <w:rsid w:val="007137EA"/>
    <w:pPr>
      <w:spacing w:after="480"/>
    </w:pPr>
    <w:rPr>
      <w:b/>
      <w:bCs/>
    </w:rPr>
  </w:style>
  <w:style w:type="paragraph" w:customStyle="1" w:styleId="EPFooter">
    <w:name w:val="EPFooter"/>
    <w:basedOn w:val="Normal"/>
    <w:rsid w:val="007137EA"/>
    <w:pPr>
      <w:tabs>
        <w:tab w:val="center" w:pos="4535"/>
        <w:tab w:val="right" w:pos="9071"/>
      </w:tabs>
      <w:spacing w:before="240" w:after="240"/>
    </w:pPr>
    <w:rPr>
      <w:color w:val="010000"/>
      <w:sz w:val="22"/>
    </w:rPr>
  </w:style>
  <w:style w:type="paragraph" w:customStyle="1" w:styleId="EPComma">
    <w:name w:val="EPComma"/>
    <w:basedOn w:val="Normal"/>
    <w:rsid w:val="007137EA"/>
    <w:pPr>
      <w:spacing w:before="480" w:after="240"/>
    </w:pPr>
  </w:style>
  <w:style w:type="character" w:styleId="Hyperlink">
    <w:name w:val="Hyperlink"/>
    <w:basedOn w:val="DefaultParagraphFont"/>
    <w:uiPriority w:val="99"/>
    <w:rsid w:val="007137EA"/>
    <w:rPr>
      <w:color w:val="0563C1" w:themeColor="hyperlink"/>
      <w:u w:val="single"/>
    </w:rPr>
  </w:style>
  <w:style w:type="paragraph" w:styleId="Revision">
    <w:name w:val="Revision"/>
    <w:hidden/>
    <w:uiPriority w:val="99"/>
    <w:semiHidden/>
    <w:rsid w:val="00777F77"/>
    <w:rPr>
      <w:sz w:val="24"/>
      <w:lang w:val="sv-SE"/>
    </w:rPr>
  </w:style>
  <w:style w:type="character" w:styleId="UnresolvedMention">
    <w:name w:val="Unresolved Mention"/>
    <w:basedOn w:val="DefaultParagraphFont"/>
    <w:uiPriority w:val="99"/>
    <w:semiHidden/>
    <w:unhideWhenUsed/>
    <w:rsid w:val="00761856"/>
    <w:rPr>
      <w:color w:val="605E5C"/>
      <w:shd w:val="clear" w:color="auto" w:fill="E1DFDD"/>
    </w:rPr>
  </w:style>
  <w:style w:type="character" w:styleId="FollowedHyperlink">
    <w:name w:val="FollowedHyperlink"/>
    <w:basedOn w:val="DefaultParagraphFont"/>
    <w:rsid w:val="007618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publications/european-climate-risk-assessment"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4/3242/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1736</Words>
  <Characters>11476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2026-01-08T16:27:00Z</dcterms:created>
  <dcterms:modified xsi:type="dcterms:W3CDTF">2026-01-08T16:27:00Z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P10_TA(2025)0274_</vt:lpwstr>
  </property>
  <property fmtid="{D5CDD505-2E9C-101B-9397-08002B2CF9AE}" pid="4" name="&lt;Type&gt;">
    <vt:lpwstr>RR</vt:lpwstr>
  </property>
</Properties>
</file>