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76E1" w14:paraId="215D4A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907098" w14:textId="0458E97F" w:rsidR="00751A4A" w:rsidRPr="009E76E1" w:rsidRDefault="002A55D9" w:rsidP="0010095E">
            <w:pPr>
              <w:pStyle w:val="EPName"/>
            </w:pPr>
            <w:r w:rsidRPr="009E76E1">
              <w:t>Европейски</w:t>
            </w:r>
            <w:r w:rsidR="009A3BE6" w:rsidRPr="009E76E1">
              <w:t xml:space="preserve"> парламент</w:t>
            </w:r>
          </w:p>
          <w:p w14:paraId="5C3C6729" w14:textId="4A43C326" w:rsidR="00751A4A" w:rsidRPr="009E76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76E1">
              <w:t>2024</w:t>
            </w:r>
            <w:r w:rsidR="002A55D9">
              <w:t> – </w:t>
            </w:r>
            <w:r w:rsidR="00817416" w:rsidRPr="009E76E1">
              <w:t>202</w:t>
            </w:r>
            <w:r w:rsidRPr="009E76E1">
              <w:t>9</w:t>
            </w:r>
          </w:p>
        </w:tc>
        <w:tc>
          <w:tcPr>
            <w:tcW w:w="2268" w:type="dxa"/>
            <w:shd w:val="clear" w:color="auto" w:fill="auto"/>
          </w:tcPr>
          <w:p w14:paraId="144E77F9" w14:textId="77777777" w:rsidR="00751A4A" w:rsidRPr="009E76E1" w:rsidRDefault="00187494" w:rsidP="0010095E">
            <w:pPr>
              <w:pStyle w:val="EPLogo"/>
            </w:pPr>
            <w:r w:rsidRPr="009E76E1">
              <w:rPr>
                <w:noProof/>
                <w:lang w:eastAsia="ja-JP"/>
              </w:rPr>
              <w:drawing>
                <wp:inline distT="0" distB="0" distL="0" distR="0" wp14:anchorId="34141F11" wp14:editId="02F8A2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FBF4B6" w14:textId="77777777" w:rsidR="00D058B8" w:rsidRPr="009E76E1" w:rsidRDefault="00D058B8" w:rsidP="004C5D52">
      <w:pPr>
        <w:pStyle w:val="LineTop"/>
      </w:pPr>
    </w:p>
    <w:p w14:paraId="66E7B2CC" w14:textId="77777777" w:rsidR="00680577" w:rsidRPr="009E76E1" w:rsidRDefault="009A3BE6" w:rsidP="00680577">
      <w:pPr>
        <w:pStyle w:val="EPBodyTA1"/>
      </w:pPr>
      <w:r w:rsidRPr="009E76E1">
        <w:t>ПРИЕТИ ТЕКСТОВЕ</w:t>
      </w:r>
    </w:p>
    <w:p w14:paraId="61C31D4A" w14:textId="77777777" w:rsidR="00D058B8" w:rsidRPr="009E76E1" w:rsidRDefault="00D058B8" w:rsidP="00D058B8">
      <w:pPr>
        <w:pStyle w:val="LineBottom"/>
      </w:pPr>
    </w:p>
    <w:p w14:paraId="15479047" w14:textId="5C830E11" w:rsidR="009A3BE6" w:rsidRPr="009E76E1" w:rsidRDefault="009A3BE6" w:rsidP="009A3BE6">
      <w:pPr>
        <w:pStyle w:val="ATHeading1"/>
      </w:pPr>
      <w:bookmarkStart w:id="0" w:name="TANumber"/>
      <w:r w:rsidRPr="009E76E1">
        <w:t>P10_TA(2025)0</w:t>
      </w:r>
      <w:r w:rsidR="00B92200">
        <w:rPr>
          <w:lang w:val="en-GB"/>
        </w:rPr>
        <w:t>279</w:t>
      </w:r>
      <w:bookmarkEnd w:id="0"/>
    </w:p>
    <w:p w14:paraId="7576B8F3" w14:textId="77777777" w:rsidR="009A3BE6" w:rsidRPr="009E76E1" w:rsidRDefault="009A3BE6" w:rsidP="009A3BE6">
      <w:pPr>
        <w:pStyle w:val="ATHeading2"/>
      </w:pPr>
      <w:bookmarkStart w:id="1" w:name="title"/>
      <w:r w:rsidRPr="009E76E1">
        <w:t>Безопасност на играчките и отмяна на Директива 2009/48/EО</w:t>
      </w:r>
      <w:bookmarkEnd w:id="1"/>
    </w:p>
    <w:p w14:paraId="66A23537" w14:textId="77777777" w:rsidR="009A3BE6" w:rsidRPr="009E76E1" w:rsidRDefault="009A3BE6" w:rsidP="009A3BE6">
      <w:pPr>
        <w:rPr>
          <w:i/>
          <w:vanish/>
        </w:rPr>
      </w:pPr>
      <w:r w:rsidRPr="009E76E1">
        <w:rPr>
          <w:i/>
        </w:rPr>
        <w:fldChar w:fldCharType="begin"/>
      </w:r>
      <w:r w:rsidRPr="009E76E1">
        <w:rPr>
          <w:i/>
        </w:rPr>
        <w:instrText xml:space="preserve"> TC"(</w:instrText>
      </w:r>
      <w:bookmarkStart w:id="2" w:name="DocNumber"/>
      <w:r w:rsidRPr="009E76E1">
        <w:rPr>
          <w:i/>
        </w:rPr>
        <w:instrText>A10-0227/2025</w:instrText>
      </w:r>
      <w:bookmarkEnd w:id="2"/>
      <w:r w:rsidRPr="009E76E1">
        <w:rPr>
          <w:i/>
        </w:rPr>
        <w:instrText xml:space="preserve"> - Докладчик: Марион Валсман)"\l3 \n&gt; \* MERGEFORMAT </w:instrText>
      </w:r>
      <w:r w:rsidRPr="009E76E1">
        <w:rPr>
          <w:i/>
        </w:rPr>
        <w:fldChar w:fldCharType="end"/>
      </w:r>
    </w:p>
    <w:p w14:paraId="77E07165" w14:textId="77777777" w:rsidR="009A3BE6" w:rsidRPr="009E76E1" w:rsidRDefault="009A3BE6" w:rsidP="009A3BE6">
      <w:pPr>
        <w:rPr>
          <w:vanish/>
        </w:rPr>
      </w:pPr>
      <w:bookmarkStart w:id="3" w:name="Commission"/>
      <w:r w:rsidRPr="009E76E1">
        <w:rPr>
          <w:vanish/>
        </w:rPr>
        <w:t>Комисия по вътрешния пазар и защита на потребителите</w:t>
      </w:r>
      <w:bookmarkEnd w:id="3"/>
    </w:p>
    <w:p w14:paraId="786B178A" w14:textId="77777777" w:rsidR="009A3BE6" w:rsidRPr="009E76E1" w:rsidRDefault="009A3BE6" w:rsidP="009A3BE6">
      <w:pPr>
        <w:rPr>
          <w:vanish/>
        </w:rPr>
      </w:pPr>
      <w:bookmarkStart w:id="4" w:name="PE"/>
      <w:r w:rsidRPr="009E76E1">
        <w:rPr>
          <w:vanish/>
        </w:rPr>
        <w:t>PE779.456</w:t>
      </w:r>
      <w:bookmarkEnd w:id="4"/>
    </w:p>
    <w:p w14:paraId="3F73000B" w14:textId="71994037" w:rsidR="009A3BE6" w:rsidRPr="009E76E1" w:rsidRDefault="009A3BE6" w:rsidP="009A3BE6">
      <w:pPr>
        <w:pStyle w:val="ATHeading3"/>
      </w:pPr>
      <w:bookmarkStart w:id="5" w:name="Sujet"/>
      <w:r w:rsidRPr="009E76E1">
        <w:t xml:space="preserve">Законодателна резолюция на Европейския парламент от </w:t>
      </w:r>
      <w:r w:rsidR="002A55D9">
        <w:t>25 ноември</w:t>
      </w:r>
      <w:r w:rsidR="002A55D9" w:rsidRPr="009E76E1">
        <w:t xml:space="preserve"> </w:t>
      </w:r>
      <w:r w:rsidRPr="009E76E1">
        <w:t xml:space="preserve">2025 г. относно позицията на Съвета на първо четене с оглед на приемането на </w:t>
      </w:r>
      <w:r w:rsidR="002A55D9">
        <w:t>р</w:t>
      </w:r>
      <w:r w:rsidRPr="009E76E1">
        <w:t xml:space="preserve">егламент на Европейския </w:t>
      </w:r>
      <w:r w:rsidR="004F5767">
        <w:t>п</w:t>
      </w:r>
      <w:r w:rsidRPr="009E76E1">
        <w:t>арламент и на Съвета относно безопасността на играчките и за отмяна на Директива 2009/48/ЕО</w:t>
      </w:r>
      <w:bookmarkEnd w:id="5"/>
      <w:r w:rsidRPr="009E76E1">
        <w:t xml:space="preserve"> </w:t>
      </w:r>
      <w:bookmarkStart w:id="6" w:name="References"/>
      <w:r w:rsidRPr="009E76E1">
        <w:t>(09663/1/2025 – C10-0251/2025 – 2023/0290(COD))</w:t>
      </w:r>
      <w:bookmarkEnd w:id="6"/>
    </w:p>
    <w:p w14:paraId="7A302459" w14:textId="0F4C5ED0" w:rsidR="00E418C8" w:rsidRPr="009E76E1" w:rsidRDefault="002A55D9" w:rsidP="00E418C8">
      <w:pPr>
        <w:pStyle w:val="NormalBold"/>
      </w:pPr>
      <w:bookmarkStart w:id="7" w:name="TextBodyBegin"/>
      <w:bookmarkEnd w:id="7"/>
      <w:r>
        <w:t>(</w:t>
      </w:r>
      <w:r w:rsidR="00E418C8" w:rsidRPr="009E76E1">
        <w:t>Обикновена законодателна процедура: второ четене)</w:t>
      </w:r>
    </w:p>
    <w:p w14:paraId="23EF5C3A" w14:textId="77777777" w:rsidR="00E418C8" w:rsidRPr="009E76E1" w:rsidRDefault="00E418C8" w:rsidP="00E418C8">
      <w:pPr>
        <w:pStyle w:val="EPComma"/>
      </w:pPr>
      <w:r w:rsidRPr="009E76E1">
        <w:rPr>
          <w:i/>
        </w:rPr>
        <w:t>Европейският парламент</w:t>
      </w:r>
      <w:r w:rsidRPr="009E76E1">
        <w:t>,</w:t>
      </w:r>
    </w:p>
    <w:p w14:paraId="30B1D425" w14:textId="77777777" w:rsidR="00E418C8" w:rsidRPr="009E76E1" w:rsidRDefault="00E418C8" w:rsidP="00E418C8">
      <w:pPr>
        <w:pStyle w:val="NormalHanging12a"/>
      </w:pPr>
      <w:r w:rsidRPr="009E76E1">
        <w:t>–</w:t>
      </w:r>
      <w:r w:rsidRPr="009E76E1">
        <w:tab/>
        <w:t>като взе предвид позицията на Съвета на първо четене (09663/1/2025 – C10</w:t>
      </w:r>
      <w:r w:rsidRPr="009E76E1">
        <w:noBreakHyphen/>
        <w:t>0251/2025),</w:t>
      </w:r>
    </w:p>
    <w:p w14:paraId="31245653" w14:textId="77777777" w:rsidR="00E418C8" w:rsidRPr="009E76E1" w:rsidRDefault="00E418C8" w:rsidP="00E418C8">
      <w:pPr>
        <w:pStyle w:val="NormalHanging12a"/>
      </w:pPr>
      <w:r w:rsidRPr="009E76E1">
        <w:t>–</w:t>
      </w:r>
      <w:r w:rsidRPr="009E76E1">
        <w:tab/>
        <w:t>като взе предвид становището на Европейския икономически и социален комитет от 13 декември 2023 г.</w:t>
      </w:r>
      <w:r w:rsidRPr="009E76E1">
        <w:rPr>
          <w:rStyle w:val="FootnoteReference"/>
        </w:rPr>
        <w:footnoteReference w:id="1"/>
      </w:r>
      <w:r w:rsidRPr="009E76E1">
        <w:t>,</w:t>
      </w:r>
    </w:p>
    <w:p w14:paraId="5A10818C" w14:textId="4387C603" w:rsidR="00E418C8" w:rsidRPr="009E76E1" w:rsidRDefault="00E418C8" w:rsidP="00E418C8">
      <w:pPr>
        <w:pStyle w:val="NormalHanging12a"/>
      </w:pPr>
      <w:r w:rsidRPr="009E76E1">
        <w:t>–</w:t>
      </w:r>
      <w:r w:rsidRPr="009E76E1">
        <w:tab/>
        <w:t>като взе предвид позицията си на първо четене</w:t>
      </w:r>
      <w:r w:rsidRPr="009E76E1">
        <w:rPr>
          <w:rStyle w:val="FootnoteReference"/>
        </w:rPr>
        <w:footnoteReference w:id="2"/>
      </w:r>
      <w:r w:rsidRPr="009E76E1">
        <w:t xml:space="preserve"> относно предложението на Комисията до Европейския парламент и до Съвета (COM(2023)</w:t>
      </w:r>
      <w:r w:rsidR="002E196C">
        <w:rPr>
          <w:lang w:val="en-GB"/>
        </w:rPr>
        <w:t>0</w:t>
      </w:r>
      <w:r w:rsidRPr="009E76E1">
        <w:t>462),</w:t>
      </w:r>
    </w:p>
    <w:p w14:paraId="4646B811" w14:textId="77777777" w:rsidR="00E418C8" w:rsidRPr="009E76E1" w:rsidRDefault="00E418C8" w:rsidP="00E418C8">
      <w:pPr>
        <w:pStyle w:val="NormalHanging12a"/>
      </w:pPr>
      <w:r w:rsidRPr="009E76E1">
        <w:t>–</w:t>
      </w:r>
      <w:r w:rsidRPr="009E76E1">
        <w:tab/>
        <w:t>като взе предвид член 294, параграф 7 от Договора за функционирането на Европейския съюз,</w:t>
      </w:r>
    </w:p>
    <w:p w14:paraId="221046B5" w14:textId="192EBD6F" w:rsidR="00E418C8" w:rsidRPr="009E76E1" w:rsidRDefault="00E418C8" w:rsidP="00E418C8">
      <w:pPr>
        <w:pStyle w:val="NormalHanging12a"/>
      </w:pPr>
      <w:r w:rsidRPr="009E76E1">
        <w:t>–</w:t>
      </w:r>
      <w:r w:rsidRPr="009E76E1">
        <w:tab/>
        <w:t xml:space="preserve">като взе предвид </w:t>
      </w:r>
      <w:r w:rsidR="00525534">
        <w:t>временното</w:t>
      </w:r>
      <w:r w:rsidR="00525534" w:rsidRPr="009E76E1">
        <w:t xml:space="preserve"> </w:t>
      </w:r>
      <w:r w:rsidRPr="009E76E1">
        <w:t>споразумение, одобрено от компетентната комисия в съответствие с член 75, параграф 4 от Правилника за дейността,</w:t>
      </w:r>
    </w:p>
    <w:p w14:paraId="6575621F" w14:textId="77777777" w:rsidR="00E418C8" w:rsidRPr="009E76E1" w:rsidRDefault="00E418C8" w:rsidP="00E418C8">
      <w:pPr>
        <w:pStyle w:val="NormalHanging12a"/>
      </w:pPr>
      <w:r w:rsidRPr="009E76E1">
        <w:t>–</w:t>
      </w:r>
      <w:r w:rsidRPr="009E76E1">
        <w:tab/>
        <w:t>като взе предвид член 68 от своя Правилник за дейността,</w:t>
      </w:r>
    </w:p>
    <w:p w14:paraId="63422D54" w14:textId="77777777" w:rsidR="00E418C8" w:rsidRPr="009E76E1" w:rsidRDefault="00E418C8" w:rsidP="00E418C8">
      <w:pPr>
        <w:pStyle w:val="NormalHanging12a"/>
      </w:pPr>
      <w:r w:rsidRPr="009E76E1">
        <w:t>–</w:t>
      </w:r>
      <w:r w:rsidRPr="009E76E1">
        <w:tab/>
        <w:t>като взе предвид препоръката за второ четене на комисията по вътрешния пазар и защита на потребителите (A10-0227/2025),</w:t>
      </w:r>
    </w:p>
    <w:p w14:paraId="7CD1E932" w14:textId="77777777" w:rsidR="00E418C8" w:rsidRPr="009E76E1" w:rsidRDefault="00E418C8" w:rsidP="00E418C8">
      <w:pPr>
        <w:pStyle w:val="NormalHanging12a"/>
      </w:pPr>
      <w:r w:rsidRPr="009E76E1">
        <w:t>1.</w:t>
      </w:r>
      <w:r w:rsidRPr="009E76E1">
        <w:tab/>
        <w:t>одобрява позицията на Съвета на първо четене;</w:t>
      </w:r>
    </w:p>
    <w:p w14:paraId="1BEC22C5" w14:textId="77777777" w:rsidR="00E418C8" w:rsidRPr="009E76E1" w:rsidRDefault="00E418C8" w:rsidP="00E418C8">
      <w:pPr>
        <w:pStyle w:val="NormalHanging12a"/>
      </w:pPr>
      <w:r w:rsidRPr="009E76E1">
        <w:t>2.</w:t>
      </w:r>
      <w:r w:rsidRPr="009E76E1">
        <w:tab/>
        <w:t xml:space="preserve">приема за сведение декларацията на Комисията, приложена към настоящата резолюция, която ще бъде публикувана в серия C на </w:t>
      </w:r>
      <w:r w:rsidRPr="009E76E1">
        <w:rPr>
          <w:i/>
        </w:rPr>
        <w:t>Официален вестник на Европейския съюз</w:t>
      </w:r>
      <w:r w:rsidRPr="009E76E1">
        <w:t>;</w:t>
      </w:r>
    </w:p>
    <w:p w14:paraId="4CFE9FEE" w14:textId="77777777" w:rsidR="00E418C8" w:rsidRPr="009E76E1" w:rsidRDefault="00E418C8" w:rsidP="00E418C8">
      <w:pPr>
        <w:pStyle w:val="NormalHanging12a"/>
      </w:pPr>
      <w:r w:rsidRPr="009E76E1">
        <w:lastRenderedPageBreak/>
        <w:t>3.</w:t>
      </w:r>
      <w:r w:rsidRPr="009E76E1">
        <w:tab/>
        <w:t>констатира, че актът е приет в съответствие с позицията на Съвета;</w:t>
      </w:r>
    </w:p>
    <w:p w14:paraId="5F4A486C" w14:textId="77777777" w:rsidR="00E418C8" w:rsidRPr="009E76E1" w:rsidRDefault="00E418C8" w:rsidP="00E418C8">
      <w:pPr>
        <w:pStyle w:val="NormalHanging12a"/>
      </w:pPr>
      <w:r w:rsidRPr="009E76E1">
        <w:t>4.</w:t>
      </w:r>
      <w:r w:rsidRPr="009E76E1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3FC944B4" w14:textId="77777777" w:rsidR="00E418C8" w:rsidRPr="009E76E1" w:rsidRDefault="00E418C8" w:rsidP="00E418C8">
      <w:pPr>
        <w:pStyle w:val="NormalHanging12a"/>
      </w:pPr>
      <w:r w:rsidRPr="009E76E1">
        <w:t>5.</w:t>
      </w:r>
      <w:r w:rsidRPr="009E76E1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9E76E1">
        <w:rPr>
          <w:i/>
        </w:rPr>
        <w:t>Официален вестник на Европейския съюз</w:t>
      </w:r>
      <w:r w:rsidRPr="009E76E1">
        <w:t>;</w:t>
      </w:r>
    </w:p>
    <w:p w14:paraId="275D95B1" w14:textId="0167F749" w:rsidR="009E76E1" w:rsidRPr="009E76E1" w:rsidRDefault="00E418C8" w:rsidP="009E76E1">
      <w:pPr>
        <w:pStyle w:val="NormalHanging12a"/>
      </w:pPr>
      <w:r w:rsidRPr="009E76E1">
        <w:t>6.</w:t>
      </w:r>
      <w:r w:rsidRPr="009E76E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96A9F4B" w14:textId="77777777" w:rsidR="002A55D9" w:rsidRDefault="002A55D9" w:rsidP="009A3BE6"/>
    <w:p w14:paraId="233F4B1C" w14:textId="77777777" w:rsidR="002A55D9" w:rsidRDefault="002A55D9" w:rsidP="009A3BE6">
      <w:pPr>
        <w:sectPr w:rsidR="002A55D9" w:rsidSect="009E76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F80DE4" w14:textId="77777777" w:rsidR="002A55D9" w:rsidRDefault="002A55D9" w:rsidP="002A55D9">
      <w:pPr>
        <w:keepNext/>
        <w:spacing w:after="480"/>
        <w:jc w:val="right"/>
        <w:outlineLvl w:val="0"/>
        <w:rPr>
          <w:bCs/>
        </w:rPr>
      </w:pPr>
      <w:bookmarkStart w:id="8" w:name="_Toc214610235"/>
      <w:r w:rsidRPr="002A55D9">
        <w:rPr>
          <w:bCs/>
        </w:rPr>
        <w:lastRenderedPageBreak/>
        <w:t>ПРИЛОЖЕНИЕ КЪМ ЗАКОНОДАТЕЛНАТА РЕЗОЛЮЦИЯ</w:t>
      </w:r>
    </w:p>
    <w:p w14:paraId="6F18C906" w14:textId="4D0791A0" w:rsidR="002A55D9" w:rsidRPr="00B92200" w:rsidRDefault="002A55D9" w:rsidP="002A55D9">
      <w:pPr>
        <w:keepNext/>
        <w:spacing w:after="480"/>
        <w:jc w:val="center"/>
        <w:outlineLvl w:val="0"/>
        <w:rPr>
          <w:b/>
          <w:lang w:val="ru-RU"/>
        </w:rPr>
      </w:pPr>
      <w:r w:rsidRPr="002A55D9">
        <w:rPr>
          <w:b/>
        </w:rPr>
        <w:t>ДЕКЛАРАЦИЯ НА КОМИСИЯТА</w:t>
      </w:r>
      <w:bookmarkStart w:id="9" w:name="_Hlk196383635"/>
      <w:bookmarkEnd w:id="8"/>
      <w:r w:rsidR="00C96099" w:rsidRPr="00B92200">
        <w:rPr>
          <w:b/>
          <w:lang w:val="ru-RU"/>
        </w:rPr>
        <w:t xml:space="preserve"> ПО ПОВОД НА ПРИЕМАНЕТО НА РЕГЛАМЕНТ (ЕС) 2025/</w:t>
      </w:r>
      <w:r w:rsidR="002E196C">
        <w:rPr>
          <w:b/>
          <w:lang w:val="en-GB"/>
        </w:rPr>
        <w:t>2509</w:t>
      </w:r>
    </w:p>
    <w:p w14:paraId="01E92B08" w14:textId="24C98978" w:rsidR="00E365E1" w:rsidRPr="009E76E1" w:rsidRDefault="002A55D9" w:rsidP="002A55D9">
      <w:pPr>
        <w:keepNext/>
        <w:spacing w:after="480"/>
        <w:outlineLvl w:val="0"/>
      </w:pPr>
      <w:r w:rsidRPr="002A55D9">
        <w:t xml:space="preserve">Комисията редовно и систематично оценява наличието на опасни химикали в детските играчки, като взема предвид наличните научни данни, с оглед адаптиране на граничните стойности или условията за наличие на конкретни химични вещества или смеси в детските играчки в съответствие с член 46 от Регламент </w:t>
      </w:r>
      <w:r w:rsidR="002E196C">
        <w:rPr>
          <w:lang w:val="en-GB"/>
        </w:rPr>
        <w:t>(</w:t>
      </w:r>
      <w:r w:rsidR="002E196C">
        <w:t>ЕС</w:t>
      </w:r>
      <w:r w:rsidR="002E196C">
        <w:rPr>
          <w:lang w:val="en-GB"/>
        </w:rPr>
        <w:t xml:space="preserve">) </w:t>
      </w:r>
      <w:r w:rsidRPr="002A55D9">
        <w:t>2025/</w:t>
      </w:r>
      <w:r w:rsidR="002E196C">
        <w:t>2509</w:t>
      </w:r>
      <w:r w:rsidRPr="002A55D9">
        <w:t xml:space="preserve"> относно безопасността на детските играчки. За тази цел в срок от 12 месеца от влизането в сила на настоящия регламент Комисията ще поиска становище от Европейската агенция по химикали относно безопасността на </w:t>
      </w:r>
      <w:proofErr w:type="spellStart"/>
      <w:r w:rsidRPr="002A55D9">
        <w:t>нитрозамини</w:t>
      </w:r>
      <w:proofErr w:type="spellEnd"/>
      <w:r w:rsidRPr="002A55D9">
        <w:t xml:space="preserve"> и </w:t>
      </w:r>
      <w:proofErr w:type="spellStart"/>
      <w:r w:rsidRPr="002A55D9">
        <w:t>нитрозиращи</w:t>
      </w:r>
      <w:proofErr w:type="spellEnd"/>
      <w:r w:rsidRPr="002A55D9">
        <w:t xml:space="preserve"> вещества в детските играчки с оглед на цялостната експозиция. За същата цел в срок от 24 месеца от влизането в сила на настоящия регламент Комисията ще поиска становище от Европейската агенция по химикали относно безопасността на олово, кадмий, живак и хром VI в детските играчки с оглед на цялостната експозиция.</w:t>
      </w:r>
      <w:bookmarkEnd w:id="9"/>
    </w:p>
    <w:sectPr w:rsidR="00E365E1" w:rsidRPr="009E76E1" w:rsidSect="009E76E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0C902" w14:textId="77777777" w:rsidR="009A3BE6" w:rsidRPr="009E76E1" w:rsidRDefault="009A3BE6">
      <w:r w:rsidRPr="009E76E1">
        <w:separator/>
      </w:r>
    </w:p>
  </w:endnote>
  <w:endnote w:type="continuationSeparator" w:id="0">
    <w:p w14:paraId="4F0D9C58" w14:textId="77777777" w:rsidR="009A3BE6" w:rsidRPr="009E76E1" w:rsidRDefault="009A3BE6">
      <w:r w:rsidRPr="009E76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DA74" w14:textId="77777777" w:rsidR="00064002" w:rsidRPr="009E76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AA376" w14:textId="77777777" w:rsidR="00064002" w:rsidRPr="009E76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1854E" w14:textId="77777777" w:rsidR="00064002" w:rsidRPr="009E76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5DF91" w14:textId="77777777" w:rsidR="009A3BE6" w:rsidRPr="009E76E1" w:rsidRDefault="009A3BE6">
      <w:r w:rsidRPr="009E76E1">
        <w:separator/>
      </w:r>
    </w:p>
  </w:footnote>
  <w:footnote w:type="continuationSeparator" w:id="0">
    <w:p w14:paraId="4897694F" w14:textId="77777777" w:rsidR="009A3BE6" w:rsidRPr="009E76E1" w:rsidRDefault="009A3BE6">
      <w:r w:rsidRPr="009E76E1">
        <w:continuationSeparator/>
      </w:r>
    </w:p>
  </w:footnote>
  <w:footnote w:id="1">
    <w:p w14:paraId="7A351E18" w14:textId="246D6F11" w:rsidR="00E418C8" w:rsidRPr="002A55D9" w:rsidRDefault="00E418C8" w:rsidP="002A55D9">
      <w:pPr>
        <w:pStyle w:val="FootnoteText"/>
        <w:ind w:left="567" w:hanging="567"/>
        <w:rPr>
          <w:sz w:val="24"/>
          <w:szCs w:val="24"/>
          <w:lang w:val="bg-BG"/>
        </w:rPr>
      </w:pPr>
      <w:r w:rsidRPr="002A55D9">
        <w:rPr>
          <w:rStyle w:val="FootnoteReference"/>
          <w:sz w:val="24"/>
          <w:szCs w:val="24"/>
          <w:lang w:val="bg-BG"/>
        </w:rPr>
        <w:footnoteRef/>
      </w:r>
      <w:r w:rsidR="009E76E1" w:rsidRPr="002A55D9">
        <w:rPr>
          <w:sz w:val="24"/>
          <w:szCs w:val="24"/>
          <w:lang w:val="bg-BG"/>
        </w:rPr>
        <w:t xml:space="preserve"> </w:t>
      </w:r>
      <w:r w:rsidR="009E76E1" w:rsidRPr="002A55D9">
        <w:rPr>
          <w:sz w:val="24"/>
          <w:szCs w:val="24"/>
          <w:lang w:val="bg-BG"/>
        </w:rPr>
        <w:tab/>
      </w:r>
      <w:r w:rsidRPr="002A55D9">
        <w:rPr>
          <w:sz w:val="24"/>
          <w:szCs w:val="24"/>
          <w:lang w:val="bg-BG"/>
        </w:rPr>
        <w:t xml:space="preserve">ОВ C, C/2024/1577, 5.3.2024 г., ELI: </w:t>
      </w:r>
      <w:hyperlink r:id="rId1" w:history="1">
        <w:r w:rsidRPr="002A55D9">
          <w:rPr>
            <w:rStyle w:val="Hyperlink"/>
            <w:sz w:val="24"/>
            <w:szCs w:val="24"/>
            <w:lang w:val="bg-BG"/>
          </w:rPr>
          <w:t>http://data.europa.eu/eli/C/2024/1577/oj</w:t>
        </w:r>
      </w:hyperlink>
      <w:r w:rsidRPr="002A55D9">
        <w:rPr>
          <w:sz w:val="24"/>
          <w:szCs w:val="24"/>
          <w:lang w:val="bg-BG"/>
        </w:rPr>
        <w:t>.</w:t>
      </w:r>
    </w:p>
  </w:footnote>
  <w:footnote w:id="2">
    <w:p w14:paraId="62D06EE2" w14:textId="0D795808" w:rsidR="00E418C8" w:rsidRPr="002A55D9" w:rsidRDefault="00E418C8" w:rsidP="002A55D9">
      <w:pPr>
        <w:pStyle w:val="FootnoteText"/>
        <w:ind w:left="567" w:hanging="567"/>
        <w:rPr>
          <w:sz w:val="24"/>
          <w:szCs w:val="24"/>
          <w:lang w:val="bg-BG"/>
        </w:rPr>
      </w:pPr>
      <w:r w:rsidRPr="002A55D9">
        <w:rPr>
          <w:rStyle w:val="FootnoteReference"/>
          <w:sz w:val="24"/>
          <w:szCs w:val="24"/>
          <w:lang w:val="bg-BG"/>
        </w:rPr>
        <w:footnoteRef/>
      </w:r>
      <w:r w:rsidR="009E76E1" w:rsidRPr="002A55D9">
        <w:rPr>
          <w:sz w:val="24"/>
          <w:szCs w:val="24"/>
          <w:lang w:val="bg-BG"/>
        </w:rPr>
        <w:t xml:space="preserve"> </w:t>
      </w:r>
      <w:r w:rsidR="009E76E1" w:rsidRPr="002A55D9">
        <w:rPr>
          <w:sz w:val="24"/>
          <w:szCs w:val="24"/>
          <w:lang w:val="bg-BG"/>
        </w:rPr>
        <w:tab/>
      </w:r>
      <w:r w:rsidRPr="002A55D9">
        <w:rPr>
          <w:sz w:val="24"/>
          <w:szCs w:val="24"/>
          <w:lang w:val="bg-BG"/>
        </w:rPr>
        <w:t xml:space="preserve">ОВ C, C/2025/1032, 27.2.2025 г., ELI: </w:t>
      </w:r>
      <w:hyperlink r:id="rId2" w:history="1">
        <w:r w:rsidRPr="002A55D9">
          <w:rPr>
            <w:rStyle w:val="Hyperlink"/>
            <w:sz w:val="24"/>
            <w:szCs w:val="24"/>
            <w:lang w:val="bg-BG"/>
          </w:rPr>
          <w:t>http://data.europa.eu/eli/C/2025/1032/oj</w:t>
        </w:r>
      </w:hyperlink>
      <w:r w:rsidRPr="002A55D9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AB4F4" w14:textId="77777777" w:rsidR="00064002" w:rsidRPr="009E76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31763" w14:textId="77777777" w:rsidR="00064002" w:rsidRPr="009E76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3C92" w14:textId="77777777" w:rsidR="00064002" w:rsidRPr="009E76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0948716">
    <w:abstractNumId w:val="9"/>
  </w:num>
  <w:num w:numId="2" w16cid:durableId="483274794">
    <w:abstractNumId w:val="9"/>
  </w:num>
  <w:num w:numId="3" w16cid:durableId="1466586111">
    <w:abstractNumId w:val="7"/>
  </w:num>
  <w:num w:numId="4" w16cid:durableId="839196127">
    <w:abstractNumId w:val="7"/>
  </w:num>
  <w:num w:numId="5" w16cid:durableId="1651204257">
    <w:abstractNumId w:val="6"/>
  </w:num>
  <w:num w:numId="6" w16cid:durableId="1779523156">
    <w:abstractNumId w:val="6"/>
  </w:num>
  <w:num w:numId="7" w16cid:durableId="1221747881">
    <w:abstractNumId w:val="5"/>
  </w:num>
  <w:num w:numId="8" w16cid:durableId="1686515866">
    <w:abstractNumId w:val="5"/>
  </w:num>
  <w:num w:numId="9" w16cid:durableId="222182483">
    <w:abstractNumId w:val="4"/>
  </w:num>
  <w:num w:numId="10" w16cid:durableId="1873378862">
    <w:abstractNumId w:val="4"/>
  </w:num>
  <w:num w:numId="11" w16cid:durableId="426511031">
    <w:abstractNumId w:val="8"/>
  </w:num>
  <w:num w:numId="12" w16cid:durableId="1562137346">
    <w:abstractNumId w:val="8"/>
  </w:num>
  <w:num w:numId="13" w16cid:durableId="1619021952">
    <w:abstractNumId w:val="3"/>
  </w:num>
  <w:num w:numId="14" w16cid:durableId="1460301012">
    <w:abstractNumId w:val="3"/>
  </w:num>
  <w:num w:numId="15" w16cid:durableId="856583453">
    <w:abstractNumId w:val="2"/>
  </w:num>
  <w:num w:numId="16" w16cid:durableId="1502353284">
    <w:abstractNumId w:val="2"/>
  </w:num>
  <w:num w:numId="17" w16cid:durableId="1461344969">
    <w:abstractNumId w:val="1"/>
  </w:num>
  <w:num w:numId="18" w16cid:durableId="928083921">
    <w:abstractNumId w:val="1"/>
  </w:num>
  <w:num w:numId="19" w16cid:durableId="28068148">
    <w:abstractNumId w:val="0"/>
  </w:num>
  <w:num w:numId="20" w16cid:durableId="498621320">
    <w:abstractNumId w:val="0"/>
  </w:num>
  <w:num w:numId="21" w16cid:durableId="977877049">
    <w:abstractNumId w:val="9"/>
  </w:num>
  <w:num w:numId="22" w16cid:durableId="1548952334">
    <w:abstractNumId w:val="7"/>
  </w:num>
  <w:num w:numId="23" w16cid:durableId="540552197">
    <w:abstractNumId w:val="6"/>
  </w:num>
  <w:num w:numId="24" w16cid:durableId="881290747">
    <w:abstractNumId w:val="5"/>
  </w:num>
  <w:num w:numId="25" w16cid:durableId="740953183">
    <w:abstractNumId w:val="4"/>
  </w:num>
  <w:num w:numId="26" w16cid:durableId="1546410450">
    <w:abstractNumId w:val="8"/>
  </w:num>
  <w:num w:numId="27" w16cid:durableId="494614755">
    <w:abstractNumId w:val="3"/>
  </w:num>
  <w:num w:numId="28" w16cid:durableId="1836607484">
    <w:abstractNumId w:val="2"/>
  </w:num>
  <w:num w:numId="29" w16cid:durableId="886990916">
    <w:abstractNumId w:val="1"/>
  </w:num>
  <w:num w:numId="30" w16cid:durableId="338583368">
    <w:abstractNumId w:val="0"/>
  </w:num>
  <w:num w:numId="31" w16cid:durableId="1759979225">
    <w:abstractNumId w:val="9"/>
  </w:num>
  <w:num w:numId="32" w16cid:durableId="1032221097">
    <w:abstractNumId w:val="7"/>
  </w:num>
  <w:num w:numId="33" w16cid:durableId="363091923">
    <w:abstractNumId w:val="6"/>
  </w:num>
  <w:num w:numId="34" w16cid:durableId="266545780">
    <w:abstractNumId w:val="5"/>
  </w:num>
  <w:num w:numId="35" w16cid:durableId="150364976">
    <w:abstractNumId w:val="4"/>
  </w:num>
  <w:num w:numId="36" w16cid:durableId="196551443">
    <w:abstractNumId w:val="8"/>
  </w:num>
  <w:num w:numId="37" w16cid:durableId="1769696725">
    <w:abstractNumId w:val="3"/>
  </w:num>
  <w:num w:numId="38" w16cid:durableId="1032075692">
    <w:abstractNumId w:val="2"/>
  </w:num>
  <w:num w:numId="39" w16cid:durableId="1298098368">
    <w:abstractNumId w:val="1"/>
  </w:num>
  <w:num w:numId="40" w16cid:durableId="986982409">
    <w:abstractNumId w:val="0"/>
  </w:num>
  <w:num w:numId="41" w16cid:durableId="971600303">
    <w:abstractNumId w:val="10"/>
  </w:num>
  <w:num w:numId="42" w16cid:durableId="571737174">
    <w:abstractNumId w:val="10"/>
  </w:num>
  <w:num w:numId="43" w16cid:durableId="1969781515">
    <w:abstractNumId w:val="10"/>
  </w:num>
  <w:num w:numId="44" w16cid:durableId="14830822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BG"/>
    <w:docVar w:name="dvnumam" w:val="0"/>
    <w:docVar w:name="dvpe" w:val="779.456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на приемането на Регламент на Европейския Парламент и на Съвета относно безопасността на играчките и за отмяна на Директива 2009/48/ЕО(09663/1/2025 – C10-0251/2025 – 2023/0290(COD))"/>
  </w:docVars>
  <w:rsids>
    <w:rsidRoot w:val="009A3BE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55D9"/>
    <w:rsid w:val="002B18FE"/>
    <w:rsid w:val="002B5493"/>
    <w:rsid w:val="002E196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767"/>
    <w:rsid w:val="0050519A"/>
    <w:rsid w:val="005072A1"/>
    <w:rsid w:val="00514517"/>
    <w:rsid w:val="00525534"/>
    <w:rsid w:val="00545827"/>
    <w:rsid w:val="00560270"/>
    <w:rsid w:val="005C2568"/>
    <w:rsid w:val="005F1B17"/>
    <w:rsid w:val="006037C0"/>
    <w:rsid w:val="006631B6"/>
    <w:rsid w:val="00680577"/>
    <w:rsid w:val="006D6BE4"/>
    <w:rsid w:val="006F74FA"/>
    <w:rsid w:val="00731ADD"/>
    <w:rsid w:val="00734777"/>
    <w:rsid w:val="00747932"/>
    <w:rsid w:val="00751A4A"/>
    <w:rsid w:val="00756632"/>
    <w:rsid w:val="0076252C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127"/>
    <w:rsid w:val="009A3BE6"/>
    <w:rsid w:val="009E76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A3E"/>
    <w:rsid w:val="00B92200"/>
    <w:rsid w:val="00BD48FE"/>
    <w:rsid w:val="00BD7BD8"/>
    <w:rsid w:val="00BE6ADC"/>
    <w:rsid w:val="00C05BFE"/>
    <w:rsid w:val="00C23CD4"/>
    <w:rsid w:val="00C61C0C"/>
    <w:rsid w:val="00C941CB"/>
    <w:rsid w:val="00C96099"/>
    <w:rsid w:val="00CC2357"/>
    <w:rsid w:val="00CF071A"/>
    <w:rsid w:val="00D058B8"/>
    <w:rsid w:val="00D56C11"/>
    <w:rsid w:val="00D834A0"/>
    <w:rsid w:val="00D872DF"/>
    <w:rsid w:val="00D91E21"/>
    <w:rsid w:val="00DA7FCD"/>
    <w:rsid w:val="00E05160"/>
    <w:rsid w:val="00E365E1"/>
    <w:rsid w:val="00E418C8"/>
    <w:rsid w:val="00E820A4"/>
    <w:rsid w:val="00EB006A"/>
    <w:rsid w:val="00EB4772"/>
    <w:rsid w:val="00ED169E"/>
    <w:rsid w:val="00ED4235"/>
    <w:rsid w:val="00F04346"/>
    <w:rsid w:val="00F075DC"/>
    <w:rsid w:val="00F13D38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4B8D5B"/>
  <w15:chartTrackingRefBased/>
  <w15:docId w15:val="{DA4C8EC1-8606-4A41-BFEA-B9953AB1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18C8"/>
    <w:pPr>
      <w:spacing w:before="480" w:after="240"/>
    </w:pPr>
  </w:style>
  <w:style w:type="paragraph" w:customStyle="1" w:styleId="NormalBold">
    <w:name w:val="NormalBold"/>
    <w:basedOn w:val="Normal"/>
    <w:rsid w:val="00E418C8"/>
    <w:rPr>
      <w:b/>
    </w:rPr>
  </w:style>
  <w:style w:type="paragraph" w:customStyle="1" w:styleId="NormalHanging12a">
    <w:name w:val="NormalHanging12a"/>
    <w:basedOn w:val="Normal"/>
    <w:rsid w:val="00E418C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A55D9"/>
    <w:rPr>
      <w:sz w:val="24"/>
      <w:lang w:val="bg-BG"/>
    </w:rPr>
  </w:style>
  <w:style w:type="character" w:styleId="Hyperlink">
    <w:name w:val="Hyperlink"/>
    <w:basedOn w:val="DefaultParagraphFont"/>
    <w:rsid w:val="002A55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55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4F57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57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5767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4F5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5767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2026-01-27T15:19:00Z</dcterms:created>
  <dcterms:modified xsi:type="dcterms:W3CDTF">2026-01-27T15:19:00Z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