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0770" w14:paraId="64CACC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250C6D" w14:textId="77777777" w:rsidR="00751A4A" w:rsidRPr="00C20770" w:rsidRDefault="00B07E8A" w:rsidP="0010095E">
            <w:pPr>
              <w:pStyle w:val="EPName"/>
            </w:pPr>
            <w:r w:rsidRPr="00C20770">
              <w:t>Evropský parlament</w:t>
            </w:r>
          </w:p>
          <w:p w14:paraId="295AA224" w14:textId="77777777" w:rsidR="00751A4A" w:rsidRPr="00C207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0770">
              <w:t>2024</w:t>
            </w:r>
            <w:r w:rsidR="00817416" w:rsidRPr="00C20770">
              <w:t>-202</w:t>
            </w:r>
            <w:r w:rsidRPr="00C20770">
              <w:t>9</w:t>
            </w:r>
          </w:p>
        </w:tc>
        <w:tc>
          <w:tcPr>
            <w:tcW w:w="2268" w:type="dxa"/>
            <w:shd w:val="clear" w:color="auto" w:fill="auto"/>
          </w:tcPr>
          <w:p w14:paraId="150B1254" w14:textId="77777777" w:rsidR="00751A4A" w:rsidRPr="00C20770" w:rsidRDefault="00187494" w:rsidP="0010095E">
            <w:pPr>
              <w:pStyle w:val="EPLogo"/>
            </w:pPr>
            <w:r w:rsidRPr="00C20770">
              <w:rPr>
                <w:noProof/>
                <w:lang w:eastAsia="ja-JP"/>
              </w:rPr>
              <w:drawing>
                <wp:inline distT="0" distB="0" distL="0" distR="0" wp14:anchorId="28C39F08" wp14:editId="73B8B6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13602" w14:textId="77777777" w:rsidR="00D058B8" w:rsidRPr="00C20770" w:rsidRDefault="00D058B8" w:rsidP="004C5D52">
      <w:pPr>
        <w:pStyle w:val="LineTop"/>
      </w:pPr>
    </w:p>
    <w:p w14:paraId="5651BE58" w14:textId="77777777" w:rsidR="00680577" w:rsidRPr="00C20770" w:rsidRDefault="00B07E8A" w:rsidP="00680577">
      <w:pPr>
        <w:pStyle w:val="EPBodyTA1"/>
      </w:pPr>
      <w:r w:rsidRPr="00C20770">
        <w:t>PŘIJATÉ TEXTY</w:t>
      </w:r>
    </w:p>
    <w:p w14:paraId="19002B16" w14:textId="77777777" w:rsidR="00D058B8" w:rsidRPr="00C20770" w:rsidRDefault="00D058B8" w:rsidP="00D058B8">
      <w:pPr>
        <w:pStyle w:val="LineBottom"/>
      </w:pPr>
    </w:p>
    <w:p w14:paraId="36819ACC" w14:textId="338DEBDB" w:rsidR="00B07E8A" w:rsidRPr="00FA4B87" w:rsidRDefault="00B07E8A" w:rsidP="00B07E8A">
      <w:pPr>
        <w:pStyle w:val="ATHeading1"/>
      </w:pPr>
      <w:bookmarkStart w:id="0" w:name="TANumber"/>
      <w:r w:rsidRPr="00FA4B87">
        <w:t>P10_</w:t>
      </w:r>
      <w:proofErr w:type="gramStart"/>
      <w:r w:rsidRPr="00FA4B87">
        <w:t>TA(</w:t>
      </w:r>
      <w:proofErr w:type="gramEnd"/>
      <w:r w:rsidRPr="00FA4B87">
        <w:t>2025)0</w:t>
      </w:r>
      <w:r w:rsidR="0007474B">
        <w:t>279</w:t>
      </w:r>
      <w:bookmarkEnd w:id="0"/>
    </w:p>
    <w:p w14:paraId="251C599B" w14:textId="77777777" w:rsidR="00B07E8A" w:rsidRPr="00FA4B87" w:rsidRDefault="00B07E8A" w:rsidP="00B07E8A">
      <w:pPr>
        <w:pStyle w:val="ATHeading2"/>
      </w:pPr>
      <w:bookmarkStart w:id="1" w:name="title"/>
      <w:r w:rsidRPr="00FA4B87">
        <w:t>Bezpečnost hraček a zrušení směrnice 2009/48/ES</w:t>
      </w:r>
      <w:bookmarkEnd w:id="1"/>
    </w:p>
    <w:p w14:paraId="4BA64C73" w14:textId="77777777" w:rsidR="00B07E8A" w:rsidRPr="00C20770" w:rsidRDefault="00B07E8A" w:rsidP="00B07E8A">
      <w:pPr>
        <w:rPr>
          <w:i/>
          <w:vanish/>
        </w:rPr>
      </w:pPr>
      <w:r w:rsidRPr="00C20770">
        <w:rPr>
          <w:i/>
        </w:rPr>
        <w:fldChar w:fldCharType="begin"/>
      </w:r>
      <w:r w:rsidRPr="00C20770">
        <w:rPr>
          <w:i/>
        </w:rPr>
        <w:instrText xml:space="preserve"> TC"(</w:instrText>
      </w:r>
      <w:bookmarkStart w:id="2" w:name="DocNumber"/>
      <w:r w:rsidRPr="00C20770">
        <w:rPr>
          <w:i/>
        </w:rPr>
        <w:instrText>A10-0227/2025</w:instrText>
      </w:r>
      <w:bookmarkEnd w:id="2"/>
      <w:r w:rsidRPr="00C20770">
        <w:rPr>
          <w:i/>
        </w:rPr>
        <w:instrText xml:space="preserve"> - Zpravodajka: Marion Walsmann)"\l3 \n&gt; \* MERGEFORMAT </w:instrText>
      </w:r>
      <w:r w:rsidRPr="00C20770">
        <w:rPr>
          <w:i/>
        </w:rPr>
        <w:fldChar w:fldCharType="end"/>
      </w:r>
    </w:p>
    <w:p w14:paraId="45CFBA02" w14:textId="77777777" w:rsidR="00B07E8A" w:rsidRPr="00C20770" w:rsidRDefault="00B07E8A" w:rsidP="00B07E8A">
      <w:pPr>
        <w:rPr>
          <w:vanish/>
        </w:rPr>
      </w:pPr>
      <w:bookmarkStart w:id="3" w:name="Commission"/>
      <w:r w:rsidRPr="00C20770">
        <w:rPr>
          <w:vanish/>
        </w:rPr>
        <w:t>Výbor pro vnitřní trh a ochranu spotřebitelů</w:t>
      </w:r>
      <w:bookmarkEnd w:id="3"/>
    </w:p>
    <w:p w14:paraId="4D1FBD96" w14:textId="77777777" w:rsidR="00B07E8A" w:rsidRPr="00C20770" w:rsidRDefault="00B07E8A" w:rsidP="00B07E8A">
      <w:pPr>
        <w:rPr>
          <w:vanish/>
        </w:rPr>
      </w:pPr>
      <w:bookmarkStart w:id="4" w:name="PE"/>
      <w:r w:rsidRPr="00C20770">
        <w:rPr>
          <w:vanish/>
        </w:rPr>
        <w:t>PE779.456</w:t>
      </w:r>
      <w:bookmarkEnd w:id="4"/>
    </w:p>
    <w:p w14:paraId="55B8FBAF" w14:textId="776B851E" w:rsidR="00B07E8A" w:rsidRPr="00FA4B87" w:rsidRDefault="00B07E8A" w:rsidP="00B07E8A">
      <w:pPr>
        <w:pStyle w:val="ATHeading3"/>
      </w:pPr>
      <w:bookmarkStart w:id="5" w:name="Sujet"/>
      <w:r w:rsidRPr="00FA4B87">
        <w:t>Legislativní usnesení Evropského parlamentu ze dne 25. listopadu 2025 k postoji Rady v prvním čtení k přijetí nařízení Evropského parlamentu a Rady o bezpečnosti hraček a o zrušení směrnice 2009/48/ES</w:t>
      </w:r>
      <w:bookmarkEnd w:id="5"/>
      <w:r w:rsidR="00C20770" w:rsidRPr="00FA4B87">
        <w:t xml:space="preserve"> </w:t>
      </w:r>
      <w:bookmarkStart w:id="6" w:name="References"/>
      <w:r w:rsidRPr="00FA4B87">
        <w:t>(09663/1/2025 – C10-0251/</w:t>
      </w:r>
      <w:proofErr w:type="gramStart"/>
      <w:r w:rsidRPr="00FA4B87">
        <w:t>2025 – 2023</w:t>
      </w:r>
      <w:proofErr w:type="gramEnd"/>
      <w:r w:rsidRPr="00FA4B87">
        <w:t>/0290(COD))</w:t>
      </w:r>
      <w:bookmarkEnd w:id="6"/>
    </w:p>
    <w:p w14:paraId="349C3A66" w14:textId="77777777" w:rsidR="00B07E8A" w:rsidRPr="00C20770" w:rsidRDefault="00B07E8A" w:rsidP="00B07E8A"/>
    <w:p w14:paraId="3CC8E3E0" w14:textId="77777777" w:rsidR="008F0DA0" w:rsidRPr="00C20770" w:rsidRDefault="008F0DA0" w:rsidP="008F0DA0">
      <w:pPr>
        <w:pStyle w:val="NormalBold"/>
      </w:pPr>
      <w:bookmarkStart w:id="7" w:name="TextBodyBegin"/>
      <w:bookmarkEnd w:id="7"/>
      <w:r w:rsidRPr="00C20770">
        <w:t>(Řádný legislativní postup: druhé čtení)</w:t>
      </w:r>
    </w:p>
    <w:p w14:paraId="01DAE391" w14:textId="77777777" w:rsidR="008F0DA0" w:rsidRPr="00C20770" w:rsidRDefault="008F0DA0" w:rsidP="008F0DA0">
      <w:pPr>
        <w:pStyle w:val="EPComma"/>
      </w:pPr>
      <w:r w:rsidRPr="00C20770">
        <w:rPr>
          <w:i/>
        </w:rPr>
        <w:t>Evropský parlament</w:t>
      </w:r>
      <w:r w:rsidRPr="00C20770">
        <w:t>,</w:t>
      </w:r>
    </w:p>
    <w:p w14:paraId="4558E753" w14:textId="77777777" w:rsidR="008F0DA0" w:rsidRPr="00C20770" w:rsidRDefault="008F0DA0" w:rsidP="008F0DA0">
      <w:pPr>
        <w:pStyle w:val="NormalHanging12a"/>
      </w:pPr>
      <w:r w:rsidRPr="00C20770">
        <w:t>–</w:t>
      </w:r>
      <w:r w:rsidRPr="00C20770">
        <w:tab/>
        <w:t>s ohledem na postoj Rady v prvním čtení (09663/1/2025 – C10</w:t>
      </w:r>
      <w:r w:rsidRPr="00C20770">
        <w:noBreakHyphen/>
        <w:t>0251/2025),</w:t>
      </w:r>
    </w:p>
    <w:p w14:paraId="7EAF3717" w14:textId="77777777" w:rsidR="008F0DA0" w:rsidRPr="00C20770" w:rsidRDefault="008F0DA0" w:rsidP="008F0DA0">
      <w:pPr>
        <w:pStyle w:val="NormalHanging12a"/>
      </w:pPr>
      <w:r w:rsidRPr="00C20770">
        <w:t>–</w:t>
      </w:r>
      <w:r w:rsidRPr="00C20770">
        <w:tab/>
        <w:t>s ohledem na stanovisko Evropského hospodářského a sociálního výboru ze dne 13. prosince 2023</w:t>
      </w:r>
      <w:r w:rsidRPr="00C20770">
        <w:rPr>
          <w:rStyle w:val="FootnoteReference"/>
        </w:rPr>
        <w:footnoteReference w:id="1"/>
      </w:r>
      <w:r w:rsidRPr="00C20770">
        <w:t>,</w:t>
      </w:r>
    </w:p>
    <w:p w14:paraId="22E15954" w14:textId="6051AA7E" w:rsidR="008F0DA0" w:rsidRPr="00C20770" w:rsidRDefault="008F0DA0" w:rsidP="008F0DA0">
      <w:pPr>
        <w:pStyle w:val="NormalHanging12a"/>
      </w:pPr>
      <w:r w:rsidRPr="00C20770">
        <w:t>–</w:t>
      </w:r>
      <w:r w:rsidRPr="00C20770">
        <w:tab/>
        <w:t>s ohledem na svůj postoj v prvním čtení</w:t>
      </w:r>
      <w:r w:rsidRPr="00C20770">
        <w:rPr>
          <w:rStyle w:val="FootnoteReference"/>
        </w:rPr>
        <w:footnoteReference w:id="2"/>
      </w:r>
      <w:r w:rsidRPr="00C20770">
        <w:t xml:space="preserve"> k návrhu Komise Evropskému parlamentu a Radě (</w:t>
      </w:r>
      <w:proofErr w:type="gramStart"/>
      <w:r w:rsidRPr="00C20770">
        <w:t>COM(</w:t>
      </w:r>
      <w:proofErr w:type="gramEnd"/>
      <w:r w:rsidRPr="00C20770">
        <w:t>2023)</w:t>
      </w:r>
      <w:r w:rsidR="00C20770">
        <w:t>0</w:t>
      </w:r>
      <w:r w:rsidRPr="00C20770">
        <w:t>462),</w:t>
      </w:r>
    </w:p>
    <w:p w14:paraId="3A2CBB9D" w14:textId="77777777" w:rsidR="008F0DA0" w:rsidRPr="00C20770" w:rsidRDefault="008F0DA0" w:rsidP="008F0DA0">
      <w:pPr>
        <w:pStyle w:val="NormalHanging12a"/>
      </w:pPr>
      <w:r w:rsidRPr="00C20770">
        <w:t>–</w:t>
      </w:r>
      <w:r w:rsidRPr="00C20770">
        <w:tab/>
        <w:t>s ohledem na čl. 294 odst. 7 Smlouvy o fungování Evropské unie,</w:t>
      </w:r>
    </w:p>
    <w:p w14:paraId="6126568B" w14:textId="77777777" w:rsidR="008F0DA0" w:rsidRPr="00C20770" w:rsidRDefault="008F0DA0" w:rsidP="008F0DA0">
      <w:pPr>
        <w:pStyle w:val="NormalHanging12a"/>
      </w:pPr>
      <w:r w:rsidRPr="00C20770">
        <w:t>–</w:t>
      </w:r>
      <w:r w:rsidRPr="00C20770">
        <w:tab/>
        <w:t>s ohledem na předběžnou dohodu přijatou příslušným výborem podle čl. 75 odst. 4 jednacího řádu,</w:t>
      </w:r>
    </w:p>
    <w:p w14:paraId="16D2EA8A" w14:textId="77777777" w:rsidR="008F0DA0" w:rsidRPr="00C20770" w:rsidRDefault="008F0DA0" w:rsidP="008F0DA0">
      <w:pPr>
        <w:pStyle w:val="NormalHanging12a"/>
      </w:pPr>
      <w:r w:rsidRPr="00C20770">
        <w:t>–</w:t>
      </w:r>
      <w:r w:rsidRPr="00C20770">
        <w:tab/>
        <w:t>s ohledem na článek 68 jednacího řádu,</w:t>
      </w:r>
    </w:p>
    <w:p w14:paraId="347C7405" w14:textId="77777777" w:rsidR="008F0DA0" w:rsidRPr="00C20770" w:rsidRDefault="008F0DA0" w:rsidP="008F0DA0">
      <w:pPr>
        <w:pStyle w:val="NormalHanging12a"/>
      </w:pPr>
      <w:r w:rsidRPr="00C20770">
        <w:t>–</w:t>
      </w:r>
      <w:r w:rsidRPr="00C20770">
        <w:tab/>
        <w:t>s ohledem na doporučení pro druhé čtení předložené Výborem pro vnitřní trh a ochranu spotřebitelů (A10</w:t>
      </w:r>
      <w:r w:rsidRPr="00C20770">
        <w:noBreakHyphen/>
        <w:t>0227/2025),</w:t>
      </w:r>
    </w:p>
    <w:p w14:paraId="257BAD06" w14:textId="77777777" w:rsidR="008F0DA0" w:rsidRPr="00C20770" w:rsidRDefault="008F0DA0" w:rsidP="008F0DA0">
      <w:pPr>
        <w:pStyle w:val="NormalHanging12a"/>
      </w:pPr>
      <w:r w:rsidRPr="00C20770">
        <w:t>1.</w:t>
      </w:r>
      <w:r w:rsidRPr="00C20770">
        <w:tab/>
        <w:t>schvaluje postoj Rady v prvním čtení;</w:t>
      </w:r>
    </w:p>
    <w:p w14:paraId="14A9846B" w14:textId="77777777" w:rsidR="008F0DA0" w:rsidRPr="00C20770" w:rsidRDefault="008F0DA0" w:rsidP="008F0DA0">
      <w:pPr>
        <w:pStyle w:val="NormalHanging12a"/>
      </w:pPr>
      <w:r w:rsidRPr="00C20770">
        <w:t>2.</w:t>
      </w:r>
      <w:r w:rsidRPr="00C20770">
        <w:tab/>
        <w:t>bere na vědomí prohlášení Komise, které je přílohou tohoto usnesení a bude zveřejněno v řadě C</w:t>
      </w:r>
      <w:r w:rsidRPr="00C20770">
        <w:rPr>
          <w:i/>
          <w:iCs/>
        </w:rPr>
        <w:t> Úředního věstníku Evropské unie</w:t>
      </w:r>
      <w:r w:rsidRPr="00C20770">
        <w:t>;</w:t>
      </w:r>
    </w:p>
    <w:p w14:paraId="4649AA0E" w14:textId="77777777" w:rsidR="008F0DA0" w:rsidRPr="00C20770" w:rsidRDefault="008F0DA0" w:rsidP="008F0DA0">
      <w:pPr>
        <w:pStyle w:val="NormalHanging12a"/>
      </w:pPr>
      <w:r w:rsidRPr="00C20770">
        <w:t>3.</w:t>
      </w:r>
      <w:r w:rsidRPr="00C20770">
        <w:tab/>
        <w:t>konstatuje, že akt je přijat v souladu s postojem Rady;</w:t>
      </w:r>
    </w:p>
    <w:p w14:paraId="130DA2DF" w14:textId="77777777" w:rsidR="008F0DA0" w:rsidRPr="00C20770" w:rsidRDefault="008F0DA0" w:rsidP="008F0DA0">
      <w:pPr>
        <w:pStyle w:val="NormalHanging12a"/>
      </w:pPr>
      <w:r w:rsidRPr="00C20770">
        <w:t>4.</w:t>
      </w:r>
      <w:r w:rsidRPr="00C20770">
        <w:tab/>
        <w:t xml:space="preserve">pověřuje svou předsedkyni, aby společně s předsedou Rady podepsala akt podle čl. 297 </w:t>
      </w:r>
      <w:r w:rsidRPr="00C20770">
        <w:lastRenderedPageBreak/>
        <w:t>odst. 1 Smlouvy o fungování Evropské unie;</w:t>
      </w:r>
    </w:p>
    <w:p w14:paraId="0D2DF8F1" w14:textId="77777777" w:rsidR="008F0DA0" w:rsidRPr="00C20770" w:rsidRDefault="008F0DA0" w:rsidP="008F0DA0">
      <w:pPr>
        <w:pStyle w:val="NormalHanging12a"/>
      </w:pPr>
      <w:r w:rsidRPr="00C20770">
        <w:t>5.</w:t>
      </w:r>
      <w:r w:rsidRPr="00C20770">
        <w:tab/>
        <w:t xml:space="preserve">pověřuje svého generálního tajemníka, aby akt podepsal poté, co </w:t>
      </w:r>
      <w:proofErr w:type="gramStart"/>
      <w:r w:rsidRPr="00C20770">
        <w:t>ověří</w:t>
      </w:r>
      <w:proofErr w:type="gramEnd"/>
      <w:r w:rsidRPr="00C20770">
        <w:t>, že všechny postupy byly řádně ukončeny, a aby společně s generálním tajemníkem Rady zajistil jeho zveřejnění v </w:t>
      </w:r>
      <w:r w:rsidRPr="00C20770">
        <w:rPr>
          <w:i/>
        </w:rPr>
        <w:t>Úředním věstníku Evropské unie</w:t>
      </w:r>
      <w:r w:rsidRPr="00C20770">
        <w:t>;</w:t>
      </w:r>
    </w:p>
    <w:p w14:paraId="37B3E44F" w14:textId="77777777" w:rsidR="008F0DA0" w:rsidRPr="00C20770" w:rsidRDefault="008F0DA0" w:rsidP="008F0DA0">
      <w:pPr>
        <w:pStyle w:val="NormalHanging12a"/>
      </w:pPr>
      <w:r w:rsidRPr="00C20770">
        <w:t>6.</w:t>
      </w:r>
      <w:r w:rsidRPr="00C20770">
        <w:tab/>
        <w:t>pověřuje svou předsedkyni, aby předala postoj Parlamentu Radě a Komisi, jakož i vnitrostátním parlamentům.</w:t>
      </w:r>
    </w:p>
    <w:p w14:paraId="0B4A6B5E" w14:textId="77777777" w:rsidR="008F0DA0" w:rsidRPr="00C20770" w:rsidRDefault="008F0DA0" w:rsidP="008F0DA0">
      <w:pPr>
        <w:widowControl/>
      </w:pPr>
      <w:r w:rsidRPr="00C20770">
        <w:br w:type="page"/>
      </w:r>
    </w:p>
    <w:p w14:paraId="7E584A4A" w14:textId="4D27292A" w:rsidR="00137F81" w:rsidRPr="00137F81" w:rsidRDefault="008F0DA0" w:rsidP="00137F81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8" w:name="_Toc213238566"/>
      <w:bookmarkStart w:id="9" w:name="_Toc214548309"/>
      <w:r w:rsidRPr="00137F81">
        <w:rPr>
          <w:rFonts w:ascii="Times New Roman" w:hAnsi="Times New Roman" w:cs="Times New Roman"/>
          <w:b w:val="0"/>
          <w:bCs/>
        </w:rPr>
        <w:lastRenderedPageBreak/>
        <w:t>PŘÍLOHA K LEGISLATIVNÍMU USNESENÍ</w:t>
      </w:r>
    </w:p>
    <w:p w14:paraId="0FBB83F7" w14:textId="19FA85C8" w:rsidR="008F0DA0" w:rsidRPr="00137F81" w:rsidRDefault="008F0DA0" w:rsidP="008F0DA0">
      <w:pPr>
        <w:pStyle w:val="PageHeading"/>
        <w:outlineLvl w:val="0"/>
        <w:rPr>
          <w:rFonts w:ascii="Times New Roman" w:hAnsi="Times New Roman" w:cs="Times New Roman"/>
        </w:rPr>
      </w:pPr>
      <w:r w:rsidRPr="00137F81">
        <w:rPr>
          <w:rFonts w:ascii="Times New Roman" w:hAnsi="Times New Roman" w:cs="Times New Roman"/>
        </w:rPr>
        <w:t>PROHLÁŠENÍ KOMISE</w:t>
      </w:r>
      <w:bookmarkEnd w:id="8"/>
      <w:bookmarkEnd w:id="9"/>
      <w:r w:rsidR="00617033">
        <w:rPr>
          <w:rFonts w:ascii="Times New Roman" w:hAnsi="Times New Roman" w:cs="Times New Roman"/>
        </w:rPr>
        <w:t xml:space="preserve"> K PŘIJETÍ NAŘÍZENÍ</w:t>
      </w:r>
      <w:r w:rsidR="00CF375E">
        <w:rPr>
          <w:rFonts w:ascii="Times New Roman" w:hAnsi="Times New Roman" w:cs="Times New Roman"/>
        </w:rPr>
        <w:t xml:space="preserve"> (EU) </w:t>
      </w:r>
      <w:r w:rsidR="00617033">
        <w:rPr>
          <w:rFonts w:ascii="Times New Roman" w:hAnsi="Times New Roman" w:cs="Times New Roman"/>
        </w:rPr>
        <w:t>2025</w:t>
      </w:r>
      <w:r w:rsidR="00617033" w:rsidRPr="00617033">
        <w:rPr>
          <w:rFonts w:ascii="Times New Roman" w:hAnsi="Times New Roman" w:cs="Times New Roman"/>
        </w:rPr>
        <w:t>/</w:t>
      </w:r>
      <w:r w:rsidR="00CF375E">
        <w:rPr>
          <w:rFonts w:ascii="Times New Roman" w:hAnsi="Times New Roman" w:cs="Times New Roman"/>
        </w:rPr>
        <w:t>2509</w:t>
      </w:r>
    </w:p>
    <w:p w14:paraId="66A35D61" w14:textId="7283C6CB" w:rsidR="007A3E1B" w:rsidRPr="00C20770" w:rsidRDefault="008F0DA0" w:rsidP="007A3E1B">
      <w:bookmarkStart w:id="10" w:name="_Hlk196383635"/>
      <w:r w:rsidRPr="00137F81">
        <w:t>Komise pravidelně a systematicky vyhodnocuje výskyt nebezpečných chemických látek v hračkách s přihlédnutím k dostupným vědeckým poznatkům s cílem upravit limitní hodnoty nebo podmínky pro přítomnost konkrétních chemických látek nebo směsí v hračkách</w:t>
      </w:r>
      <w:r w:rsidRPr="00C20770">
        <w:t xml:space="preserve"> v souladu s článkem 46 nařízení </w:t>
      </w:r>
      <w:r w:rsidR="00CF375E">
        <w:t xml:space="preserve">(EU) </w:t>
      </w:r>
      <w:r w:rsidRPr="00C20770">
        <w:t>2025/</w:t>
      </w:r>
      <w:r w:rsidR="00CF375E">
        <w:t>2509</w:t>
      </w:r>
      <w:r w:rsidRPr="00C20770">
        <w:t xml:space="preserve"> o bezpečnosti hraček. Za tímto účelem si Komise do 12 měsíců od vstupu tohoto nařízení v platnost vyžádá stanovisko Evropské agentury pro chemické látky k bezpečnosti </w:t>
      </w:r>
      <w:proofErr w:type="spellStart"/>
      <w:r w:rsidRPr="00C20770">
        <w:t>nitrosaminů</w:t>
      </w:r>
      <w:proofErr w:type="spellEnd"/>
      <w:r w:rsidRPr="00C20770">
        <w:t xml:space="preserve"> a </w:t>
      </w:r>
      <w:proofErr w:type="spellStart"/>
      <w:r w:rsidRPr="00C20770">
        <w:t>nitrosovatelných</w:t>
      </w:r>
      <w:proofErr w:type="spellEnd"/>
      <w:r w:rsidRPr="00C20770">
        <w:t xml:space="preserve"> látek v hračkách s ohledem na celkovou expozici. Za stejným účelem si Komise do 24 měsíců od vstupu tohoto nařízení v platnost vyžádá stanovisko Evropské agentury pro chemické látky k bezpečnosti olova, kadmia, rtuti a chromu VI v hračkách s ohledem na celkovou expozici.</w:t>
      </w:r>
      <w:bookmarkEnd w:id="10"/>
    </w:p>
    <w:p w14:paraId="0934B1CE" w14:textId="62F625C3" w:rsidR="00E365E1" w:rsidRPr="00C20770" w:rsidRDefault="00E365E1" w:rsidP="00B07E8A"/>
    <w:sectPr w:rsidR="00E365E1" w:rsidRPr="00C20770" w:rsidSect="007A3E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865D5" w14:textId="77777777" w:rsidR="00B07E8A" w:rsidRPr="007A3E1B" w:rsidRDefault="00B07E8A">
      <w:r w:rsidRPr="007A3E1B">
        <w:separator/>
      </w:r>
    </w:p>
  </w:endnote>
  <w:endnote w:type="continuationSeparator" w:id="0">
    <w:p w14:paraId="49336906" w14:textId="77777777" w:rsidR="00B07E8A" w:rsidRPr="007A3E1B" w:rsidRDefault="00B07E8A">
      <w:r w:rsidRPr="007A3E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2D55E" w14:textId="77777777" w:rsidR="00064002" w:rsidRPr="007A3E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6DF5A" w14:textId="77777777" w:rsidR="00064002" w:rsidRPr="007A3E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A871F" w14:textId="77777777" w:rsidR="00064002" w:rsidRPr="007A3E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8EF52" w14:textId="77777777" w:rsidR="00B07E8A" w:rsidRPr="007A3E1B" w:rsidRDefault="00B07E8A">
      <w:r w:rsidRPr="007A3E1B">
        <w:separator/>
      </w:r>
    </w:p>
  </w:footnote>
  <w:footnote w:type="continuationSeparator" w:id="0">
    <w:p w14:paraId="043A06A7" w14:textId="77777777" w:rsidR="00B07E8A" w:rsidRPr="007A3E1B" w:rsidRDefault="00B07E8A">
      <w:r w:rsidRPr="007A3E1B">
        <w:continuationSeparator/>
      </w:r>
    </w:p>
  </w:footnote>
  <w:footnote w:id="1">
    <w:p w14:paraId="1A3FE5D4" w14:textId="322E61B8" w:rsidR="008F0DA0" w:rsidRPr="007A3E1B" w:rsidRDefault="008F0DA0" w:rsidP="007A3E1B">
      <w:pPr>
        <w:pStyle w:val="FootnoteText"/>
        <w:ind w:left="567" w:hanging="567"/>
        <w:rPr>
          <w:sz w:val="24"/>
          <w:lang w:val="cs-CZ"/>
        </w:rPr>
      </w:pPr>
      <w:r w:rsidRPr="007A3E1B">
        <w:rPr>
          <w:rStyle w:val="FootnoteReference"/>
          <w:sz w:val="24"/>
          <w:lang w:val="cs-CZ"/>
        </w:rPr>
        <w:footnoteRef/>
      </w:r>
      <w:r w:rsidR="007A3E1B" w:rsidRPr="007A3E1B">
        <w:rPr>
          <w:sz w:val="24"/>
          <w:lang w:val="cs-CZ"/>
        </w:rPr>
        <w:t xml:space="preserve"> </w:t>
      </w:r>
      <w:r w:rsidR="007A3E1B" w:rsidRPr="007A3E1B">
        <w:rPr>
          <w:sz w:val="24"/>
          <w:lang w:val="cs-CZ"/>
        </w:rPr>
        <w:tab/>
      </w:r>
      <w:proofErr w:type="spellStart"/>
      <w:r w:rsidRPr="007A3E1B">
        <w:rPr>
          <w:sz w:val="24"/>
          <w:lang w:val="cs-CZ"/>
        </w:rPr>
        <w:t>Úř</w:t>
      </w:r>
      <w:proofErr w:type="spellEnd"/>
      <w:r w:rsidRPr="007A3E1B">
        <w:rPr>
          <w:sz w:val="24"/>
          <w:lang w:val="cs-CZ"/>
        </w:rPr>
        <w:t xml:space="preserve">. </w:t>
      </w:r>
      <w:proofErr w:type="spellStart"/>
      <w:r w:rsidRPr="007A3E1B">
        <w:rPr>
          <w:sz w:val="24"/>
          <w:lang w:val="cs-CZ"/>
        </w:rPr>
        <w:t>věst</w:t>
      </w:r>
      <w:proofErr w:type="spellEnd"/>
      <w:r w:rsidRPr="007A3E1B">
        <w:rPr>
          <w:sz w:val="24"/>
          <w:lang w:val="cs-CZ"/>
        </w:rPr>
        <w:t xml:space="preserve">. C, C/2024/1577, 5.3.2024, ELI: </w:t>
      </w:r>
      <w:hyperlink r:id="rId1" w:history="1">
        <w:r w:rsidRPr="00C20770">
          <w:rPr>
            <w:rStyle w:val="Hyperlink"/>
            <w:sz w:val="24"/>
            <w:lang w:val="cs-CZ"/>
          </w:rPr>
          <w:t>http://data.europa.eu/eli/C/2024/1577/oj</w:t>
        </w:r>
      </w:hyperlink>
      <w:r w:rsidRPr="007A3E1B">
        <w:rPr>
          <w:sz w:val="24"/>
          <w:lang w:val="cs-CZ"/>
        </w:rPr>
        <w:t>.</w:t>
      </w:r>
    </w:p>
  </w:footnote>
  <w:footnote w:id="2">
    <w:p w14:paraId="2060AC91" w14:textId="7E167689" w:rsidR="008F0DA0" w:rsidRPr="007A3E1B" w:rsidRDefault="008F0DA0" w:rsidP="007A3E1B">
      <w:pPr>
        <w:pStyle w:val="FootnoteText"/>
        <w:ind w:left="567" w:hanging="567"/>
        <w:rPr>
          <w:sz w:val="24"/>
          <w:lang w:val="cs-CZ"/>
        </w:rPr>
      </w:pPr>
      <w:r w:rsidRPr="007A3E1B">
        <w:rPr>
          <w:rStyle w:val="FootnoteReference"/>
          <w:sz w:val="24"/>
          <w:lang w:val="cs-CZ"/>
        </w:rPr>
        <w:footnoteRef/>
      </w:r>
      <w:r w:rsidR="007A3E1B" w:rsidRPr="007A3E1B">
        <w:rPr>
          <w:sz w:val="24"/>
          <w:lang w:val="cs-CZ"/>
        </w:rPr>
        <w:t xml:space="preserve"> </w:t>
      </w:r>
      <w:r w:rsidR="007A3E1B" w:rsidRPr="007A3E1B">
        <w:rPr>
          <w:sz w:val="24"/>
          <w:lang w:val="cs-CZ"/>
        </w:rPr>
        <w:tab/>
      </w:r>
      <w:proofErr w:type="spellStart"/>
      <w:r w:rsidRPr="007A3E1B">
        <w:rPr>
          <w:sz w:val="24"/>
          <w:lang w:val="cs-CZ"/>
        </w:rPr>
        <w:t>Úř</w:t>
      </w:r>
      <w:proofErr w:type="spellEnd"/>
      <w:r w:rsidRPr="007A3E1B">
        <w:rPr>
          <w:sz w:val="24"/>
          <w:lang w:val="cs-CZ"/>
        </w:rPr>
        <w:t xml:space="preserve">. </w:t>
      </w:r>
      <w:proofErr w:type="spellStart"/>
      <w:r w:rsidRPr="007A3E1B">
        <w:rPr>
          <w:sz w:val="24"/>
          <w:lang w:val="cs-CZ"/>
        </w:rPr>
        <w:t>věst</w:t>
      </w:r>
      <w:proofErr w:type="spellEnd"/>
      <w:r w:rsidRPr="007A3E1B">
        <w:rPr>
          <w:sz w:val="24"/>
          <w:lang w:val="cs-CZ"/>
        </w:rPr>
        <w:t>. C</w:t>
      </w:r>
      <w:r w:rsidR="008C64E5">
        <w:rPr>
          <w:sz w:val="24"/>
          <w:lang w:val="cs-CZ"/>
        </w:rPr>
        <w:t>,</w:t>
      </w:r>
      <w:r w:rsidRPr="007A3E1B">
        <w:rPr>
          <w:sz w:val="24"/>
          <w:lang w:val="cs-CZ"/>
        </w:rPr>
        <w:t xml:space="preserve"> C/2025/1032, 27.2.2025, ELI: </w:t>
      </w:r>
      <w:hyperlink r:id="rId2" w:history="1">
        <w:r w:rsidRPr="00C20770">
          <w:rPr>
            <w:rStyle w:val="Hyperlink"/>
            <w:sz w:val="24"/>
            <w:lang w:val="cs-CZ"/>
          </w:rPr>
          <w:t>http://data.europa.eu/eli/C/2025/1032/oj</w:t>
        </w:r>
      </w:hyperlink>
      <w:r w:rsidRPr="007A3E1B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FCBCD" w14:textId="77777777" w:rsidR="00064002" w:rsidRPr="007A3E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60E19" w14:textId="77777777" w:rsidR="00064002" w:rsidRPr="007A3E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E9DF7" w14:textId="77777777" w:rsidR="00064002" w:rsidRPr="007A3E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4347775">
    <w:abstractNumId w:val="9"/>
  </w:num>
  <w:num w:numId="2" w16cid:durableId="1897400314">
    <w:abstractNumId w:val="9"/>
  </w:num>
  <w:num w:numId="3" w16cid:durableId="1624000517">
    <w:abstractNumId w:val="7"/>
  </w:num>
  <w:num w:numId="4" w16cid:durableId="7602789">
    <w:abstractNumId w:val="7"/>
  </w:num>
  <w:num w:numId="5" w16cid:durableId="913469544">
    <w:abstractNumId w:val="6"/>
  </w:num>
  <w:num w:numId="6" w16cid:durableId="1117023390">
    <w:abstractNumId w:val="6"/>
  </w:num>
  <w:num w:numId="7" w16cid:durableId="322776285">
    <w:abstractNumId w:val="5"/>
  </w:num>
  <w:num w:numId="8" w16cid:durableId="340669684">
    <w:abstractNumId w:val="5"/>
  </w:num>
  <w:num w:numId="9" w16cid:durableId="1018460645">
    <w:abstractNumId w:val="4"/>
  </w:num>
  <w:num w:numId="10" w16cid:durableId="261039363">
    <w:abstractNumId w:val="4"/>
  </w:num>
  <w:num w:numId="11" w16cid:durableId="564683632">
    <w:abstractNumId w:val="8"/>
  </w:num>
  <w:num w:numId="12" w16cid:durableId="75061031">
    <w:abstractNumId w:val="8"/>
  </w:num>
  <w:num w:numId="13" w16cid:durableId="887424124">
    <w:abstractNumId w:val="3"/>
  </w:num>
  <w:num w:numId="14" w16cid:durableId="1759210957">
    <w:abstractNumId w:val="3"/>
  </w:num>
  <w:num w:numId="15" w16cid:durableId="1086729391">
    <w:abstractNumId w:val="2"/>
  </w:num>
  <w:num w:numId="16" w16cid:durableId="1656762174">
    <w:abstractNumId w:val="2"/>
  </w:num>
  <w:num w:numId="17" w16cid:durableId="1270356442">
    <w:abstractNumId w:val="1"/>
  </w:num>
  <w:num w:numId="18" w16cid:durableId="2110810364">
    <w:abstractNumId w:val="1"/>
  </w:num>
  <w:num w:numId="19" w16cid:durableId="2090149694">
    <w:abstractNumId w:val="0"/>
  </w:num>
  <w:num w:numId="20" w16cid:durableId="1751998468">
    <w:abstractNumId w:val="0"/>
  </w:num>
  <w:num w:numId="21" w16cid:durableId="1671524609">
    <w:abstractNumId w:val="9"/>
  </w:num>
  <w:num w:numId="22" w16cid:durableId="162669551">
    <w:abstractNumId w:val="7"/>
  </w:num>
  <w:num w:numId="23" w16cid:durableId="1527255731">
    <w:abstractNumId w:val="6"/>
  </w:num>
  <w:num w:numId="24" w16cid:durableId="849413629">
    <w:abstractNumId w:val="5"/>
  </w:num>
  <w:num w:numId="25" w16cid:durableId="469252683">
    <w:abstractNumId w:val="4"/>
  </w:num>
  <w:num w:numId="26" w16cid:durableId="580331428">
    <w:abstractNumId w:val="8"/>
  </w:num>
  <w:num w:numId="27" w16cid:durableId="1145515144">
    <w:abstractNumId w:val="3"/>
  </w:num>
  <w:num w:numId="28" w16cid:durableId="1778256041">
    <w:abstractNumId w:val="2"/>
  </w:num>
  <w:num w:numId="29" w16cid:durableId="1759595024">
    <w:abstractNumId w:val="1"/>
  </w:num>
  <w:num w:numId="30" w16cid:durableId="923222087">
    <w:abstractNumId w:val="0"/>
  </w:num>
  <w:num w:numId="31" w16cid:durableId="37778012">
    <w:abstractNumId w:val="9"/>
  </w:num>
  <w:num w:numId="32" w16cid:durableId="1171214891">
    <w:abstractNumId w:val="7"/>
  </w:num>
  <w:num w:numId="33" w16cid:durableId="151336847">
    <w:abstractNumId w:val="6"/>
  </w:num>
  <w:num w:numId="34" w16cid:durableId="763307862">
    <w:abstractNumId w:val="5"/>
  </w:num>
  <w:num w:numId="35" w16cid:durableId="213203998">
    <w:abstractNumId w:val="4"/>
  </w:num>
  <w:num w:numId="36" w16cid:durableId="187180956">
    <w:abstractNumId w:val="8"/>
  </w:num>
  <w:num w:numId="37" w16cid:durableId="190384028">
    <w:abstractNumId w:val="3"/>
  </w:num>
  <w:num w:numId="38" w16cid:durableId="203832276">
    <w:abstractNumId w:val="2"/>
  </w:num>
  <w:num w:numId="39" w16cid:durableId="410280594">
    <w:abstractNumId w:val="1"/>
  </w:num>
  <w:num w:numId="40" w16cid:durableId="1595163198">
    <w:abstractNumId w:val="0"/>
  </w:num>
  <w:num w:numId="41" w16cid:durableId="1569612438">
    <w:abstractNumId w:val="10"/>
  </w:num>
  <w:num w:numId="42" w16cid:durableId="2009749681">
    <w:abstractNumId w:val="10"/>
  </w:num>
  <w:num w:numId="43" w16cid:durableId="2058044543">
    <w:abstractNumId w:val="10"/>
  </w:num>
  <w:num w:numId="44" w16cid:durableId="280259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CS"/>
    <w:docVar w:name="dvnumam" w:val="0"/>
    <w:docVar w:name="dvpe" w:val="779.456"/>
    <w:docVar w:name="dvrapporteur" w:val="Zpravodajka: "/>
    <w:docVar w:name="dvstar" w:val="***II"/>
    <w:docVar w:name="dvtitre" w:val="Legislativní usnesení Evropského parlamentu ze dne 25. listopadu 2025 k postoji Rady v prvním čtení k přijetí nařízení Evropského parlamentu a Rady o bezpečnosti hraček a o zrušení směrnice 2009/48/ES (09663/1/2025 – C10-0251/2025 – 2023/0290(COD))"/>
  </w:docVars>
  <w:rsids>
    <w:rsidRoot w:val="00B07E8A"/>
    <w:rsid w:val="00002272"/>
    <w:rsid w:val="00064002"/>
    <w:rsid w:val="000677B9"/>
    <w:rsid w:val="0007474B"/>
    <w:rsid w:val="000831BA"/>
    <w:rsid w:val="000A42CC"/>
    <w:rsid w:val="000E7DD9"/>
    <w:rsid w:val="0010095E"/>
    <w:rsid w:val="00125B37"/>
    <w:rsid w:val="00137F81"/>
    <w:rsid w:val="00187494"/>
    <w:rsid w:val="001F32AE"/>
    <w:rsid w:val="002767FF"/>
    <w:rsid w:val="002B18FE"/>
    <w:rsid w:val="002B5493"/>
    <w:rsid w:val="002F24EB"/>
    <w:rsid w:val="00343214"/>
    <w:rsid w:val="00361C00"/>
    <w:rsid w:val="00395FA1"/>
    <w:rsid w:val="003E15D4"/>
    <w:rsid w:val="00411CCE"/>
    <w:rsid w:val="0041666E"/>
    <w:rsid w:val="00421060"/>
    <w:rsid w:val="004244B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703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E1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4E5"/>
    <w:rsid w:val="008F0DA0"/>
    <w:rsid w:val="00930C23"/>
    <w:rsid w:val="0093193B"/>
    <w:rsid w:val="00946D81"/>
    <w:rsid w:val="009509D8"/>
    <w:rsid w:val="00950B64"/>
    <w:rsid w:val="00981893"/>
    <w:rsid w:val="00A1687D"/>
    <w:rsid w:val="00A43E52"/>
    <w:rsid w:val="00A4678D"/>
    <w:rsid w:val="00A543D0"/>
    <w:rsid w:val="00A778C7"/>
    <w:rsid w:val="00AB441E"/>
    <w:rsid w:val="00AB6293"/>
    <w:rsid w:val="00AE0928"/>
    <w:rsid w:val="00AF3B82"/>
    <w:rsid w:val="00B07E8A"/>
    <w:rsid w:val="00B12E95"/>
    <w:rsid w:val="00B22876"/>
    <w:rsid w:val="00B558F0"/>
    <w:rsid w:val="00BD48FE"/>
    <w:rsid w:val="00BD7BD8"/>
    <w:rsid w:val="00BE6ADC"/>
    <w:rsid w:val="00C05BFE"/>
    <w:rsid w:val="00C20770"/>
    <w:rsid w:val="00C23CD4"/>
    <w:rsid w:val="00C45CF1"/>
    <w:rsid w:val="00C61C0C"/>
    <w:rsid w:val="00C941CB"/>
    <w:rsid w:val="00CC2357"/>
    <w:rsid w:val="00CF071A"/>
    <w:rsid w:val="00CF375E"/>
    <w:rsid w:val="00D058B8"/>
    <w:rsid w:val="00D56C11"/>
    <w:rsid w:val="00D834A0"/>
    <w:rsid w:val="00D872DF"/>
    <w:rsid w:val="00D91E21"/>
    <w:rsid w:val="00DA7FCD"/>
    <w:rsid w:val="00DC2F4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B8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3EA2"/>
  <w15:chartTrackingRefBased/>
  <w15:docId w15:val="{1E22CE62-7D9E-4C70-949D-A2893429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0DA0"/>
    <w:pPr>
      <w:spacing w:before="480" w:after="240"/>
    </w:pPr>
  </w:style>
  <w:style w:type="paragraph" w:customStyle="1" w:styleId="PageHeading">
    <w:name w:val="PageHeading"/>
    <w:basedOn w:val="Normal"/>
    <w:rsid w:val="008F0DA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F0DA0"/>
    <w:rPr>
      <w:b/>
    </w:rPr>
  </w:style>
  <w:style w:type="paragraph" w:customStyle="1" w:styleId="NormalHanging12a">
    <w:name w:val="NormalHanging12a"/>
    <w:basedOn w:val="Normal"/>
    <w:rsid w:val="008F0DA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20770"/>
    <w:rPr>
      <w:sz w:val="24"/>
      <w:lang w:val="cs-CZ"/>
    </w:rPr>
  </w:style>
  <w:style w:type="character" w:styleId="Hyperlink">
    <w:name w:val="Hyperlink"/>
    <w:basedOn w:val="DefaultParagraphFont"/>
    <w:rsid w:val="00C207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077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946D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6D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6D8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46D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6D81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375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2026-01-27T13:36:00Z</dcterms:created>
  <dcterms:modified xsi:type="dcterms:W3CDTF">2026-01-27T13:36:00Z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