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A09" w14:paraId="04969052" w14:textId="77777777" w:rsidTr="0010095E">
        <w:trPr>
          <w:trHeight w:hRule="exact" w:val="1418"/>
        </w:trPr>
        <w:tc>
          <w:tcPr>
            <w:tcW w:w="6804" w:type="dxa"/>
            <w:shd w:val="clear" w:color="auto" w:fill="auto"/>
            <w:vAlign w:val="center"/>
          </w:tcPr>
          <w:p w14:paraId="076C9640" w14:textId="77777777" w:rsidR="00751A4A" w:rsidRPr="00FB7A09" w:rsidRDefault="00352795" w:rsidP="0010095E">
            <w:pPr>
              <w:pStyle w:val="EPName"/>
            </w:pPr>
            <w:r w:rsidRPr="00FB7A09">
              <w:t>Europa-Parlamentet</w:t>
            </w:r>
          </w:p>
          <w:p w14:paraId="6BCCCEB8" w14:textId="77777777" w:rsidR="00751A4A" w:rsidRPr="00FB7A09" w:rsidRDefault="005F1B17" w:rsidP="005F1B17">
            <w:pPr>
              <w:pStyle w:val="EPTerm"/>
              <w:rPr>
                <w:rStyle w:val="HideTWBExt"/>
                <w:noProof w:val="0"/>
                <w:vanish w:val="0"/>
                <w:color w:val="auto"/>
              </w:rPr>
            </w:pPr>
            <w:r w:rsidRPr="00FB7A09">
              <w:t>2024</w:t>
            </w:r>
            <w:r w:rsidR="00817416" w:rsidRPr="00FB7A09">
              <w:t>-202</w:t>
            </w:r>
            <w:r w:rsidRPr="00FB7A09">
              <w:t>9</w:t>
            </w:r>
          </w:p>
        </w:tc>
        <w:tc>
          <w:tcPr>
            <w:tcW w:w="2268" w:type="dxa"/>
            <w:shd w:val="clear" w:color="auto" w:fill="auto"/>
          </w:tcPr>
          <w:p w14:paraId="2B234EE6" w14:textId="77777777" w:rsidR="00751A4A" w:rsidRPr="00FB7A09" w:rsidRDefault="00187494" w:rsidP="0010095E">
            <w:pPr>
              <w:pStyle w:val="EPLogo"/>
            </w:pPr>
            <w:r w:rsidRPr="00FB7A09">
              <w:rPr>
                <w:noProof/>
                <w:lang w:eastAsia="ja-JP"/>
              </w:rPr>
              <w:drawing>
                <wp:inline distT="0" distB="0" distL="0" distR="0" wp14:anchorId="45C566EF" wp14:editId="410ABE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2B4733" w14:textId="77777777" w:rsidR="00D058B8" w:rsidRPr="00FB7A09" w:rsidRDefault="00D058B8" w:rsidP="004C5D52">
      <w:pPr>
        <w:pStyle w:val="LineTop"/>
      </w:pPr>
    </w:p>
    <w:p w14:paraId="5A5725D9" w14:textId="77777777" w:rsidR="00680577" w:rsidRPr="00FB7A09" w:rsidRDefault="00352795" w:rsidP="00680577">
      <w:pPr>
        <w:pStyle w:val="EPBodyTA1"/>
      </w:pPr>
      <w:r w:rsidRPr="00FB7A09">
        <w:t>VEDTAGNE TEKSTER</w:t>
      </w:r>
    </w:p>
    <w:p w14:paraId="5C53EA1F" w14:textId="77777777" w:rsidR="00D058B8" w:rsidRPr="00FB7A09" w:rsidRDefault="00D058B8" w:rsidP="00D058B8">
      <w:pPr>
        <w:pStyle w:val="LineBottom"/>
      </w:pPr>
    </w:p>
    <w:p w14:paraId="1A497D82" w14:textId="58937030" w:rsidR="00352795" w:rsidRPr="00FB7A09" w:rsidRDefault="00352795" w:rsidP="00352795">
      <w:pPr>
        <w:pStyle w:val="ATHeading1"/>
      </w:pPr>
      <w:bookmarkStart w:id="0" w:name="TANumber"/>
      <w:r w:rsidRPr="00FB7A09">
        <w:t>P10_</w:t>
      </w:r>
      <w:proofErr w:type="gramStart"/>
      <w:r w:rsidRPr="00FB7A09">
        <w:t>TA(</w:t>
      </w:r>
      <w:proofErr w:type="gramEnd"/>
      <w:r w:rsidRPr="00FB7A09">
        <w:t>2025)0</w:t>
      </w:r>
      <w:bookmarkEnd w:id="0"/>
      <w:r w:rsidR="00517833">
        <w:t>279</w:t>
      </w:r>
    </w:p>
    <w:p w14:paraId="10609A54" w14:textId="4BF897C2" w:rsidR="00352795" w:rsidRPr="00AA3E9D" w:rsidRDefault="00AA3E9D" w:rsidP="00352795">
      <w:pPr>
        <w:pStyle w:val="ATHeading2"/>
      </w:pPr>
      <w:r w:rsidRPr="00CD73ED">
        <w:rPr>
          <w:bCs/>
        </w:rPr>
        <w:t>Sikkerhedskrav til legetøj og ophævelse af direktiv 2009/48/EF</w:t>
      </w:r>
    </w:p>
    <w:p w14:paraId="650D4189" w14:textId="77777777" w:rsidR="00352795" w:rsidRPr="00FB7A09" w:rsidRDefault="00352795" w:rsidP="00352795">
      <w:pPr>
        <w:rPr>
          <w:i/>
          <w:vanish/>
        </w:rPr>
      </w:pPr>
      <w:r w:rsidRPr="00FB7A09">
        <w:rPr>
          <w:i/>
        </w:rPr>
        <w:fldChar w:fldCharType="begin"/>
      </w:r>
      <w:r w:rsidRPr="00FB7A09">
        <w:rPr>
          <w:i/>
        </w:rPr>
        <w:instrText xml:space="preserve"> TC"(</w:instrText>
      </w:r>
      <w:bookmarkStart w:id="1" w:name="DocNumber"/>
      <w:r w:rsidRPr="00FB7A09">
        <w:rPr>
          <w:i/>
        </w:rPr>
        <w:instrText>A10-0227/2025</w:instrText>
      </w:r>
      <w:bookmarkEnd w:id="1"/>
      <w:r w:rsidRPr="00FB7A09">
        <w:rPr>
          <w:i/>
        </w:rPr>
        <w:instrText xml:space="preserve"> - Ordfører: Marion Walsmann)"\l3 \n&gt; \* MERGEFORMAT </w:instrText>
      </w:r>
      <w:r w:rsidRPr="00FB7A09">
        <w:rPr>
          <w:i/>
        </w:rPr>
        <w:fldChar w:fldCharType="end"/>
      </w:r>
    </w:p>
    <w:p w14:paraId="48980760" w14:textId="77777777" w:rsidR="00352795" w:rsidRPr="00FB7A09" w:rsidRDefault="00352795" w:rsidP="00352795">
      <w:pPr>
        <w:rPr>
          <w:vanish/>
        </w:rPr>
      </w:pPr>
      <w:bookmarkStart w:id="2" w:name="Commission"/>
      <w:r w:rsidRPr="00FB7A09">
        <w:rPr>
          <w:vanish/>
        </w:rPr>
        <w:t>Udvalget om det Indre Marked og Forbrugerbeskyttelse</w:t>
      </w:r>
      <w:bookmarkEnd w:id="2"/>
    </w:p>
    <w:p w14:paraId="0B5FC937" w14:textId="77777777" w:rsidR="00352795" w:rsidRPr="00FB7A09" w:rsidRDefault="00352795" w:rsidP="00352795">
      <w:pPr>
        <w:rPr>
          <w:vanish/>
        </w:rPr>
      </w:pPr>
      <w:bookmarkStart w:id="3" w:name="PE"/>
      <w:r w:rsidRPr="00FB7A09">
        <w:rPr>
          <w:vanish/>
        </w:rPr>
        <w:t>PE779.456</w:t>
      </w:r>
      <w:bookmarkEnd w:id="3"/>
    </w:p>
    <w:p w14:paraId="74B70690" w14:textId="2AABD2F2" w:rsidR="00352795" w:rsidRPr="00FB7A09" w:rsidRDefault="00352795" w:rsidP="00352795">
      <w:pPr>
        <w:pStyle w:val="ATHeading3"/>
      </w:pPr>
      <w:bookmarkStart w:id="4" w:name="Sujet"/>
      <w:r w:rsidRPr="00FB7A09">
        <w:t xml:space="preserve">Europa-Parlamentets lovgivningsmæssige beslutning af </w:t>
      </w:r>
      <w:r w:rsidR="00A33F3B">
        <w:t>25</w:t>
      </w:r>
      <w:r w:rsidRPr="00FB7A09">
        <w:t>.</w:t>
      </w:r>
      <w:r w:rsidR="00AA3E9D">
        <w:t xml:space="preserve"> november</w:t>
      </w:r>
      <w:r w:rsidRPr="00FB7A09">
        <w:t xml:space="preserve"> 2025 om Rådets førstebehandlingsholdning med henblik på vedtagelse af Europa-Parlamentets og Rådets forordning om sikkerhedskrav til legetøj og om ophævelse af direktiv 2009/48/EF</w:t>
      </w:r>
      <w:bookmarkEnd w:id="4"/>
      <w:r w:rsidRPr="00FB7A09">
        <w:t xml:space="preserve"> </w:t>
      </w:r>
      <w:bookmarkStart w:id="5" w:name="References"/>
      <w:r w:rsidRPr="00FB7A09">
        <w:t>(09663/1/2025 – C10-0251/2025 – 2023/0290(COD))</w:t>
      </w:r>
      <w:bookmarkEnd w:id="5"/>
    </w:p>
    <w:p w14:paraId="5F91E1A7" w14:textId="77777777" w:rsidR="008734F7" w:rsidRPr="00FB7A09" w:rsidRDefault="008734F7" w:rsidP="008734F7">
      <w:pPr>
        <w:pStyle w:val="NormalBold"/>
      </w:pPr>
      <w:r w:rsidRPr="00FB7A09">
        <w:t>(Almindelig lovgivningsprocedure: andenbehandling)</w:t>
      </w:r>
    </w:p>
    <w:p w14:paraId="7A8AAEAA" w14:textId="77777777" w:rsidR="008734F7" w:rsidRPr="00FB7A09" w:rsidRDefault="008734F7" w:rsidP="008734F7">
      <w:pPr>
        <w:pStyle w:val="EPComma"/>
      </w:pPr>
      <w:r w:rsidRPr="00FB7A09">
        <w:rPr>
          <w:i/>
        </w:rPr>
        <w:t>Europa-Parlamentet</w:t>
      </w:r>
      <w:r w:rsidRPr="00FB7A09">
        <w:t>,</w:t>
      </w:r>
    </w:p>
    <w:p w14:paraId="355B9849" w14:textId="77777777" w:rsidR="008734F7" w:rsidRPr="00FB7A09" w:rsidRDefault="008734F7" w:rsidP="008734F7">
      <w:pPr>
        <w:pStyle w:val="NormalHanging12a"/>
      </w:pPr>
      <w:r w:rsidRPr="00FB7A09">
        <w:t>–</w:t>
      </w:r>
      <w:r w:rsidRPr="00FB7A09">
        <w:tab/>
        <w:t>der henviser til Rådets førstebehandlingsholdning (09663/1/2025 – C10</w:t>
      </w:r>
      <w:r w:rsidRPr="00FB7A09">
        <w:noBreakHyphen/>
        <w:t>0251/2025),</w:t>
      </w:r>
    </w:p>
    <w:p w14:paraId="15EDEAFC" w14:textId="77777777" w:rsidR="008734F7" w:rsidRPr="00FB7A09" w:rsidRDefault="008734F7" w:rsidP="008734F7">
      <w:pPr>
        <w:pStyle w:val="NormalHanging12a"/>
      </w:pPr>
      <w:r w:rsidRPr="00FB7A09">
        <w:t>–</w:t>
      </w:r>
      <w:r w:rsidRPr="00FB7A09">
        <w:tab/>
        <w:t>der henviser til udtalelse af 13. december 2023</w:t>
      </w:r>
      <w:r w:rsidRPr="00FB7A09">
        <w:rPr>
          <w:rStyle w:val="FootnoteReference"/>
        </w:rPr>
        <w:footnoteReference w:id="1"/>
      </w:r>
      <w:r w:rsidRPr="00FB7A09">
        <w:t xml:space="preserve"> fra Det Europæiske Økonomiske og Sociale Udvalg,</w:t>
      </w:r>
    </w:p>
    <w:p w14:paraId="635C7D71" w14:textId="605571B9" w:rsidR="008734F7" w:rsidRPr="00FB7A09" w:rsidRDefault="008734F7" w:rsidP="008734F7">
      <w:pPr>
        <w:pStyle w:val="NormalHanging12a"/>
      </w:pPr>
      <w:r w:rsidRPr="00FB7A09">
        <w:t>–</w:t>
      </w:r>
      <w:r w:rsidRPr="00FB7A09">
        <w:tab/>
        <w:t>der henviser til sin holdning ved førstebehandling</w:t>
      </w:r>
      <w:r w:rsidRPr="00FB7A09">
        <w:rPr>
          <w:rStyle w:val="FootnoteReference"/>
        </w:rPr>
        <w:footnoteReference w:id="2"/>
      </w:r>
      <w:r w:rsidRPr="00FB7A09">
        <w:t xml:space="preserve"> til Kommissionens forslag til Europa-Parlamentet og Rådet (</w:t>
      </w:r>
      <w:proofErr w:type="gramStart"/>
      <w:r w:rsidRPr="00FB7A09">
        <w:t>COM(</w:t>
      </w:r>
      <w:proofErr w:type="gramEnd"/>
      <w:r w:rsidRPr="00FB7A09">
        <w:t>2023)</w:t>
      </w:r>
      <w:r w:rsidR="00A33F3B">
        <w:t>0</w:t>
      </w:r>
      <w:r w:rsidRPr="00FB7A09">
        <w:t>462),</w:t>
      </w:r>
    </w:p>
    <w:p w14:paraId="6E454538" w14:textId="77777777" w:rsidR="008734F7" w:rsidRPr="00FB7A09" w:rsidRDefault="008734F7" w:rsidP="008734F7">
      <w:pPr>
        <w:pStyle w:val="NormalHanging12a"/>
      </w:pPr>
      <w:r w:rsidRPr="00FB7A09">
        <w:t>–</w:t>
      </w:r>
      <w:r w:rsidRPr="00FB7A09">
        <w:tab/>
        <w:t>der henviser til artikel 294, stk. 7, i traktaten om Den Europæiske Unions funktionsmåde,</w:t>
      </w:r>
    </w:p>
    <w:p w14:paraId="727D6822" w14:textId="77777777" w:rsidR="008734F7" w:rsidRPr="00FB7A09" w:rsidRDefault="008734F7" w:rsidP="008734F7">
      <w:pPr>
        <w:pStyle w:val="NormalHanging12a"/>
      </w:pPr>
      <w:r w:rsidRPr="00FB7A09">
        <w:t>–</w:t>
      </w:r>
      <w:r w:rsidRPr="00FB7A09">
        <w:tab/>
        <w:t>der henviser til, at det kompetente udvalg har godkendt den foreløbige aftale i henhold til forretningsordenens artikel 75, stk. 4,</w:t>
      </w:r>
    </w:p>
    <w:p w14:paraId="5010C4AE" w14:textId="77777777" w:rsidR="008734F7" w:rsidRPr="00FB7A09" w:rsidRDefault="008734F7" w:rsidP="008734F7">
      <w:pPr>
        <w:pStyle w:val="NormalHanging12a"/>
      </w:pPr>
      <w:r w:rsidRPr="00FB7A09">
        <w:t>–</w:t>
      </w:r>
      <w:r w:rsidRPr="00FB7A09">
        <w:tab/>
        <w:t>der henviser til forretningsordenens artikel 68,</w:t>
      </w:r>
    </w:p>
    <w:p w14:paraId="2E562971" w14:textId="77777777" w:rsidR="008734F7" w:rsidRPr="00FB7A09" w:rsidRDefault="008734F7" w:rsidP="008734F7">
      <w:pPr>
        <w:pStyle w:val="NormalHanging12a"/>
      </w:pPr>
      <w:r w:rsidRPr="00FB7A09">
        <w:t>–</w:t>
      </w:r>
      <w:r w:rsidRPr="00FB7A09">
        <w:tab/>
        <w:t>der henviser til indstilling ved andenbehandling fra Udvalget om det Indre Marked og Forbrugerbeskyttelse (A10-0227/2025),</w:t>
      </w:r>
    </w:p>
    <w:p w14:paraId="3A80B2E9" w14:textId="77777777" w:rsidR="008734F7" w:rsidRPr="00FB7A09" w:rsidRDefault="008734F7" w:rsidP="008734F7">
      <w:pPr>
        <w:pStyle w:val="NormalHanging12a"/>
      </w:pPr>
      <w:r w:rsidRPr="00FB7A09">
        <w:t>1.</w:t>
      </w:r>
      <w:r w:rsidRPr="00FB7A09">
        <w:tab/>
        <w:t>godkender Rådets førstebehandlingsholdning;</w:t>
      </w:r>
    </w:p>
    <w:p w14:paraId="765C6CD5" w14:textId="77777777" w:rsidR="008734F7" w:rsidRPr="00FB7A09" w:rsidRDefault="008734F7" w:rsidP="008734F7">
      <w:pPr>
        <w:pStyle w:val="NormalHanging12a"/>
      </w:pPr>
      <w:r w:rsidRPr="00FB7A09">
        <w:t>2.</w:t>
      </w:r>
      <w:r w:rsidRPr="00FB7A09">
        <w:tab/>
        <w:t xml:space="preserve">noterer sig Kommissionens erklæring, der er vedføjet som bilag til denne beslutning, og som vil blive offentliggjort i C-udgaven af </w:t>
      </w:r>
      <w:r w:rsidRPr="00FB7A09">
        <w:rPr>
          <w:i/>
        </w:rPr>
        <w:t>Den Europæiske Unions Tidende</w:t>
      </w:r>
      <w:r w:rsidRPr="00FB7A09">
        <w:t>;</w:t>
      </w:r>
    </w:p>
    <w:p w14:paraId="52C81F90" w14:textId="77777777" w:rsidR="008734F7" w:rsidRPr="00FB7A09" w:rsidRDefault="008734F7" w:rsidP="008734F7">
      <w:pPr>
        <w:pStyle w:val="NormalHanging12a"/>
      </w:pPr>
      <w:r w:rsidRPr="00FB7A09">
        <w:t>3.</w:t>
      </w:r>
      <w:r w:rsidRPr="00FB7A09">
        <w:tab/>
        <w:t>konstaterer, at retsakten er vedtaget i overensstemmelse med Rådets holdning;</w:t>
      </w:r>
    </w:p>
    <w:p w14:paraId="626FBEA3" w14:textId="77777777" w:rsidR="008734F7" w:rsidRPr="00FB7A09" w:rsidRDefault="008734F7" w:rsidP="008734F7">
      <w:pPr>
        <w:pStyle w:val="NormalHanging12a"/>
      </w:pPr>
      <w:r w:rsidRPr="00FB7A09">
        <w:t>4.</w:t>
      </w:r>
      <w:r w:rsidRPr="00FB7A09">
        <w:tab/>
        <w:t xml:space="preserve">pålægger sin formand sammen med Rådets formand at undertegne retsakten, jf. artikel </w:t>
      </w:r>
      <w:r w:rsidRPr="00FB7A09">
        <w:lastRenderedPageBreak/>
        <w:t>297, stk. 1, i traktaten om Den Europæiske Unions funktionsmåde;</w:t>
      </w:r>
    </w:p>
    <w:p w14:paraId="73F15F8F" w14:textId="77777777" w:rsidR="008734F7" w:rsidRPr="00FB7A09" w:rsidRDefault="008734F7" w:rsidP="008734F7">
      <w:pPr>
        <w:pStyle w:val="NormalHanging12a"/>
      </w:pPr>
      <w:r w:rsidRPr="00FB7A09">
        <w:t>5.</w:t>
      </w:r>
      <w:r w:rsidRPr="00FB7A09">
        <w:tab/>
        <w:t xml:space="preserve">pålægger sin generalsekretær at undertegne retsakten, efter at det er kontrolleret, at alle procedurer er behørigt afsluttet, og efter aftale med Rådets generalsekretær at foranledige, at den offentliggøres i </w:t>
      </w:r>
      <w:r w:rsidRPr="00FB7A09">
        <w:rPr>
          <w:i/>
        </w:rPr>
        <w:t>Den Europæiske Unions Tidende</w:t>
      </w:r>
      <w:r w:rsidRPr="00FB7A09">
        <w:t>;</w:t>
      </w:r>
    </w:p>
    <w:p w14:paraId="0DEBE3D1" w14:textId="77777777" w:rsidR="008734F7" w:rsidRPr="00FB7A09" w:rsidRDefault="008734F7" w:rsidP="008734F7">
      <w:pPr>
        <w:pStyle w:val="NormalHanging12a"/>
      </w:pPr>
      <w:r w:rsidRPr="00FB7A09">
        <w:t>6.</w:t>
      </w:r>
      <w:r w:rsidRPr="00FB7A09">
        <w:tab/>
        <w:t>pålægger sin formand at sende Parlamentets holdning til Rådet og Kommissionen samt til de nationale parlamenter.</w:t>
      </w:r>
    </w:p>
    <w:p w14:paraId="2D8F8DF0" w14:textId="77777777" w:rsidR="008734F7" w:rsidRPr="00FB7A09" w:rsidRDefault="008734F7" w:rsidP="008734F7">
      <w:pPr>
        <w:pStyle w:val="PageHeading"/>
        <w:jc w:val="left"/>
        <w:sectPr w:rsidR="008734F7" w:rsidRPr="00FB7A09" w:rsidSect="00FB7A0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ED2503" w14:textId="7E1501B6" w:rsidR="00AA3E9D" w:rsidRPr="00CD73ED" w:rsidRDefault="008734F7" w:rsidP="00AA3E9D">
      <w:pPr>
        <w:pStyle w:val="PageHeading"/>
        <w:jc w:val="right"/>
        <w:outlineLvl w:val="0"/>
        <w:rPr>
          <w:rFonts w:ascii="Times New Roman" w:hAnsi="Times New Roman" w:cs="Times New Roman"/>
          <w:b w:val="0"/>
          <w:bCs/>
        </w:rPr>
      </w:pPr>
      <w:bookmarkStart w:id="6" w:name="_Toc214618863"/>
      <w:r w:rsidRPr="00CD73ED">
        <w:rPr>
          <w:rFonts w:ascii="Times New Roman" w:hAnsi="Times New Roman" w:cs="Times New Roman"/>
          <w:b w:val="0"/>
          <w:bCs/>
        </w:rPr>
        <w:lastRenderedPageBreak/>
        <w:t>BILAG TIL DEN LOVGIVNINGSMÆSSIGE BESLUTNING</w:t>
      </w:r>
    </w:p>
    <w:p w14:paraId="7744EED3" w14:textId="07314EA1" w:rsidR="008734F7" w:rsidRPr="00CD73ED" w:rsidRDefault="008734F7" w:rsidP="00AA3E9D">
      <w:pPr>
        <w:pStyle w:val="PageHeading"/>
        <w:outlineLvl w:val="0"/>
        <w:rPr>
          <w:rFonts w:ascii="Times New Roman" w:hAnsi="Times New Roman" w:cs="Times New Roman"/>
        </w:rPr>
      </w:pPr>
      <w:r w:rsidRPr="00CD73ED">
        <w:rPr>
          <w:rFonts w:ascii="Times New Roman" w:hAnsi="Times New Roman" w:cs="Times New Roman"/>
        </w:rPr>
        <w:t>ERKLÆRING FRA KOMMISSIONEN</w:t>
      </w:r>
      <w:bookmarkEnd w:id="6"/>
      <w:r w:rsidR="0084102C">
        <w:rPr>
          <w:rFonts w:ascii="Times New Roman" w:hAnsi="Times New Roman" w:cs="Times New Roman"/>
        </w:rPr>
        <w:t xml:space="preserve"> </w:t>
      </w:r>
      <w:r w:rsidR="0084102C" w:rsidRPr="0084102C">
        <w:rPr>
          <w:rFonts w:ascii="Times New Roman" w:hAnsi="Times New Roman" w:cs="Times New Roman"/>
        </w:rPr>
        <w:t xml:space="preserve">I ANLEDNING AF VEDTAGELSEN AF FORORDNING </w:t>
      </w:r>
      <w:r w:rsidR="00997A02">
        <w:rPr>
          <w:rFonts w:ascii="Times New Roman" w:hAnsi="Times New Roman" w:cs="Times New Roman"/>
        </w:rPr>
        <w:t xml:space="preserve">(EU) </w:t>
      </w:r>
      <w:r w:rsidR="0084102C" w:rsidRPr="0084102C">
        <w:rPr>
          <w:rFonts w:ascii="Times New Roman" w:hAnsi="Times New Roman" w:cs="Times New Roman"/>
        </w:rPr>
        <w:t>2025</w:t>
      </w:r>
      <w:r w:rsidR="0084102C">
        <w:rPr>
          <w:rFonts w:ascii="Times New Roman" w:hAnsi="Times New Roman" w:cs="Times New Roman"/>
        </w:rPr>
        <w:t>/</w:t>
      </w:r>
      <w:r w:rsidR="00997A02">
        <w:rPr>
          <w:rFonts w:ascii="Times New Roman" w:hAnsi="Times New Roman" w:cs="Times New Roman"/>
        </w:rPr>
        <w:t>2509</w:t>
      </w:r>
    </w:p>
    <w:p w14:paraId="2A8B0F29" w14:textId="77777777" w:rsidR="008734F7" w:rsidRPr="00FB7A09" w:rsidRDefault="008734F7" w:rsidP="008734F7">
      <w:pPr>
        <w:rPr>
          <w:noProof/>
        </w:rPr>
      </w:pPr>
    </w:p>
    <w:p w14:paraId="33D17123" w14:textId="7B183138" w:rsidR="008734F7" w:rsidRPr="00FB7A09" w:rsidRDefault="008734F7" w:rsidP="008734F7">
      <w:pPr>
        <w:rPr>
          <w:noProof/>
        </w:rPr>
      </w:pPr>
      <w:bookmarkStart w:id="7" w:name="_Hlk196383635"/>
      <w:r w:rsidRPr="00FB7A09">
        <w:t xml:space="preserve">Kommissionen evaluerer regelmæssigt og systematisk forekomsten af farlige kemikalier i legetøj under hensyntagen til den foreliggende videnskabelige dokumentation med henblik på at tilpasse grænseværdierne eller betingelserne for forekomst af specifikke kemiske stoffer eller blandinger i legetøj i overensstemmelse med artikel 46 i forordning </w:t>
      </w:r>
      <w:r w:rsidR="00997A02">
        <w:t xml:space="preserve">(EU) </w:t>
      </w:r>
      <w:r w:rsidRPr="00FB7A09">
        <w:t>2025/</w:t>
      </w:r>
      <w:r w:rsidR="00997A02">
        <w:t>2509</w:t>
      </w:r>
      <w:r w:rsidRPr="00FB7A09">
        <w:t xml:space="preserve"> om sikkerhedskrav til legetøj. Med henblik herpå vil Kommissionen senest 12 måneder efter denne forordnings ikrafttræden anmode Det Europæiske Kemikalieagentur om en udtalelse om sikkerheden ved nitrosaminer og </w:t>
      </w:r>
      <w:proofErr w:type="spellStart"/>
      <w:r w:rsidRPr="00FB7A09">
        <w:t>nitroserbare</w:t>
      </w:r>
      <w:proofErr w:type="spellEnd"/>
      <w:r w:rsidRPr="00FB7A09">
        <w:t xml:space="preserve"> stoffer i legetøj med henblik på den samlede eksponering. Kommissionen vil ligeledes senest 24 måneder efter denne forordnings ikrafttræden anmode Det Europæiske Kemikalieagentur om en udtalelse om sikkerheden ved bly, cadmium, kviksølv og </w:t>
      </w:r>
      <w:proofErr w:type="spellStart"/>
      <w:r w:rsidRPr="00FB7A09">
        <w:t>chrom</w:t>
      </w:r>
      <w:proofErr w:type="spellEnd"/>
      <w:r w:rsidRPr="00FB7A09">
        <w:t xml:space="preserve"> vi i legetøj med henblik på den samlede eksponering.</w:t>
      </w:r>
      <w:bookmarkEnd w:id="7"/>
    </w:p>
    <w:sectPr w:rsidR="008734F7" w:rsidRPr="00FB7A09" w:rsidSect="00FB7A0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0BD84" w14:textId="77777777" w:rsidR="00352795" w:rsidRPr="00FB7A09" w:rsidRDefault="00352795">
      <w:r w:rsidRPr="00FB7A09">
        <w:separator/>
      </w:r>
    </w:p>
  </w:endnote>
  <w:endnote w:type="continuationSeparator" w:id="0">
    <w:p w14:paraId="7873F2C2" w14:textId="77777777" w:rsidR="00352795" w:rsidRPr="00FB7A09" w:rsidRDefault="00352795">
      <w:r w:rsidRPr="00FB7A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3AC15" w14:textId="77777777" w:rsidR="008734F7" w:rsidRPr="00FB7A09" w:rsidRDefault="008734F7" w:rsidP="000A1DA0">
    <w:pPr>
      <w:pStyle w:val="EPFooter"/>
    </w:pPr>
    <w:r w:rsidRPr="00FB7A09">
      <w:t>PE</w:t>
    </w:r>
    <w:r w:rsidRPr="00FB7A09">
      <w:rPr>
        <w:rStyle w:val="HideTWBExt"/>
      </w:rPr>
      <w:t>&lt;NoPE&gt;</w:t>
    </w:r>
    <w:r w:rsidRPr="00FB7A09">
      <w:t>779.456</w:t>
    </w:r>
    <w:r w:rsidRPr="00FB7A09">
      <w:rPr>
        <w:rStyle w:val="HideTWBExt"/>
      </w:rPr>
      <w:t>&lt;/NoPE&gt;&lt;Version&gt;</w:t>
    </w:r>
    <w:r w:rsidRPr="00FB7A09">
      <w:t>v02-00</w:t>
    </w:r>
    <w:r w:rsidRPr="00FB7A09">
      <w:rPr>
        <w:rStyle w:val="HideTWBExt"/>
      </w:rPr>
      <w:t>&lt;/Version&gt;</w:t>
    </w:r>
    <w:r w:rsidRPr="00FB7A09">
      <w:tab/>
    </w:r>
    <w:r w:rsidRPr="00FB7A09">
      <w:fldChar w:fldCharType="begin"/>
    </w:r>
    <w:r w:rsidRPr="00FB7A09">
      <w:instrText xml:space="preserve"> PAGE  \* MERGEFORMAT </w:instrText>
    </w:r>
    <w:r w:rsidRPr="00FB7A09">
      <w:fldChar w:fldCharType="separate"/>
    </w:r>
    <w:r w:rsidRPr="00FB7A09">
      <w:rPr>
        <w:noProof/>
      </w:rPr>
      <w:t>2</w:t>
    </w:r>
    <w:r w:rsidRPr="00FB7A09">
      <w:fldChar w:fldCharType="end"/>
    </w:r>
    <w:r w:rsidRPr="00FB7A09">
      <w:t>/</w:t>
    </w:r>
    <w:fldSimple w:instr=" NUMPAGES  \* MERGEFORMAT ">
      <w:r w:rsidRPr="00FB7A09">
        <w:rPr>
          <w:noProof/>
        </w:rPr>
        <w:t>1</w:t>
      </w:r>
    </w:fldSimple>
    <w:r w:rsidRPr="00FB7A09">
      <w:tab/>
    </w:r>
    <w:r w:rsidRPr="00FB7A09">
      <w:rPr>
        <w:rStyle w:val="HideTWBExt"/>
      </w:rPr>
      <w:t>&lt;PathFdR&gt;</w:t>
    </w:r>
    <w:r w:rsidRPr="00FB7A09">
      <w:t>RR\1331920DA.docx</w:t>
    </w:r>
    <w:r w:rsidRPr="00FB7A09">
      <w:rPr>
        <w:rStyle w:val="HideTWBExt"/>
      </w:rPr>
      <w:t>&lt;/PathFdR&gt;</w:t>
    </w:r>
  </w:p>
  <w:p w14:paraId="606D63CA" w14:textId="77777777" w:rsidR="008734F7" w:rsidRPr="00FB7A09" w:rsidRDefault="008734F7" w:rsidP="000A1DA0">
    <w:pPr>
      <w:pStyle w:val="EPFooter2"/>
    </w:pPr>
    <w:r w:rsidRPr="00FB7A0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E28C" w14:textId="77777777" w:rsidR="008734F7" w:rsidRPr="00FB7A09" w:rsidRDefault="008734F7" w:rsidP="000A1DA0">
    <w:pPr>
      <w:pStyle w:val="EPFooter"/>
    </w:pPr>
    <w:r w:rsidRPr="00FB7A09">
      <w:rPr>
        <w:rStyle w:val="HideTWBExt"/>
      </w:rPr>
      <w:t>&lt;PathFdR&gt;</w:t>
    </w:r>
    <w:r w:rsidRPr="00FB7A09">
      <w:t>RR\1331920DA.docx</w:t>
    </w:r>
    <w:r w:rsidRPr="00FB7A09">
      <w:rPr>
        <w:rStyle w:val="HideTWBExt"/>
      </w:rPr>
      <w:t>&lt;/PathFdR&gt;</w:t>
    </w:r>
    <w:r w:rsidRPr="00FB7A09">
      <w:tab/>
    </w:r>
    <w:r w:rsidRPr="00FB7A09">
      <w:tab/>
      <w:t>PE</w:t>
    </w:r>
    <w:r w:rsidRPr="00FB7A09">
      <w:rPr>
        <w:rStyle w:val="HideTWBExt"/>
      </w:rPr>
      <w:t>&lt;NoPE&gt;</w:t>
    </w:r>
    <w:r w:rsidRPr="00FB7A09">
      <w:t>779.456</w:t>
    </w:r>
    <w:r w:rsidRPr="00FB7A09">
      <w:rPr>
        <w:rStyle w:val="HideTWBExt"/>
      </w:rPr>
      <w:t>&lt;/NoPE&gt;&lt;Version&gt;</w:t>
    </w:r>
    <w:r w:rsidRPr="00FB7A09">
      <w:t>v02-00</w:t>
    </w:r>
    <w:r w:rsidRPr="00FB7A09">
      <w:rPr>
        <w:rStyle w:val="HideTWBExt"/>
      </w:rPr>
      <w:t>&lt;/Version&gt;</w:t>
    </w:r>
  </w:p>
  <w:p w14:paraId="551F02C7" w14:textId="77777777" w:rsidR="008734F7" w:rsidRPr="00FB7A09" w:rsidRDefault="008734F7" w:rsidP="000A1DA0">
    <w:pPr>
      <w:pStyle w:val="EPFooter2"/>
    </w:pPr>
    <w:r w:rsidRPr="00FB7A09">
      <w:t>DA</w:t>
    </w:r>
    <w:r w:rsidRPr="00FB7A09">
      <w:tab/>
    </w:r>
    <w:r w:rsidRPr="00FB7A09">
      <w:rPr>
        <w:b w:val="0"/>
        <w:i/>
        <w:color w:val="C0C0C0"/>
        <w:sz w:val="22"/>
      </w:rPr>
      <w:t>Forenet i mangfoldighed</w:t>
    </w:r>
    <w:r w:rsidRPr="00FB7A0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9E5D" w14:textId="77777777" w:rsidR="00064002" w:rsidRPr="00FB7A0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0F7CC" w14:textId="77777777" w:rsidR="00064002" w:rsidRPr="00FB7A0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07C4" w14:textId="77777777" w:rsidR="00064002" w:rsidRPr="00FB7A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8F763" w14:textId="77777777" w:rsidR="00352795" w:rsidRPr="00FB7A09" w:rsidRDefault="00352795">
      <w:r w:rsidRPr="00FB7A09">
        <w:separator/>
      </w:r>
    </w:p>
  </w:footnote>
  <w:footnote w:type="continuationSeparator" w:id="0">
    <w:p w14:paraId="042673C0" w14:textId="77777777" w:rsidR="00352795" w:rsidRPr="00FB7A09" w:rsidRDefault="00352795">
      <w:r w:rsidRPr="00FB7A09">
        <w:continuationSeparator/>
      </w:r>
    </w:p>
  </w:footnote>
  <w:footnote w:id="1">
    <w:p w14:paraId="338E123B" w14:textId="535AA55A" w:rsidR="008734F7" w:rsidRPr="0084102C" w:rsidRDefault="008734F7" w:rsidP="00FB7A09">
      <w:pPr>
        <w:pStyle w:val="FootnoteText"/>
        <w:ind w:left="567" w:hanging="567"/>
        <w:rPr>
          <w:sz w:val="24"/>
          <w:lang w:val="fi-FI"/>
        </w:rPr>
      </w:pPr>
      <w:r w:rsidRPr="00FB7A09">
        <w:rPr>
          <w:rStyle w:val="FootnoteReference"/>
          <w:sz w:val="24"/>
          <w:lang w:val="da-DK"/>
        </w:rPr>
        <w:footnoteRef/>
      </w:r>
      <w:r w:rsidR="00FB7A09" w:rsidRPr="0084102C">
        <w:rPr>
          <w:sz w:val="24"/>
          <w:lang w:val="fi-FI"/>
        </w:rPr>
        <w:t xml:space="preserve"> </w:t>
      </w:r>
      <w:r w:rsidR="00FB7A09" w:rsidRPr="0084102C">
        <w:rPr>
          <w:sz w:val="24"/>
          <w:lang w:val="fi-FI"/>
        </w:rPr>
        <w:tab/>
      </w:r>
      <w:r w:rsidRPr="0084102C">
        <w:rPr>
          <w:sz w:val="24"/>
          <w:lang w:val="fi-FI"/>
        </w:rPr>
        <w:t>EUT C</w:t>
      </w:r>
      <w:r w:rsidR="00997A02">
        <w:rPr>
          <w:sz w:val="24"/>
          <w:lang w:val="fi-FI"/>
        </w:rPr>
        <w:t>,</w:t>
      </w:r>
      <w:r w:rsidRPr="0084102C">
        <w:rPr>
          <w:sz w:val="24"/>
          <w:lang w:val="fi-FI"/>
        </w:rPr>
        <w:t xml:space="preserve"> C/2024/1577, 5.3.2024, ELI: </w:t>
      </w:r>
      <w:hyperlink r:id="rId1" w:history="1">
        <w:r w:rsidRPr="00997A02">
          <w:rPr>
            <w:rStyle w:val="Hyperlink"/>
            <w:sz w:val="24"/>
            <w:lang w:val="fi-FI"/>
          </w:rPr>
          <w:t>http://data.</w:t>
        </w:r>
        <w:r w:rsidRPr="00997A02">
          <w:rPr>
            <w:rStyle w:val="Hyperlink"/>
            <w:sz w:val="24"/>
            <w:lang w:val="fi-FI"/>
          </w:rPr>
          <w:t>e</w:t>
        </w:r>
        <w:r w:rsidRPr="00997A02">
          <w:rPr>
            <w:rStyle w:val="Hyperlink"/>
            <w:sz w:val="24"/>
            <w:lang w:val="fi-FI"/>
          </w:rPr>
          <w:t>uropa.eu/eli/C/2024/1577/oj</w:t>
        </w:r>
      </w:hyperlink>
      <w:r w:rsidRPr="0084102C">
        <w:rPr>
          <w:sz w:val="24"/>
          <w:lang w:val="fi-FI"/>
        </w:rPr>
        <w:t>.</w:t>
      </w:r>
    </w:p>
  </w:footnote>
  <w:footnote w:id="2">
    <w:p w14:paraId="6C5E38DF" w14:textId="0D967E5B" w:rsidR="008734F7" w:rsidRPr="0084102C" w:rsidRDefault="008734F7" w:rsidP="00FB7A09">
      <w:pPr>
        <w:pStyle w:val="FootnoteText"/>
        <w:ind w:left="567" w:hanging="567"/>
        <w:rPr>
          <w:sz w:val="24"/>
          <w:lang w:val="fi-FI"/>
        </w:rPr>
      </w:pPr>
      <w:r w:rsidRPr="00FB7A09">
        <w:rPr>
          <w:rStyle w:val="FootnoteReference"/>
          <w:sz w:val="24"/>
          <w:lang w:val="da-DK"/>
        </w:rPr>
        <w:footnoteRef/>
      </w:r>
      <w:r w:rsidR="00FB7A09" w:rsidRPr="0084102C">
        <w:rPr>
          <w:sz w:val="24"/>
          <w:lang w:val="fi-FI"/>
        </w:rPr>
        <w:t xml:space="preserve"> </w:t>
      </w:r>
      <w:r w:rsidR="00FB7A09" w:rsidRPr="0084102C">
        <w:rPr>
          <w:sz w:val="24"/>
          <w:lang w:val="fi-FI"/>
        </w:rPr>
        <w:tab/>
      </w:r>
      <w:r w:rsidRPr="0084102C">
        <w:rPr>
          <w:sz w:val="24"/>
          <w:lang w:val="fi-FI"/>
        </w:rPr>
        <w:t>EUT C</w:t>
      </w:r>
      <w:r w:rsidR="00997A02">
        <w:rPr>
          <w:sz w:val="24"/>
          <w:lang w:val="fi-FI"/>
        </w:rPr>
        <w:t>,</w:t>
      </w:r>
      <w:r w:rsidRPr="0084102C">
        <w:rPr>
          <w:sz w:val="24"/>
          <w:lang w:val="fi-FI"/>
        </w:rPr>
        <w:t xml:space="preserve"> C/2025/1032, 27.2.2025, ELI: </w:t>
      </w:r>
      <w:hyperlink r:id="rId2" w:history="1">
        <w:r w:rsidRPr="00997A02">
          <w:rPr>
            <w:rStyle w:val="Hyperlink"/>
            <w:sz w:val="24"/>
            <w:lang w:val="fi-FI"/>
          </w:rPr>
          <w:t>http</w:t>
        </w:r>
        <w:r w:rsidRPr="00997A02">
          <w:rPr>
            <w:rStyle w:val="Hyperlink"/>
            <w:sz w:val="24"/>
            <w:lang w:val="fi-FI"/>
          </w:rPr>
          <w:t>:</w:t>
        </w:r>
        <w:r w:rsidRPr="00997A02">
          <w:rPr>
            <w:rStyle w:val="Hyperlink"/>
            <w:sz w:val="24"/>
            <w:lang w:val="fi-FI"/>
          </w:rPr>
          <w:t>//data.europa.eu/eli/C/2025/1032/oj</w:t>
        </w:r>
      </w:hyperlink>
      <w:r w:rsidRPr="0084102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E910" w14:textId="77777777" w:rsidR="00064002" w:rsidRPr="00FB7A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9853C" w14:textId="77777777" w:rsidR="00064002" w:rsidRPr="00FB7A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A290B" w14:textId="77777777" w:rsidR="00064002" w:rsidRPr="00FB7A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1499681">
    <w:abstractNumId w:val="9"/>
  </w:num>
  <w:num w:numId="2" w16cid:durableId="1466119973">
    <w:abstractNumId w:val="9"/>
  </w:num>
  <w:num w:numId="3" w16cid:durableId="1312097778">
    <w:abstractNumId w:val="7"/>
  </w:num>
  <w:num w:numId="4" w16cid:durableId="223756119">
    <w:abstractNumId w:val="7"/>
  </w:num>
  <w:num w:numId="5" w16cid:durableId="1268075487">
    <w:abstractNumId w:val="6"/>
  </w:num>
  <w:num w:numId="6" w16cid:durableId="735474084">
    <w:abstractNumId w:val="6"/>
  </w:num>
  <w:num w:numId="7" w16cid:durableId="1235240828">
    <w:abstractNumId w:val="5"/>
  </w:num>
  <w:num w:numId="8" w16cid:durableId="1070929637">
    <w:abstractNumId w:val="5"/>
  </w:num>
  <w:num w:numId="9" w16cid:durableId="1933277044">
    <w:abstractNumId w:val="4"/>
  </w:num>
  <w:num w:numId="10" w16cid:durableId="1403216187">
    <w:abstractNumId w:val="4"/>
  </w:num>
  <w:num w:numId="11" w16cid:durableId="617836611">
    <w:abstractNumId w:val="8"/>
  </w:num>
  <w:num w:numId="12" w16cid:durableId="593513978">
    <w:abstractNumId w:val="8"/>
  </w:num>
  <w:num w:numId="13" w16cid:durableId="329219523">
    <w:abstractNumId w:val="3"/>
  </w:num>
  <w:num w:numId="14" w16cid:durableId="528956233">
    <w:abstractNumId w:val="3"/>
  </w:num>
  <w:num w:numId="15" w16cid:durableId="683552291">
    <w:abstractNumId w:val="2"/>
  </w:num>
  <w:num w:numId="16" w16cid:durableId="1400590800">
    <w:abstractNumId w:val="2"/>
  </w:num>
  <w:num w:numId="17" w16cid:durableId="765200036">
    <w:abstractNumId w:val="1"/>
  </w:num>
  <w:num w:numId="18" w16cid:durableId="708992768">
    <w:abstractNumId w:val="1"/>
  </w:num>
  <w:num w:numId="19" w16cid:durableId="405226597">
    <w:abstractNumId w:val="0"/>
  </w:num>
  <w:num w:numId="20" w16cid:durableId="691686192">
    <w:abstractNumId w:val="0"/>
  </w:num>
  <w:num w:numId="21" w16cid:durableId="1725443208">
    <w:abstractNumId w:val="9"/>
  </w:num>
  <w:num w:numId="22" w16cid:durableId="1660695782">
    <w:abstractNumId w:val="7"/>
  </w:num>
  <w:num w:numId="23" w16cid:durableId="391581760">
    <w:abstractNumId w:val="6"/>
  </w:num>
  <w:num w:numId="24" w16cid:durableId="1048840396">
    <w:abstractNumId w:val="5"/>
  </w:num>
  <w:num w:numId="25" w16cid:durableId="44111457">
    <w:abstractNumId w:val="4"/>
  </w:num>
  <w:num w:numId="26" w16cid:durableId="1378431577">
    <w:abstractNumId w:val="8"/>
  </w:num>
  <w:num w:numId="27" w16cid:durableId="1847790658">
    <w:abstractNumId w:val="3"/>
  </w:num>
  <w:num w:numId="28" w16cid:durableId="334920875">
    <w:abstractNumId w:val="2"/>
  </w:num>
  <w:num w:numId="29" w16cid:durableId="901020032">
    <w:abstractNumId w:val="1"/>
  </w:num>
  <w:num w:numId="30" w16cid:durableId="1354652420">
    <w:abstractNumId w:val="0"/>
  </w:num>
  <w:num w:numId="31" w16cid:durableId="903874263">
    <w:abstractNumId w:val="9"/>
  </w:num>
  <w:num w:numId="32" w16cid:durableId="1275094399">
    <w:abstractNumId w:val="7"/>
  </w:num>
  <w:num w:numId="33" w16cid:durableId="1243220531">
    <w:abstractNumId w:val="6"/>
  </w:num>
  <w:num w:numId="34" w16cid:durableId="1195459849">
    <w:abstractNumId w:val="5"/>
  </w:num>
  <w:num w:numId="35" w16cid:durableId="282420164">
    <w:abstractNumId w:val="4"/>
  </w:num>
  <w:num w:numId="36" w16cid:durableId="1031027581">
    <w:abstractNumId w:val="8"/>
  </w:num>
  <w:num w:numId="37" w16cid:durableId="1614050479">
    <w:abstractNumId w:val="3"/>
  </w:num>
  <w:num w:numId="38" w16cid:durableId="796676709">
    <w:abstractNumId w:val="2"/>
  </w:num>
  <w:num w:numId="39" w16cid:durableId="292367943">
    <w:abstractNumId w:val="1"/>
  </w:num>
  <w:num w:numId="40" w16cid:durableId="416172522">
    <w:abstractNumId w:val="0"/>
  </w:num>
  <w:num w:numId="41" w16cid:durableId="1907376012">
    <w:abstractNumId w:val="10"/>
  </w:num>
  <w:num w:numId="42" w16cid:durableId="224075136">
    <w:abstractNumId w:val="10"/>
  </w:num>
  <w:num w:numId="43" w16cid:durableId="871041565">
    <w:abstractNumId w:val="10"/>
  </w:num>
  <w:num w:numId="44" w16cid:durableId="1600524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DA"/>
    <w:docVar w:name="dvnumam" w:val="0"/>
    <w:docVar w:name="dvpe" w:val="779.456"/>
    <w:docVar w:name="dvrapporteur" w:val="Ordfører: "/>
    <w:docVar w:name="dvstar" w:val="***II"/>
    <w:docVar w:name="dvtitre" w:val="Europa-Parlamentets lovgivningsmæssige beslutning af xx.xx 2025 om Rådets førstebehandlingsholdning med henblik på vedtagelse af Europa-Parlamentets og Rådets forordning om sikkerhedskrav til legetøj og om ophævelse af direktiv 2009/48/EF(09663/1/2025 – C10-0251/2025 – 2023/0290(COD))"/>
  </w:docVars>
  <w:rsids>
    <w:rsidRoot w:val="00352795"/>
    <w:rsid w:val="00002272"/>
    <w:rsid w:val="00064002"/>
    <w:rsid w:val="000677B9"/>
    <w:rsid w:val="000831BA"/>
    <w:rsid w:val="000A42CC"/>
    <w:rsid w:val="000E7DD9"/>
    <w:rsid w:val="0010095E"/>
    <w:rsid w:val="00125B37"/>
    <w:rsid w:val="00187494"/>
    <w:rsid w:val="001F32AE"/>
    <w:rsid w:val="002601B4"/>
    <w:rsid w:val="002767FF"/>
    <w:rsid w:val="002B18FE"/>
    <w:rsid w:val="002B5493"/>
    <w:rsid w:val="002E2010"/>
    <w:rsid w:val="00343214"/>
    <w:rsid w:val="00352795"/>
    <w:rsid w:val="00361C00"/>
    <w:rsid w:val="00395FA1"/>
    <w:rsid w:val="00397C16"/>
    <w:rsid w:val="003E15D4"/>
    <w:rsid w:val="00411CCE"/>
    <w:rsid w:val="0041666E"/>
    <w:rsid w:val="00421060"/>
    <w:rsid w:val="00471C19"/>
    <w:rsid w:val="004867E3"/>
    <w:rsid w:val="00494A28"/>
    <w:rsid w:val="004C0004"/>
    <w:rsid w:val="004C5D52"/>
    <w:rsid w:val="0050519A"/>
    <w:rsid w:val="005072A1"/>
    <w:rsid w:val="00514517"/>
    <w:rsid w:val="00517833"/>
    <w:rsid w:val="00545827"/>
    <w:rsid w:val="00560270"/>
    <w:rsid w:val="005B624C"/>
    <w:rsid w:val="005C2568"/>
    <w:rsid w:val="005F1B17"/>
    <w:rsid w:val="006037C0"/>
    <w:rsid w:val="006631B6"/>
    <w:rsid w:val="00680577"/>
    <w:rsid w:val="006F74FA"/>
    <w:rsid w:val="00731ADD"/>
    <w:rsid w:val="00734777"/>
    <w:rsid w:val="00747932"/>
    <w:rsid w:val="00751A4A"/>
    <w:rsid w:val="00756632"/>
    <w:rsid w:val="00762C74"/>
    <w:rsid w:val="00786EC0"/>
    <w:rsid w:val="007A1FE4"/>
    <w:rsid w:val="007D1690"/>
    <w:rsid w:val="007E22AD"/>
    <w:rsid w:val="00817416"/>
    <w:rsid w:val="0084102C"/>
    <w:rsid w:val="00842779"/>
    <w:rsid w:val="00865F67"/>
    <w:rsid w:val="008734F7"/>
    <w:rsid w:val="00881A7B"/>
    <w:rsid w:val="008840E5"/>
    <w:rsid w:val="00887B3E"/>
    <w:rsid w:val="008C2AC6"/>
    <w:rsid w:val="008F46B3"/>
    <w:rsid w:val="00930C23"/>
    <w:rsid w:val="0093193B"/>
    <w:rsid w:val="009509D8"/>
    <w:rsid w:val="00950B64"/>
    <w:rsid w:val="00981893"/>
    <w:rsid w:val="00997A02"/>
    <w:rsid w:val="00A1687D"/>
    <w:rsid w:val="00A33F3B"/>
    <w:rsid w:val="00A43E52"/>
    <w:rsid w:val="00A4678D"/>
    <w:rsid w:val="00A778C7"/>
    <w:rsid w:val="00AA3E9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ED"/>
    <w:rsid w:val="00CF071A"/>
    <w:rsid w:val="00D058B8"/>
    <w:rsid w:val="00D43B8F"/>
    <w:rsid w:val="00D56C11"/>
    <w:rsid w:val="00D7699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A0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493D6"/>
  <w15:chartTrackingRefBased/>
  <w15:docId w15:val="{913F02BC-B3FA-48B4-AA28-FA6EB821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734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734F7"/>
    <w:pPr>
      <w:spacing w:before="480" w:after="240"/>
    </w:pPr>
  </w:style>
  <w:style w:type="paragraph" w:customStyle="1" w:styleId="PageHeading">
    <w:name w:val="PageHeading"/>
    <w:basedOn w:val="Normal"/>
    <w:rsid w:val="008734F7"/>
    <w:pPr>
      <w:keepNext/>
      <w:spacing w:after="480"/>
      <w:jc w:val="center"/>
    </w:pPr>
    <w:rPr>
      <w:rFonts w:ascii="Arial" w:hAnsi="Arial" w:cs="Arial"/>
      <w:b/>
    </w:rPr>
  </w:style>
  <w:style w:type="paragraph" w:customStyle="1" w:styleId="NormalBold">
    <w:name w:val="NormalBold"/>
    <w:basedOn w:val="Normal"/>
    <w:rsid w:val="008734F7"/>
    <w:rPr>
      <w:b/>
    </w:rPr>
  </w:style>
  <w:style w:type="paragraph" w:customStyle="1" w:styleId="NormalHanging12a">
    <w:name w:val="NormalHanging12a"/>
    <w:basedOn w:val="Normal"/>
    <w:rsid w:val="008734F7"/>
    <w:pPr>
      <w:spacing w:after="240"/>
      <w:ind w:left="567" w:hanging="567"/>
    </w:pPr>
  </w:style>
  <w:style w:type="paragraph" w:styleId="Header">
    <w:name w:val="header"/>
    <w:basedOn w:val="Normal"/>
    <w:link w:val="HeaderChar"/>
    <w:rsid w:val="008734F7"/>
    <w:pPr>
      <w:tabs>
        <w:tab w:val="center" w:pos="4513"/>
        <w:tab w:val="right" w:pos="9026"/>
      </w:tabs>
    </w:pPr>
  </w:style>
  <w:style w:type="character" w:customStyle="1" w:styleId="HeaderChar">
    <w:name w:val="Header Char"/>
    <w:basedOn w:val="DefaultParagraphFont"/>
    <w:link w:val="Header"/>
    <w:rsid w:val="008734F7"/>
    <w:rPr>
      <w:sz w:val="24"/>
      <w:lang w:val="da-DK"/>
    </w:rPr>
  </w:style>
  <w:style w:type="paragraph" w:customStyle="1" w:styleId="EPFooter">
    <w:name w:val="EPFooter"/>
    <w:basedOn w:val="Normal"/>
    <w:rsid w:val="008734F7"/>
    <w:pPr>
      <w:tabs>
        <w:tab w:val="center" w:pos="4535"/>
        <w:tab w:val="right" w:pos="9071"/>
      </w:tabs>
      <w:spacing w:before="240" w:after="240"/>
    </w:pPr>
    <w:rPr>
      <w:color w:val="010000"/>
      <w:sz w:val="22"/>
    </w:rPr>
  </w:style>
  <w:style w:type="paragraph" w:styleId="Revision">
    <w:name w:val="Revision"/>
    <w:hidden/>
    <w:uiPriority w:val="99"/>
    <w:semiHidden/>
    <w:rsid w:val="00AA3E9D"/>
    <w:rPr>
      <w:sz w:val="24"/>
      <w:lang w:val="da-DK"/>
    </w:rPr>
  </w:style>
  <w:style w:type="character" w:styleId="CommentReference">
    <w:name w:val="annotation reference"/>
    <w:basedOn w:val="DefaultParagraphFont"/>
    <w:rsid w:val="008F46B3"/>
    <w:rPr>
      <w:sz w:val="16"/>
      <w:szCs w:val="16"/>
    </w:rPr>
  </w:style>
  <w:style w:type="paragraph" w:styleId="CommentText">
    <w:name w:val="annotation text"/>
    <w:basedOn w:val="Normal"/>
    <w:link w:val="CommentTextChar"/>
    <w:rsid w:val="008F46B3"/>
    <w:rPr>
      <w:sz w:val="20"/>
    </w:rPr>
  </w:style>
  <w:style w:type="character" w:customStyle="1" w:styleId="CommentTextChar">
    <w:name w:val="Comment Text Char"/>
    <w:basedOn w:val="DefaultParagraphFont"/>
    <w:link w:val="CommentText"/>
    <w:rsid w:val="008F46B3"/>
    <w:rPr>
      <w:lang w:val="da-DK"/>
    </w:rPr>
  </w:style>
  <w:style w:type="paragraph" w:styleId="CommentSubject">
    <w:name w:val="annotation subject"/>
    <w:basedOn w:val="CommentText"/>
    <w:next w:val="CommentText"/>
    <w:link w:val="CommentSubjectChar"/>
    <w:rsid w:val="008F46B3"/>
    <w:rPr>
      <w:b/>
      <w:bCs/>
    </w:rPr>
  </w:style>
  <w:style w:type="character" w:customStyle="1" w:styleId="CommentSubjectChar">
    <w:name w:val="Comment Subject Char"/>
    <w:basedOn w:val="CommentTextChar"/>
    <w:link w:val="CommentSubject"/>
    <w:rsid w:val="008F46B3"/>
    <w:rPr>
      <w:b/>
      <w:bCs/>
      <w:lang w:val="da-DK"/>
    </w:rPr>
  </w:style>
  <w:style w:type="character" w:styleId="Hyperlink">
    <w:name w:val="Hyperlink"/>
    <w:basedOn w:val="DefaultParagraphFont"/>
    <w:rsid w:val="00997A02"/>
    <w:rPr>
      <w:color w:val="0563C1" w:themeColor="hyperlink"/>
      <w:u w:val="single"/>
    </w:rPr>
  </w:style>
  <w:style w:type="character" w:styleId="UnresolvedMention">
    <w:name w:val="Unresolved Mention"/>
    <w:basedOn w:val="DefaultParagraphFont"/>
    <w:uiPriority w:val="99"/>
    <w:semiHidden/>
    <w:unhideWhenUsed/>
    <w:rsid w:val="00997A02"/>
    <w:rPr>
      <w:color w:val="605E5C"/>
      <w:shd w:val="clear" w:color="auto" w:fill="E1DFDD"/>
    </w:rPr>
  </w:style>
  <w:style w:type="character" w:styleId="FollowedHyperlink">
    <w:name w:val="FollowedHyperlink"/>
    <w:basedOn w:val="DefaultParagraphFont"/>
    <w:rsid w:val="00997A02"/>
    <w:rPr>
      <w:color w:val="954F72" w:themeColor="followedHyperlink"/>
      <w:u w:val="single"/>
    </w:rPr>
  </w:style>
  <w:style w:type="paragraph" w:styleId="Footer">
    <w:name w:val="footer"/>
    <w:basedOn w:val="Normal"/>
    <w:link w:val="FooterChar"/>
    <w:rsid w:val="00997A02"/>
    <w:pPr>
      <w:tabs>
        <w:tab w:val="center" w:pos="4513"/>
        <w:tab w:val="right" w:pos="9026"/>
      </w:tabs>
    </w:pPr>
  </w:style>
  <w:style w:type="character" w:customStyle="1" w:styleId="FooterChar">
    <w:name w:val="Footer Char"/>
    <w:basedOn w:val="DefaultParagraphFont"/>
    <w:link w:val="Footer"/>
    <w:rsid w:val="00997A0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2026-01-27T11:48:00Z</dcterms:created>
  <dcterms:modified xsi:type="dcterms:W3CDTF">2026-01-27T11:48:00Z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P10_TA(2025)0279_</vt:lpwstr>
  </property>
  <property fmtid="{D5CDD505-2E9C-101B-9397-08002B2CF9AE}" pid="4" name="&lt;Type&gt;">
    <vt:lpwstr>RR</vt:lpwstr>
  </property>
</Properties>
</file>